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323215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9" w:lineRule="exact"/>
        <w:rPr>
          <w:sz w:val="24"/>
          <w:szCs w:val="24"/>
          <w:color w:val="auto"/>
        </w:rPr>
      </w:pPr>
    </w:p>
    <w:p>
      <w:pPr>
        <w:jc w:val="center"/>
        <w:ind w:right="40"/>
        <w:spacing w:after="0"/>
        <w:rPr>
          <w:sz w:val="20"/>
          <w:szCs w:val="20"/>
          <w:color w:val="auto"/>
        </w:rPr>
      </w:pPr>
      <w:r>
        <w:rPr>
          <w:rFonts w:ascii="Arial" w:cs="Arial" w:eastAsia="Arial" w:hAnsi="Arial"/>
          <w:sz w:val="25"/>
          <w:szCs w:val="25"/>
          <w:color w:val="auto"/>
        </w:rPr>
        <w:t>FORM 10-K</w:t>
      </w:r>
    </w:p>
    <w:p>
      <w:pPr>
        <w:spacing w:after="0" w:line="4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(Mark One)</w:t>
      </w:r>
    </w:p>
    <w:p>
      <w:pPr>
        <w:spacing w:after="0" w:line="128" w:lineRule="exact"/>
        <w:rPr>
          <w:sz w:val="24"/>
          <w:szCs w:val="24"/>
          <w:color w:val="auto"/>
        </w:rPr>
      </w:pPr>
    </w:p>
    <w:p>
      <w:pPr>
        <w:ind w:left="940" w:hanging="914"/>
        <w:spacing w:after="0"/>
        <w:tabs>
          <w:tab w:leader="none" w:pos="940" w:val="left"/>
        </w:tabs>
        <w:numPr>
          <w:ilvl w:val="0"/>
          <w:numId w:val="1"/>
        </w:numPr>
        <w:rPr>
          <w:rFonts w:ascii="MS PGothic" w:cs="MS PGothic" w:eastAsia="MS PGothic" w:hAnsi="MS PGothic"/>
          <w:sz w:val="17"/>
          <w:szCs w:val="17"/>
          <w:color w:val="auto"/>
        </w:rPr>
      </w:pPr>
      <w:r>
        <w:rPr>
          <w:rFonts w:ascii="Arial" w:cs="Arial" w:eastAsia="Arial" w:hAnsi="Arial"/>
          <w:sz w:val="20"/>
          <w:szCs w:val="20"/>
          <w:color w:val="auto"/>
        </w:rPr>
        <w:t>ANNUAL REPORT 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2021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41" w:lineRule="exact"/>
        <w:rPr>
          <w:sz w:val="24"/>
          <w:szCs w:val="24"/>
          <w:color w:val="auto"/>
        </w:rPr>
      </w:pPr>
    </w:p>
    <w:p>
      <w:pPr>
        <w:ind w:left="720" w:hanging="660"/>
        <w:spacing w:after="0"/>
        <w:tabs>
          <w:tab w:leader="none" w:pos="720" w:val="left"/>
        </w:tabs>
        <w:numPr>
          <w:ilvl w:val="0"/>
          <w:numId w:val="2"/>
        </w:numPr>
        <w:rPr>
          <w:rFonts w:ascii="MS PGothic" w:cs="MS PGothic" w:eastAsia="MS PGothic" w:hAnsi="MS PGothic"/>
          <w:sz w:val="17"/>
          <w:szCs w:val="17"/>
          <w:color w:val="auto"/>
        </w:rPr>
      </w:pPr>
      <w:r>
        <w:rPr>
          <w:rFonts w:ascii="Arial" w:cs="Arial" w:eastAsia="Arial" w:hAnsi="Arial"/>
          <w:sz w:val="20"/>
          <w:szCs w:val="20"/>
          <w:color w:val="auto"/>
        </w:rPr>
        <w:t>TRANSITION REPORT PURSUANT TO SECTION 13 OR 15(d) OF THE SECURITIES EXCHANGE ACT OF 1934</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3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4"/>
          </w:tcPr>
          <w:p>
            <w:pPr>
              <w:jc w:val="center"/>
              <w:ind w:right="100"/>
              <w:spacing w:after="0"/>
              <w:rPr>
                <w:sz w:val="20"/>
                <w:szCs w:val="20"/>
                <w:color w:val="auto"/>
              </w:rPr>
            </w:pPr>
            <w:r>
              <w:rPr>
                <w:rFonts w:ascii="Arial" w:cs="Arial" w:eastAsia="Arial" w:hAnsi="Arial"/>
                <w:sz w:val="18"/>
                <w:szCs w:val="18"/>
                <w:color w:val="auto"/>
                <w:w w:val="99"/>
              </w:rPr>
              <w:t>Commission file number: 000-50976</w:t>
            </w:r>
          </w:p>
        </w:tc>
        <w:tc>
          <w:tcPr>
            <w:tcW w:w="2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07"/>
        </w:trPr>
        <w:tc>
          <w:tcPr>
            <w:tcW w:w="3760" w:type="dxa"/>
            <w:vAlign w:val="bottom"/>
          </w:tcPr>
          <w:p>
            <w:pPr>
              <w:spacing w:after="0"/>
              <w:rPr>
                <w:sz w:val="24"/>
                <w:szCs w:val="24"/>
                <w:color w:val="auto"/>
              </w:rPr>
            </w:pPr>
          </w:p>
        </w:tc>
        <w:tc>
          <w:tcPr>
            <w:tcW w:w="3460" w:type="dxa"/>
            <w:vAlign w:val="bottom"/>
            <w:gridSpan w:val="5"/>
          </w:tcPr>
          <w:p>
            <w:pPr>
              <w:jc w:val="center"/>
              <w:ind w:left="186"/>
              <w:spacing w:after="0"/>
              <w:rPr>
                <w:sz w:val="20"/>
                <w:szCs w:val="20"/>
                <w:color w:val="auto"/>
              </w:rPr>
            </w:pPr>
            <w:r>
              <w:rPr>
                <w:rFonts w:ascii="Arial" w:cs="Arial" w:eastAsia="Arial" w:hAnsi="Arial"/>
                <w:sz w:val="22"/>
                <w:szCs w:val="22"/>
                <w:color w:val="auto"/>
              </w:rPr>
              <w:t>H</w:t>
            </w:r>
            <w:r>
              <w:rPr>
                <w:rFonts w:ascii="Arial" w:cs="Arial" w:eastAsia="Arial" w:hAnsi="Arial"/>
                <w:sz w:val="17"/>
                <w:szCs w:val="17"/>
                <w:color w:val="auto"/>
              </w:rPr>
              <w:t>URON</w:t>
            </w:r>
            <w:r>
              <w:rPr>
                <w:rFonts w:ascii="Arial" w:cs="Arial" w:eastAsia="Arial" w:hAnsi="Arial"/>
                <w:sz w:val="22"/>
                <w:szCs w:val="22"/>
                <w:color w:val="auto"/>
              </w:rPr>
              <w:t xml:space="preserve"> C</w:t>
            </w:r>
            <w:r>
              <w:rPr>
                <w:rFonts w:ascii="Arial" w:cs="Arial" w:eastAsia="Arial" w:hAnsi="Arial"/>
                <w:sz w:val="17"/>
                <w:szCs w:val="17"/>
                <w:color w:val="auto"/>
              </w:rPr>
              <w:t>ONSULTING</w:t>
            </w:r>
            <w:r>
              <w:rPr>
                <w:rFonts w:ascii="Arial" w:cs="Arial" w:eastAsia="Arial" w:hAnsi="Arial"/>
                <w:sz w:val="22"/>
                <w:szCs w:val="22"/>
                <w:color w:val="auto"/>
              </w:rPr>
              <w:t xml:space="preserve"> G</w:t>
            </w:r>
            <w:r>
              <w:rPr>
                <w:rFonts w:ascii="Arial" w:cs="Arial" w:eastAsia="Arial" w:hAnsi="Arial"/>
                <w:sz w:val="17"/>
                <w:szCs w:val="17"/>
                <w:color w:val="auto"/>
              </w:rPr>
              <w:t>ROUP</w:t>
            </w:r>
            <w:r>
              <w:rPr>
                <w:rFonts w:ascii="Arial" w:cs="Arial" w:eastAsia="Arial" w:hAnsi="Arial"/>
                <w:sz w:val="22"/>
                <w:szCs w:val="22"/>
                <w:color w:val="auto"/>
              </w:rPr>
              <w:t xml:space="preserve"> I</w:t>
            </w:r>
            <w:r>
              <w:rPr>
                <w:rFonts w:ascii="Arial" w:cs="Arial" w:eastAsia="Arial" w:hAnsi="Arial"/>
                <w:sz w:val="17"/>
                <w:szCs w:val="17"/>
                <w:color w:val="auto"/>
              </w:rPr>
              <w:t>NC.</w:t>
            </w:r>
          </w:p>
        </w:tc>
        <w:tc>
          <w:tcPr>
            <w:tcW w:w="2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7"/>
        </w:trPr>
        <w:tc>
          <w:tcPr>
            <w:tcW w:w="3760" w:type="dxa"/>
            <w:vAlign w:val="bottom"/>
          </w:tcPr>
          <w:p>
            <w:pPr>
              <w:spacing w:after="0"/>
              <w:rPr>
                <w:sz w:val="19"/>
                <w:szCs w:val="19"/>
                <w:color w:val="auto"/>
              </w:rPr>
            </w:pPr>
          </w:p>
        </w:tc>
        <w:tc>
          <w:tcPr>
            <w:tcW w:w="5720" w:type="dxa"/>
            <w:vAlign w:val="bottom"/>
            <w:gridSpan w:val="6"/>
          </w:tcPr>
          <w:p>
            <w:pPr>
              <w:jc w:val="center"/>
              <w:ind w:right="1917"/>
              <w:spacing w:after="0"/>
              <w:rPr>
                <w:sz w:val="20"/>
                <w:szCs w:val="20"/>
                <w:color w:val="auto"/>
              </w:rPr>
            </w:pPr>
            <w:r>
              <w:rPr>
                <w:rFonts w:ascii="Arial" w:cs="Arial" w:eastAsia="Arial" w:hAnsi="Arial"/>
                <w:sz w:val="16"/>
                <w:szCs w:val="16"/>
                <w:color w:val="auto"/>
              </w:rPr>
              <w:t>(Exact name of registrant as specified in its charter)</w:t>
            </w:r>
          </w:p>
        </w:tc>
        <w:tc>
          <w:tcPr>
            <w:tcW w:w="1760" w:type="dxa"/>
            <w:vAlign w:val="bottom"/>
          </w:tcPr>
          <w:p>
            <w:pPr>
              <w:spacing w:after="0"/>
              <w:rPr>
                <w:sz w:val="19"/>
                <w:szCs w:val="19"/>
                <w:color w:val="auto"/>
              </w:rPr>
            </w:pPr>
          </w:p>
        </w:tc>
      </w:tr>
      <w:tr>
        <w:trPr>
          <w:trHeight w:val="330"/>
        </w:trPr>
        <w:tc>
          <w:tcPr>
            <w:tcW w:w="3760" w:type="dxa"/>
            <w:vAlign w:val="bottom"/>
          </w:tcPr>
          <w:p>
            <w:pPr>
              <w:jc w:val="center"/>
              <w:ind w:left="1755"/>
              <w:spacing w:after="0"/>
              <w:rPr>
                <w:sz w:val="20"/>
                <w:szCs w:val="20"/>
                <w:color w:val="auto"/>
              </w:rPr>
            </w:pPr>
            <w:r>
              <w:rPr>
                <w:rFonts w:ascii="Arial" w:cs="Arial" w:eastAsia="Arial" w:hAnsi="Arial"/>
                <w:sz w:val="18"/>
                <w:szCs w:val="18"/>
                <w:color w:val="auto"/>
                <w:w w:val="99"/>
              </w:rPr>
              <w:t>Delaware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jc w:val="center"/>
              <w:ind w:left="257"/>
              <w:spacing w:after="0"/>
              <w:rPr>
                <w:sz w:val="20"/>
                <w:szCs w:val="20"/>
                <w:color w:val="auto"/>
              </w:rPr>
            </w:pPr>
            <w:r>
              <w:rPr>
                <w:rFonts w:ascii="Arial" w:cs="Arial" w:eastAsia="Arial" w:hAnsi="Arial"/>
                <w:sz w:val="18"/>
                <w:szCs w:val="18"/>
                <w:color w:val="auto"/>
                <w:w w:val="99"/>
              </w:rPr>
              <w:t>01-0666114</w:t>
            </w:r>
          </w:p>
        </w:tc>
        <w:tc>
          <w:tcPr>
            <w:tcW w:w="1760" w:type="dxa"/>
            <w:vAlign w:val="bottom"/>
          </w:tcPr>
          <w:p>
            <w:pPr>
              <w:spacing w:after="0"/>
              <w:rPr>
                <w:sz w:val="24"/>
                <w:szCs w:val="24"/>
                <w:color w:val="auto"/>
              </w:rPr>
            </w:pPr>
          </w:p>
        </w:tc>
      </w:tr>
      <w:tr>
        <w:trPr>
          <w:trHeight w:val="153"/>
        </w:trPr>
        <w:tc>
          <w:tcPr>
            <w:tcW w:w="3760" w:type="dxa"/>
            <w:vAlign w:val="bottom"/>
          </w:tcPr>
          <w:p>
            <w:pPr>
              <w:jc w:val="center"/>
              <w:ind w:left="1755"/>
              <w:spacing w:after="0" w:line="153" w:lineRule="exact"/>
              <w:rPr>
                <w:sz w:val="20"/>
                <w:szCs w:val="20"/>
                <w:color w:val="auto"/>
              </w:rPr>
            </w:pPr>
            <w:r>
              <w:rPr>
                <w:rFonts w:ascii="Arial" w:cs="Arial" w:eastAsia="Arial" w:hAnsi="Arial"/>
                <w:sz w:val="14"/>
                <w:szCs w:val="14"/>
                <w:color w:val="auto"/>
              </w:rPr>
              <w:t>(State or other jurisdiction of</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tcPr>
          <w:p>
            <w:pPr>
              <w:jc w:val="center"/>
              <w:ind w:left="277"/>
              <w:spacing w:after="0" w:line="153" w:lineRule="exact"/>
              <w:rPr>
                <w:sz w:val="20"/>
                <w:szCs w:val="20"/>
                <w:color w:val="auto"/>
              </w:rPr>
            </w:pPr>
            <w:r>
              <w:rPr>
                <w:rFonts w:ascii="Arial" w:cs="Arial" w:eastAsia="Arial" w:hAnsi="Arial"/>
                <w:sz w:val="14"/>
                <w:szCs w:val="14"/>
                <w:color w:val="auto"/>
              </w:rPr>
              <w:t>(IRS Employer</w:t>
            </w:r>
          </w:p>
        </w:tc>
        <w:tc>
          <w:tcPr>
            <w:tcW w:w="1760" w:type="dxa"/>
            <w:vAlign w:val="bottom"/>
          </w:tcPr>
          <w:p>
            <w:pPr>
              <w:spacing w:after="0"/>
              <w:rPr>
                <w:sz w:val="13"/>
                <w:szCs w:val="13"/>
                <w:color w:val="auto"/>
              </w:rPr>
            </w:pPr>
          </w:p>
        </w:tc>
      </w:tr>
      <w:tr>
        <w:trPr>
          <w:trHeight w:val="172"/>
        </w:trPr>
        <w:tc>
          <w:tcPr>
            <w:tcW w:w="3760" w:type="dxa"/>
            <w:vAlign w:val="bottom"/>
          </w:tcPr>
          <w:p>
            <w:pPr>
              <w:jc w:val="center"/>
              <w:ind w:left="1775"/>
              <w:spacing w:after="0"/>
              <w:rPr>
                <w:sz w:val="20"/>
                <w:szCs w:val="20"/>
                <w:color w:val="auto"/>
              </w:rPr>
            </w:pPr>
            <w:r>
              <w:rPr>
                <w:rFonts w:ascii="Arial" w:cs="Arial" w:eastAsia="Arial" w:hAnsi="Arial"/>
                <w:sz w:val="14"/>
                <w:szCs w:val="14"/>
                <w:color w:val="auto"/>
              </w:rPr>
              <w:t>incorporation or organization)</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jc w:val="center"/>
              <w:ind w:left="277"/>
              <w:spacing w:after="0"/>
              <w:rPr>
                <w:sz w:val="20"/>
                <w:szCs w:val="20"/>
                <w:color w:val="auto"/>
              </w:rPr>
            </w:pPr>
            <w:r>
              <w:rPr>
                <w:rFonts w:ascii="Arial" w:cs="Arial" w:eastAsia="Arial" w:hAnsi="Arial"/>
                <w:sz w:val="14"/>
                <w:szCs w:val="14"/>
                <w:color w:val="auto"/>
              </w:rPr>
              <w:t>Identification Number)</w:t>
            </w:r>
          </w:p>
        </w:tc>
        <w:tc>
          <w:tcPr>
            <w:tcW w:w="1760" w:type="dxa"/>
            <w:vAlign w:val="bottom"/>
          </w:tcPr>
          <w:p>
            <w:pPr>
              <w:spacing w:after="0"/>
              <w:rPr>
                <w:sz w:val="14"/>
                <w:szCs w:val="14"/>
                <w:color w:val="auto"/>
              </w:rPr>
            </w:pPr>
          </w:p>
        </w:tc>
      </w:tr>
      <w:tr>
        <w:trPr>
          <w:trHeight w:val="397"/>
        </w:trPr>
        <w:tc>
          <w:tcPr>
            <w:tcW w:w="3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4"/>
          </w:tcPr>
          <w:p>
            <w:pPr>
              <w:jc w:val="center"/>
              <w:ind w:right="100"/>
              <w:spacing w:after="0"/>
              <w:rPr>
                <w:sz w:val="20"/>
                <w:szCs w:val="20"/>
                <w:color w:val="auto"/>
              </w:rPr>
            </w:pPr>
            <w:r>
              <w:rPr>
                <w:rFonts w:ascii="Arial" w:cs="Arial" w:eastAsia="Arial" w:hAnsi="Arial"/>
                <w:sz w:val="22"/>
                <w:szCs w:val="22"/>
                <w:color w:val="auto"/>
                <w:w w:val="97"/>
              </w:rPr>
              <w:t>550 West Van Buren Street</w:t>
            </w:r>
          </w:p>
        </w:tc>
        <w:tc>
          <w:tcPr>
            <w:tcW w:w="2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7"/>
        </w:trPr>
        <w:tc>
          <w:tcPr>
            <w:tcW w:w="3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720" w:type="dxa"/>
            <w:vAlign w:val="bottom"/>
            <w:gridSpan w:val="3"/>
          </w:tcPr>
          <w:p>
            <w:pPr>
              <w:jc w:val="center"/>
              <w:ind w:right="480"/>
              <w:spacing w:after="0"/>
              <w:rPr>
                <w:sz w:val="20"/>
                <w:szCs w:val="20"/>
                <w:color w:val="auto"/>
              </w:rPr>
            </w:pPr>
            <w:r>
              <w:rPr>
                <w:rFonts w:ascii="Arial" w:cs="Arial" w:eastAsia="Arial" w:hAnsi="Arial"/>
                <w:sz w:val="22"/>
                <w:szCs w:val="22"/>
                <w:color w:val="auto"/>
                <w:w w:val="98"/>
              </w:rPr>
              <w:t>Chicago, Illinois</w:t>
            </w:r>
          </w:p>
        </w:tc>
        <w:tc>
          <w:tcPr>
            <w:tcW w:w="2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9"/>
        </w:trPr>
        <w:tc>
          <w:tcPr>
            <w:tcW w:w="3760" w:type="dxa"/>
            <w:vAlign w:val="bottom"/>
          </w:tcPr>
          <w:p>
            <w:pPr>
              <w:spacing w:after="0"/>
              <w:rPr>
                <w:sz w:val="22"/>
                <w:szCs w:val="22"/>
                <w:color w:val="auto"/>
              </w:rPr>
            </w:pPr>
          </w:p>
        </w:tc>
        <w:tc>
          <w:tcPr>
            <w:tcW w:w="2960" w:type="dxa"/>
            <w:vAlign w:val="bottom"/>
            <w:gridSpan w:val="3"/>
          </w:tcPr>
          <w:p>
            <w:pPr>
              <w:jc w:val="right"/>
              <w:ind w:right="704"/>
              <w:spacing w:after="0"/>
              <w:rPr>
                <w:sz w:val="20"/>
                <w:szCs w:val="20"/>
                <w:color w:val="auto"/>
              </w:rPr>
            </w:pPr>
            <w:r>
              <w:rPr>
                <w:rFonts w:ascii="Arial" w:cs="Arial" w:eastAsia="Arial" w:hAnsi="Arial"/>
                <w:sz w:val="22"/>
                <w:szCs w:val="22"/>
                <w:color w:val="auto"/>
              </w:rPr>
              <w:t>60607</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13"/>
        </w:trPr>
        <w:tc>
          <w:tcPr>
            <w:tcW w:w="3760" w:type="dxa"/>
            <w:vAlign w:val="bottom"/>
          </w:tcPr>
          <w:p>
            <w:pPr>
              <w:spacing w:after="0"/>
              <w:rPr>
                <w:sz w:val="18"/>
                <w:szCs w:val="18"/>
                <w:color w:val="auto"/>
              </w:rPr>
            </w:pPr>
          </w:p>
        </w:tc>
        <w:tc>
          <w:tcPr>
            <w:tcW w:w="5720" w:type="dxa"/>
            <w:vAlign w:val="bottom"/>
            <w:gridSpan w:val="6"/>
          </w:tcPr>
          <w:p>
            <w:pPr>
              <w:jc w:val="center"/>
              <w:ind w:right="1897"/>
              <w:spacing w:after="0"/>
              <w:rPr>
                <w:sz w:val="20"/>
                <w:szCs w:val="20"/>
                <w:color w:val="auto"/>
              </w:rPr>
            </w:pPr>
            <w:r>
              <w:rPr>
                <w:rFonts w:ascii="Arial" w:cs="Arial" w:eastAsia="Arial" w:hAnsi="Arial"/>
                <w:sz w:val="16"/>
                <w:szCs w:val="16"/>
                <w:color w:val="auto"/>
              </w:rPr>
              <w:t>(Address of principal executive offices and zip code)</w:t>
            </w:r>
          </w:p>
        </w:tc>
        <w:tc>
          <w:tcPr>
            <w:tcW w:w="1760" w:type="dxa"/>
            <w:vAlign w:val="bottom"/>
          </w:tcPr>
          <w:p>
            <w:pPr>
              <w:spacing w:after="0"/>
              <w:rPr>
                <w:sz w:val="18"/>
                <w:szCs w:val="18"/>
                <w:color w:val="auto"/>
              </w:rPr>
            </w:pPr>
          </w:p>
        </w:tc>
      </w:tr>
      <w:tr>
        <w:trPr>
          <w:trHeight w:val="249"/>
        </w:trPr>
        <w:tc>
          <w:tcPr>
            <w:tcW w:w="3760" w:type="dxa"/>
            <w:vAlign w:val="bottom"/>
          </w:tcPr>
          <w:p>
            <w:pPr>
              <w:spacing w:after="0"/>
              <w:rPr>
                <w:sz w:val="21"/>
                <w:szCs w:val="21"/>
                <w:color w:val="auto"/>
              </w:rPr>
            </w:pPr>
          </w:p>
        </w:tc>
        <w:tc>
          <w:tcPr>
            <w:tcW w:w="2960" w:type="dxa"/>
            <w:vAlign w:val="bottom"/>
            <w:gridSpan w:val="3"/>
          </w:tcPr>
          <w:p>
            <w:pPr>
              <w:jc w:val="right"/>
              <w:ind w:right="384"/>
              <w:spacing w:after="0"/>
              <w:rPr>
                <w:sz w:val="20"/>
                <w:szCs w:val="20"/>
                <w:color w:val="auto"/>
              </w:rPr>
            </w:pPr>
            <w:r>
              <w:rPr>
                <w:rFonts w:ascii="Arial" w:cs="Arial" w:eastAsia="Arial" w:hAnsi="Arial"/>
                <w:sz w:val="18"/>
                <w:szCs w:val="18"/>
                <w:color w:val="auto"/>
              </w:rPr>
              <w:t>(312) 583-8700</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23"/>
        </w:trPr>
        <w:tc>
          <w:tcPr>
            <w:tcW w:w="9480" w:type="dxa"/>
            <w:vAlign w:val="bottom"/>
            <w:gridSpan w:val="7"/>
          </w:tcPr>
          <w:p>
            <w:pPr>
              <w:jc w:val="center"/>
              <w:ind w:left="1635"/>
              <w:spacing w:after="0"/>
              <w:rPr>
                <w:sz w:val="20"/>
                <w:szCs w:val="20"/>
                <w:color w:val="auto"/>
              </w:rPr>
            </w:pPr>
            <w:r>
              <w:rPr>
                <w:rFonts w:ascii="Arial" w:cs="Arial" w:eastAsia="Arial" w:hAnsi="Arial"/>
                <w:sz w:val="16"/>
                <w:szCs w:val="16"/>
                <w:color w:val="auto"/>
              </w:rPr>
              <w:t>(Registrant’s telephone number, including area code)</w:t>
            </w:r>
          </w:p>
        </w:tc>
        <w:tc>
          <w:tcPr>
            <w:tcW w:w="1760" w:type="dxa"/>
            <w:vAlign w:val="bottom"/>
          </w:tcPr>
          <w:p>
            <w:pPr>
              <w:spacing w:after="0"/>
              <w:rPr>
                <w:sz w:val="19"/>
                <w:szCs w:val="19"/>
                <w:color w:val="auto"/>
              </w:rPr>
            </w:pPr>
          </w:p>
        </w:tc>
      </w:tr>
      <w:tr>
        <w:trPr>
          <w:trHeight w:val="249"/>
        </w:trPr>
        <w:tc>
          <w:tcPr>
            <w:tcW w:w="9480" w:type="dxa"/>
            <w:vAlign w:val="bottom"/>
            <w:gridSpan w:val="7"/>
          </w:tcPr>
          <w:p>
            <w:pPr>
              <w:jc w:val="center"/>
              <w:ind w:left="1675"/>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760" w:type="dxa"/>
            <w:vAlign w:val="bottom"/>
          </w:tcPr>
          <w:p>
            <w:pPr>
              <w:spacing w:after="0"/>
              <w:rPr>
                <w:sz w:val="21"/>
                <w:szCs w:val="21"/>
                <w:color w:val="auto"/>
              </w:rPr>
            </w:pPr>
          </w:p>
        </w:tc>
      </w:tr>
      <w:tr>
        <w:trPr>
          <w:trHeight w:val="405"/>
        </w:trPr>
        <w:tc>
          <w:tcPr>
            <w:tcW w:w="3760" w:type="dxa"/>
            <w:vAlign w:val="bottom"/>
            <w:tcBorders>
              <w:bottom w:val="single" w:sz="8" w:color="auto"/>
            </w:tcBorders>
          </w:tcPr>
          <w:p>
            <w:pPr>
              <w:jc w:val="center"/>
              <w:ind w:left="295"/>
              <w:spacing w:after="0"/>
              <w:rPr>
                <w:sz w:val="20"/>
                <w:szCs w:val="20"/>
                <w:color w:val="auto"/>
              </w:rPr>
            </w:pPr>
            <w:r>
              <w:rPr>
                <w:rFonts w:ascii="Arial" w:cs="Arial" w:eastAsia="Arial" w:hAnsi="Arial"/>
                <w:sz w:val="18"/>
                <w:szCs w:val="18"/>
                <w:b w:val="1"/>
                <w:bCs w:val="1"/>
                <w:color w:val="auto"/>
                <w:w w:val="99"/>
              </w:rPr>
              <w:t>Title of each class</w:t>
            </w:r>
          </w:p>
        </w:tc>
        <w:tc>
          <w:tcPr>
            <w:tcW w:w="3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w:t>
            </w: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3760" w:type="dxa"/>
            <w:vAlign w:val="bottom"/>
          </w:tcPr>
          <w:p>
            <w:pPr>
              <w:jc w:val="center"/>
              <w:ind w:left="295"/>
              <w:spacing w:after="0"/>
              <w:rPr>
                <w:sz w:val="20"/>
                <w:szCs w:val="20"/>
                <w:color w:val="auto"/>
              </w:rPr>
            </w:pPr>
            <w:r>
              <w:rPr>
                <w:rFonts w:ascii="Arial" w:cs="Arial" w:eastAsia="Arial" w:hAnsi="Arial"/>
                <w:sz w:val="18"/>
                <w:szCs w:val="18"/>
                <w:color w:val="auto"/>
                <w:w w:val="99"/>
              </w:rPr>
              <w:t>Common Stock, par value $0.01 per share</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HURN</w:t>
            </w:r>
          </w:p>
        </w:tc>
        <w:tc>
          <w:tcPr>
            <w:tcW w:w="4020" w:type="dxa"/>
            <w:vAlign w:val="bottom"/>
            <w:gridSpan w:val="2"/>
          </w:tcPr>
          <w:p>
            <w:pPr>
              <w:jc w:val="center"/>
              <w:ind w:right="15"/>
              <w:spacing w:after="0"/>
              <w:rPr>
                <w:sz w:val="20"/>
                <w:szCs w:val="20"/>
                <w:color w:val="auto"/>
              </w:rPr>
            </w:pPr>
            <w:r>
              <w:rPr>
                <w:rFonts w:ascii="Arial" w:cs="Arial" w:eastAsia="Arial" w:hAnsi="Arial"/>
                <w:sz w:val="18"/>
                <w:szCs w:val="18"/>
                <w:color w:val="auto"/>
                <w:w w:val="99"/>
              </w:rPr>
              <w:t>NASDAQ Global Select Market</w:t>
            </w:r>
          </w:p>
        </w:tc>
      </w:tr>
      <w:tr>
        <w:trPr>
          <w:trHeight w:val="351"/>
        </w:trPr>
        <w:tc>
          <w:tcPr>
            <w:tcW w:w="9480" w:type="dxa"/>
            <w:vAlign w:val="bottom"/>
            <w:gridSpan w:val="7"/>
          </w:tcPr>
          <w:p>
            <w:pPr>
              <w:jc w:val="center"/>
              <w:ind w:left="1635"/>
              <w:spacing w:after="0"/>
              <w:rPr>
                <w:sz w:val="20"/>
                <w:szCs w:val="20"/>
                <w:color w:val="auto"/>
              </w:rPr>
            </w:pPr>
            <w:r>
              <w:rPr>
                <w:rFonts w:ascii="Arial" w:cs="Arial" w:eastAsia="Arial" w:hAnsi="Arial"/>
                <w:sz w:val="18"/>
                <w:szCs w:val="18"/>
                <w:b w:val="1"/>
                <w:bCs w:val="1"/>
                <w:color w:val="auto"/>
                <w:w w:val="99"/>
              </w:rPr>
              <w:t>Securities registered pursuant to Section 12(g) of the Act: None</w:t>
            </w:r>
          </w:p>
        </w:tc>
        <w:tc>
          <w:tcPr>
            <w:tcW w:w="1760" w:type="dxa"/>
            <w:vAlign w:val="bottom"/>
          </w:tcPr>
          <w:p>
            <w:pPr>
              <w:spacing w:after="0"/>
              <w:rPr>
                <w:sz w:val="24"/>
                <w:szCs w:val="24"/>
                <w:color w:val="auto"/>
              </w:rPr>
            </w:pPr>
          </w:p>
        </w:tc>
      </w:tr>
      <w:tr>
        <w:trPr>
          <w:trHeight w:val="347"/>
        </w:trPr>
        <w:tc>
          <w:tcPr>
            <w:tcW w:w="9480" w:type="dxa"/>
            <w:vAlign w:val="bottom"/>
            <w:gridSpan w:val="7"/>
          </w:tcPr>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Yes x</w:t>
            </w:r>
          </w:p>
        </w:tc>
        <w:tc>
          <w:tcPr>
            <w:tcW w:w="1760" w:type="dxa"/>
            <w:vAlign w:val="bottom"/>
          </w:tcPr>
          <w:p>
            <w:pPr>
              <w:ind w:left="40"/>
              <w:spacing w:after="0"/>
              <w:rPr>
                <w:sz w:val="20"/>
                <w:szCs w:val="20"/>
                <w:color w:val="auto"/>
              </w:rPr>
            </w:pPr>
            <w:r>
              <w:rPr>
                <w:rFonts w:ascii="Arial" w:cs="Arial" w:eastAsia="Arial" w:hAnsi="Arial"/>
                <w:sz w:val="17"/>
                <w:szCs w:val="17"/>
                <w:color w:val="auto"/>
              </w:rPr>
              <w:t>No o</w:t>
            </w:r>
          </w:p>
        </w:tc>
      </w:tr>
      <w:tr>
        <w:trPr>
          <w:trHeight w:val="243"/>
        </w:trPr>
        <w:tc>
          <w:tcPr>
            <w:tcW w:w="9480" w:type="dxa"/>
            <w:vAlign w:val="bottom"/>
            <w:gridSpan w:val="7"/>
          </w:tcPr>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 Yes o</w:t>
            </w:r>
          </w:p>
        </w:tc>
        <w:tc>
          <w:tcPr>
            <w:tcW w:w="1760" w:type="dxa"/>
            <w:vAlign w:val="bottom"/>
          </w:tcPr>
          <w:p>
            <w:pPr>
              <w:ind w:left="160"/>
              <w:spacing w:after="0"/>
              <w:rPr>
                <w:sz w:val="20"/>
                <w:szCs w:val="20"/>
                <w:color w:val="auto"/>
              </w:rPr>
            </w:pPr>
            <w:r>
              <w:rPr>
                <w:rFonts w:ascii="Arial" w:cs="Arial" w:eastAsia="Arial" w:hAnsi="Arial"/>
                <w:sz w:val="17"/>
                <w:szCs w:val="17"/>
                <w:color w:val="auto"/>
              </w:rPr>
              <w:t>No x</w:t>
            </w:r>
          </w:p>
        </w:tc>
      </w:tr>
    </w:tbl>
    <w:p>
      <w:pPr>
        <w:spacing w:after="0" w:line="25" w:lineRule="exact"/>
        <w:rPr>
          <w:sz w:val="24"/>
          <w:szCs w:val="24"/>
          <w:color w:val="auto"/>
        </w:rPr>
      </w:pPr>
    </w:p>
    <w:p>
      <w:pPr>
        <w:jc w:val="both"/>
        <w:ind w:right="300"/>
        <w:spacing w:after="0" w:line="25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7" w:lineRule="exact"/>
        <w:rPr>
          <w:sz w:val="24"/>
          <w:szCs w:val="24"/>
          <w:color w:val="auto"/>
        </w:rPr>
      </w:pPr>
    </w:p>
    <w:p>
      <w:pPr>
        <w:ind w:right="80"/>
        <w:spacing w:after="0" w:line="254"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27" w:lineRule="exact"/>
        <w:rPr>
          <w:sz w:val="24"/>
          <w:szCs w:val="24"/>
          <w:color w:val="auto"/>
        </w:rPr>
      </w:pPr>
    </w:p>
    <w:p>
      <w:pPr>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620" w:type="dxa"/>
            <w:vAlign w:val="bottom"/>
          </w:tcPr>
          <w:p>
            <w:pPr>
              <w:jc w:val="center"/>
              <w:ind w:right="50"/>
              <w:spacing w:after="0"/>
              <w:rPr>
                <w:sz w:val="20"/>
                <w:szCs w:val="20"/>
                <w:color w:val="auto"/>
              </w:rPr>
            </w:pPr>
            <w:r>
              <w:rPr>
                <w:rFonts w:ascii="Arial" w:cs="Arial" w:eastAsia="Arial" w:hAnsi="Arial"/>
                <w:sz w:val="18"/>
                <w:szCs w:val="18"/>
                <w:color w:val="auto"/>
              </w:rPr>
              <w:t>Large Accelerated</w:t>
            </w:r>
          </w:p>
        </w:tc>
        <w:tc>
          <w:tcPr>
            <w:tcW w:w="46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444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7"/>
                <w:szCs w:val="17"/>
                <w:color w:val="auto"/>
              </w:rPr>
              <w:t>☐</w:t>
            </w:r>
            <w:r>
              <w:rPr>
                <w:rFonts w:ascii="Arial" w:cs="Arial" w:eastAsia="Arial" w:hAnsi="Arial"/>
                <w:sz w:val="18"/>
                <w:szCs w:val="18"/>
                <w:color w:val="auto"/>
              </w:rPr>
              <w:t xml:space="preserve">  Non-accelerated Filer  </w:t>
            </w:r>
            <w:r>
              <w:rPr>
                <w:rFonts w:ascii="MS PGothic" w:cs="MS PGothic" w:eastAsia="MS PGothic" w:hAnsi="MS PGothic"/>
                <w:sz w:val="17"/>
                <w:szCs w:val="17"/>
                <w:color w:val="auto"/>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Smaller Reporting</w:t>
            </w:r>
          </w:p>
        </w:tc>
        <w:tc>
          <w:tcPr>
            <w:tcW w:w="50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Emerging Growth</w:t>
            </w:r>
          </w:p>
        </w:tc>
        <w:tc>
          <w:tcPr>
            <w:tcW w:w="32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17"/>
        </w:trPr>
        <w:tc>
          <w:tcPr>
            <w:tcW w:w="1620" w:type="dxa"/>
            <w:vAlign w:val="bottom"/>
          </w:tcPr>
          <w:p>
            <w:pPr>
              <w:jc w:val="center"/>
              <w:ind w:right="50"/>
              <w:spacing w:after="0"/>
              <w:rPr>
                <w:sz w:val="20"/>
                <w:szCs w:val="20"/>
                <w:color w:val="auto"/>
              </w:rPr>
            </w:pPr>
            <w:r>
              <w:rPr>
                <w:rFonts w:ascii="Arial" w:cs="Arial" w:eastAsia="Arial" w:hAnsi="Arial"/>
                <w:sz w:val="18"/>
                <w:szCs w:val="18"/>
                <w:color w:val="auto"/>
              </w:rPr>
              <w:t>Filer</w:t>
            </w:r>
          </w:p>
        </w:tc>
        <w:tc>
          <w:tcPr>
            <w:tcW w:w="460" w:type="dxa"/>
            <w:vAlign w:val="bottom"/>
            <w:vMerge w:val="continue"/>
          </w:tcPr>
          <w:p>
            <w:pPr>
              <w:spacing w:after="0"/>
              <w:rPr>
                <w:sz w:val="18"/>
                <w:szCs w:val="18"/>
                <w:color w:val="auto"/>
              </w:rPr>
            </w:pPr>
          </w:p>
        </w:tc>
        <w:tc>
          <w:tcPr>
            <w:tcW w:w="4440" w:type="dxa"/>
            <w:vAlign w:val="bottom"/>
            <w:vMerge w:val="continue"/>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Company</w:t>
            </w:r>
          </w:p>
        </w:tc>
        <w:tc>
          <w:tcPr>
            <w:tcW w:w="500" w:type="dxa"/>
            <w:vAlign w:val="bottom"/>
            <w:vMerge w:val="continue"/>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Company</w:t>
            </w: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ind w:right="80"/>
        <w:spacing w:after="0" w:line="25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7" w:lineRule="exact"/>
        <w:rPr>
          <w:sz w:val="24"/>
          <w:szCs w:val="24"/>
          <w:color w:val="auto"/>
        </w:rPr>
      </w:pPr>
    </w:p>
    <w:p>
      <w:pPr>
        <w:ind w:right="180"/>
        <w:spacing w:after="0" w:line="252" w:lineRule="auto"/>
        <w:rPr>
          <w:sz w:val="20"/>
          <w:szCs w:val="20"/>
          <w:color w:val="auto"/>
        </w:rPr>
      </w:pPr>
      <w:r>
        <w:rPr>
          <w:rFonts w:ascii="Arial" w:cs="Arial" w:eastAsia="Arial" w:hAnsi="Arial"/>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726(b)) by the registered public accounting firm that prepared or issued its report. x</w:t>
      </w:r>
    </w:p>
    <w:p>
      <w:pPr>
        <w:spacing w:after="0" w:line="2" w:lineRule="exact"/>
        <w:rPr>
          <w:sz w:val="24"/>
          <w:szCs w:val="24"/>
          <w:color w:val="auto"/>
        </w:rPr>
      </w:pPr>
    </w:p>
    <w:p>
      <w:pPr>
        <w:spacing w:after="0" w:line="196" w:lineRule="exact"/>
        <w:tabs>
          <w:tab w:leader="none" w:pos="84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highlight w:val="black"/>
        </w:rPr>
        <w:t>☐</w:t>
      </w:r>
      <w:r>
        <w:rPr>
          <w:rFonts w:ascii="Arial" w:cs="Arial" w:eastAsia="Arial" w:hAnsi="Arial"/>
          <w:sz w:val="17"/>
          <w:szCs w:val="17"/>
          <w:color w:val="auto"/>
        </w:rPr>
        <w:tab/>
        <w:t>No x</w:t>
      </w:r>
    </w:p>
    <w:p>
      <w:pPr>
        <w:spacing w:after="0" w:line="78" w:lineRule="exact"/>
        <w:rPr>
          <w:sz w:val="24"/>
          <w:szCs w:val="24"/>
          <w:color w:val="auto"/>
        </w:rPr>
      </w:pPr>
    </w:p>
    <w:p>
      <w:pPr>
        <w:ind w:right="380"/>
        <w:spacing w:after="0" w:line="259" w:lineRule="auto"/>
        <w:rPr>
          <w:sz w:val="20"/>
          <w:szCs w:val="20"/>
          <w:color w:val="auto"/>
        </w:rPr>
      </w:pPr>
      <w:r>
        <w:rPr>
          <w:rFonts w:ascii="Arial" w:cs="Arial" w:eastAsia="Arial" w:hAnsi="Arial"/>
          <w:sz w:val="17"/>
          <w:szCs w:val="17"/>
          <w:color w:val="auto"/>
        </w:rPr>
        <w:t>The aggregate market value of the registrant’s common stock held by non-affiliates as of June 30, 2021 (the last business day of the registrant’s most recently completed second fiscal quarter) was approximately $1,081,400,000.</w:t>
      </w:r>
    </w:p>
    <w:p>
      <w:pPr>
        <w:spacing w:after="0" w:line="24" w:lineRule="exact"/>
        <w:rPr>
          <w:sz w:val="24"/>
          <w:szCs w:val="24"/>
          <w:color w:val="auto"/>
        </w:rPr>
      </w:pPr>
    </w:p>
    <w:p>
      <w:pPr>
        <w:ind w:left="4140" w:right="1900" w:hanging="4138"/>
        <w:spacing w:after="0" w:line="290" w:lineRule="auto"/>
        <w:rPr>
          <w:sz w:val="20"/>
          <w:szCs w:val="20"/>
          <w:color w:val="auto"/>
        </w:rPr>
      </w:pPr>
      <w:r>
        <w:rPr>
          <w:rFonts w:ascii="Arial" w:cs="Arial" w:eastAsia="Arial" w:hAnsi="Arial"/>
          <w:sz w:val="17"/>
          <w:szCs w:val="17"/>
          <w:color w:val="auto"/>
        </w:rPr>
        <w:t>As of February 17, 2022, 21,574,281 shares of the registrant’s common stock, par value $0.01 per share, were outstanding. Documents Incorporated By Reference</w:t>
      </w:r>
    </w:p>
    <w:p>
      <w:pPr>
        <w:ind w:right="80"/>
        <w:spacing w:after="0" w:line="259" w:lineRule="auto"/>
        <w:rPr>
          <w:sz w:val="20"/>
          <w:szCs w:val="20"/>
          <w:color w:val="auto"/>
        </w:rPr>
      </w:pPr>
      <w:r>
        <w:rPr>
          <w:rFonts w:ascii="Arial" w:cs="Arial" w:eastAsia="Arial" w:hAnsi="Arial"/>
          <w:sz w:val="17"/>
          <w:szCs w:val="17"/>
          <w:color w:val="auto"/>
        </w:rPr>
        <w:t>Portions of the registrant’s definitive Proxy Statement to be filed with Securities and Exchange Commission within 120 days after the end of its fiscal year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70485</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HURON CONSULTING GROUP INC.</w:t>
      </w:r>
    </w:p>
    <w:p>
      <w:pPr>
        <w:spacing w:after="0" w:line="161"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ANNUAL REPORT ON FORM 10-K</w:t>
      </w:r>
    </w:p>
    <w:p>
      <w:pPr>
        <w:jc w:val="center"/>
        <w:spacing w:after="0"/>
        <w:rPr>
          <w:sz w:val="20"/>
          <w:szCs w:val="20"/>
          <w:color w:val="auto"/>
        </w:rPr>
      </w:pPr>
      <w:r>
        <w:rPr>
          <w:rFonts w:ascii="Arial" w:cs="Arial" w:eastAsia="Arial" w:hAnsi="Arial"/>
          <w:sz w:val="20"/>
          <w:szCs w:val="20"/>
          <w:color w:val="auto"/>
        </w:rPr>
        <w:t>FOR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113665</wp:posOffset>
            </wp:positionV>
            <wp:extent cx="5803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TABLE OF CONTENTS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Page</w:t>
            </w:r>
          </w:p>
        </w:tc>
      </w:tr>
      <w:tr>
        <w:trPr>
          <w:trHeight w:val="169"/>
        </w:trPr>
        <w:tc>
          <w:tcPr>
            <w:tcW w:w="20" w:type="dxa"/>
            <w:vAlign w:val="bottom"/>
          </w:tcPr>
          <w:p>
            <w:pPr>
              <w:spacing w:after="0"/>
              <w:rPr>
                <w:sz w:val="14"/>
                <w:szCs w:val="14"/>
                <w:color w:val="auto"/>
              </w:rPr>
            </w:pPr>
          </w:p>
        </w:tc>
        <w:tc>
          <w:tcPr>
            <w:tcW w:w="1240" w:type="dxa"/>
            <w:vAlign w:val="bottom"/>
            <w:gridSpan w:val="6"/>
          </w:tcPr>
          <w:p>
            <w:pPr>
              <w:spacing w:after="0" w:line="169" w:lineRule="exact"/>
              <w:rPr>
                <w:rFonts w:ascii="Arial" w:cs="Arial" w:eastAsia="Arial" w:hAnsi="Arial"/>
                <w:sz w:val="18"/>
                <w:szCs w:val="18"/>
                <w:color w:val="0000FF"/>
              </w:rPr>
            </w:pPr>
            <w:hyperlink w:anchor="page3">
              <w:r>
                <w:rPr>
                  <w:rFonts w:ascii="Arial" w:cs="Arial" w:eastAsia="Arial" w:hAnsi="Arial"/>
                  <w:sz w:val="18"/>
                  <w:szCs w:val="18"/>
                  <w:color w:val="0000FF"/>
                </w:rPr>
                <w:t>PART I</w:t>
              </w:r>
            </w:hyperlink>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w:t>
            </w:r>
          </w:p>
        </w:tc>
        <w:tc>
          <w:tcPr>
            <w:tcW w:w="922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7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FF"/>
            </w:tcBorders>
            <w:gridSpan w:val="4"/>
          </w:tcPr>
          <w:p>
            <w:pPr>
              <w:spacing w:after="0"/>
              <w:rPr>
                <w:rFonts w:ascii="Arial" w:cs="Arial" w:eastAsia="Arial" w:hAnsi="Arial"/>
                <w:sz w:val="18"/>
                <w:szCs w:val="18"/>
                <w:color w:val="0000FF"/>
                <w:w w:val="97"/>
              </w:rPr>
            </w:pPr>
            <w:hyperlink w:anchor="page7">
              <w:r>
                <w:rPr>
                  <w:rFonts w:ascii="Arial" w:cs="Arial" w:eastAsia="Arial" w:hAnsi="Arial"/>
                  <w:sz w:val="18"/>
                  <w:szCs w:val="18"/>
                  <w:color w:val="0000FF"/>
                  <w:w w:val="97"/>
                </w:rPr>
                <w:t>Risk Factors</w:t>
              </w:r>
            </w:hyperlink>
          </w:p>
        </w:tc>
        <w:tc>
          <w:tcPr>
            <w:tcW w:w="8220" w:type="dxa"/>
            <w:vAlign w:val="bottom"/>
            <w:gridSpan w:val="18"/>
          </w:tcPr>
          <w:p>
            <w:pPr>
              <w:spacing w:after="0"/>
              <w:rPr>
                <w:sz w:val="18"/>
                <w:szCs w:val="18"/>
                <w:color w:val="auto"/>
              </w:rPr>
            </w:pPr>
          </w:p>
        </w:tc>
        <w:tc>
          <w:tcPr>
            <w:tcW w:w="7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1B.</w:t>
            </w:r>
          </w:p>
        </w:tc>
        <w:tc>
          <w:tcPr>
            <w:tcW w:w="9220" w:type="dxa"/>
            <w:vAlign w:val="bottom"/>
            <w:gridSpan w:val="22"/>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Unresolved Staff Comments</w:t>
              </w:r>
            </w:hyperlink>
          </w:p>
        </w:tc>
        <w:tc>
          <w:tcPr>
            <w:tcW w:w="74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2.</w:t>
            </w:r>
          </w:p>
        </w:tc>
        <w:tc>
          <w:tcPr>
            <w:tcW w:w="8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7"/>
              </w:rPr>
            </w:pPr>
            <w:hyperlink w:anchor="page18">
              <w:r>
                <w:rPr>
                  <w:rFonts w:ascii="Arial" w:cs="Arial" w:eastAsia="Arial" w:hAnsi="Arial"/>
                  <w:sz w:val="18"/>
                  <w:szCs w:val="18"/>
                  <w:color w:val="0000FF"/>
                  <w:w w:val="97"/>
                </w:rPr>
                <w:t>Properties</w:t>
              </w:r>
            </w:hyperlink>
          </w:p>
        </w:tc>
        <w:tc>
          <w:tcPr>
            <w:tcW w:w="1420" w:type="dxa"/>
            <w:vAlign w:val="bottom"/>
            <w:tcBorders>
              <w:top w:val="single" w:sz="8" w:color="0000FF"/>
            </w:tcBorders>
            <w:gridSpan w:val="8"/>
          </w:tcPr>
          <w:p>
            <w:pPr>
              <w:spacing w:after="0"/>
              <w:rPr>
                <w:sz w:val="18"/>
                <w:szCs w:val="18"/>
                <w:color w:val="auto"/>
              </w:rPr>
            </w:pPr>
          </w:p>
        </w:tc>
        <w:tc>
          <w:tcPr>
            <w:tcW w:w="6980" w:type="dxa"/>
            <w:vAlign w:val="bottom"/>
            <w:gridSpan w:val="12"/>
          </w:tcPr>
          <w:p>
            <w:pPr>
              <w:spacing w:after="0"/>
              <w:rPr>
                <w:sz w:val="18"/>
                <w:szCs w:val="18"/>
                <w:color w:val="auto"/>
              </w:rPr>
            </w:pPr>
          </w:p>
        </w:tc>
        <w:tc>
          <w:tcPr>
            <w:tcW w:w="74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3.</w:t>
            </w:r>
          </w:p>
        </w:tc>
        <w:tc>
          <w:tcPr>
            <w:tcW w:w="9220" w:type="dxa"/>
            <w:vAlign w:val="bottom"/>
            <w:gridSpan w:val="22"/>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Legal Proceedings</w:t>
              </w:r>
            </w:hyperlink>
          </w:p>
        </w:tc>
        <w:tc>
          <w:tcPr>
            <w:tcW w:w="74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4.</w:t>
            </w:r>
          </w:p>
        </w:tc>
        <w:tc>
          <w:tcPr>
            <w:tcW w:w="9220" w:type="dxa"/>
            <w:vAlign w:val="bottom"/>
            <w:gridSpan w:val="22"/>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Mine Safety Disclosures</w:t>
              </w:r>
            </w:hyperlink>
          </w:p>
        </w:tc>
        <w:tc>
          <w:tcPr>
            <w:tcW w:w="74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c>
          <w:tcPr>
            <w:tcW w:w="20" w:type="dxa"/>
            <w:vAlign w:val="bottom"/>
          </w:tcPr>
          <w:p>
            <w:pPr>
              <w:spacing w:after="0"/>
              <w:rPr>
                <w:sz w:val="18"/>
                <w:szCs w:val="18"/>
                <w:color w:val="auto"/>
              </w:rPr>
            </w:pPr>
          </w:p>
        </w:tc>
      </w:tr>
      <w:tr>
        <w:trPr>
          <w:trHeight w:val="263"/>
        </w:trPr>
        <w:tc>
          <w:tcPr>
            <w:tcW w:w="20" w:type="dxa"/>
            <w:vAlign w:val="bottom"/>
          </w:tcPr>
          <w:p>
            <w:pPr>
              <w:spacing w:after="0"/>
              <w:rPr>
                <w:sz w:val="22"/>
                <w:szCs w:val="22"/>
                <w:color w:val="auto"/>
              </w:rPr>
            </w:pPr>
          </w:p>
        </w:tc>
        <w:tc>
          <w:tcPr>
            <w:tcW w:w="620" w:type="dxa"/>
            <w:vAlign w:val="bottom"/>
            <w:tcBorders>
              <w:bottom w:val="single" w:sz="8" w:color="0000FF"/>
            </w:tcBorders>
            <w:gridSpan w:val="2"/>
          </w:tcPr>
          <w:p>
            <w:pPr>
              <w:spacing w:after="0"/>
              <w:rPr>
                <w:rFonts w:ascii="Arial" w:cs="Arial" w:eastAsia="Arial" w:hAnsi="Arial"/>
                <w:sz w:val="18"/>
                <w:szCs w:val="18"/>
                <w:color w:val="0000FF"/>
                <w:w w:val="95"/>
              </w:rPr>
            </w:pPr>
            <w:hyperlink w:anchor="page18">
              <w:r>
                <w:rPr>
                  <w:rFonts w:ascii="Arial" w:cs="Arial" w:eastAsia="Arial" w:hAnsi="Arial"/>
                  <w:sz w:val="18"/>
                  <w:szCs w:val="18"/>
                  <w:color w:val="0000FF"/>
                  <w:w w:val="95"/>
                </w:rPr>
                <w:t>PART II</w:t>
              </w:r>
            </w:hyperlink>
          </w:p>
        </w:tc>
        <w:tc>
          <w:tcPr>
            <w:tcW w:w="620" w:type="dxa"/>
            <w:vAlign w:val="bottom"/>
            <w:gridSpan w:val="4"/>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5.</w:t>
            </w:r>
          </w:p>
        </w:tc>
        <w:tc>
          <w:tcPr>
            <w:tcW w:w="9220" w:type="dxa"/>
            <w:vAlign w:val="bottom"/>
            <w:gridSpan w:val="22"/>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Market for Registrant’s Common Equity, Related Stockholder Matters and Issuer Purchases of Equity Securities</w:t>
              </w:r>
            </w:hyperlink>
          </w:p>
        </w:tc>
        <w:tc>
          <w:tcPr>
            <w:tcW w:w="74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6.</w:t>
            </w:r>
          </w:p>
        </w:tc>
        <w:tc>
          <w:tcPr>
            <w:tcW w:w="8860" w:type="dxa"/>
            <w:vAlign w:val="bottom"/>
            <w:tcBorders>
              <w:top w:val="single" w:sz="8" w:color="0000FF"/>
            </w:tcBorders>
            <w:gridSpan w:val="21"/>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[Reserved]</w:t>
              </w:r>
            </w:hyperlink>
          </w:p>
        </w:tc>
        <w:tc>
          <w:tcPr>
            <w:tcW w:w="360" w:type="dxa"/>
            <w:vAlign w:val="bottom"/>
          </w:tcPr>
          <w:p>
            <w:pPr>
              <w:spacing w:after="0"/>
              <w:rPr>
                <w:sz w:val="18"/>
                <w:szCs w:val="18"/>
                <w:color w:val="auto"/>
              </w:rPr>
            </w:pPr>
          </w:p>
        </w:tc>
        <w:tc>
          <w:tcPr>
            <w:tcW w:w="74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17</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FF"/>
            </w:tcBorders>
            <w:gridSpan w:val="18"/>
          </w:tcPr>
          <w:p>
            <w:pPr>
              <w:spacing w:after="0"/>
              <w:rPr>
                <w:rFonts w:ascii="Arial" w:cs="Arial" w:eastAsia="Arial" w:hAnsi="Arial"/>
                <w:sz w:val="18"/>
                <w:szCs w:val="18"/>
                <w:color w:val="0000FF"/>
                <w:w w:val="99"/>
              </w:rPr>
            </w:pPr>
            <w:hyperlink w:anchor="page19">
              <w:r>
                <w:rPr>
                  <w:rFonts w:ascii="Arial" w:cs="Arial" w:eastAsia="Arial" w:hAnsi="Arial"/>
                  <w:sz w:val="18"/>
                  <w:szCs w:val="18"/>
                  <w:color w:val="0000FF"/>
                  <w:w w:val="99"/>
                </w:rPr>
                <w:t>Management’s Discussion and Analysis of Financial Condition and Results of Operations</w:t>
              </w:r>
            </w:hyperlink>
          </w:p>
        </w:tc>
        <w:tc>
          <w:tcPr>
            <w:tcW w:w="2140" w:type="dxa"/>
            <w:vAlign w:val="bottom"/>
            <w:gridSpan w:val="4"/>
          </w:tcPr>
          <w:p>
            <w:pPr>
              <w:spacing w:after="0"/>
              <w:rPr>
                <w:sz w:val="18"/>
                <w:szCs w:val="18"/>
                <w:color w:val="auto"/>
              </w:rPr>
            </w:pPr>
          </w:p>
        </w:tc>
        <w:tc>
          <w:tcPr>
            <w:tcW w:w="74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18</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7A.</w:t>
            </w:r>
          </w:p>
        </w:tc>
        <w:tc>
          <w:tcPr>
            <w:tcW w:w="9220" w:type="dxa"/>
            <w:vAlign w:val="bottom"/>
            <w:gridSpan w:val="2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74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8.</w:t>
            </w:r>
          </w:p>
        </w:tc>
        <w:tc>
          <w:tcPr>
            <w:tcW w:w="372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9"/>
              </w:rPr>
            </w:pPr>
            <w:hyperlink w:anchor="page41">
              <w:r>
                <w:rPr>
                  <w:rFonts w:ascii="Arial" w:cs="Arial" w:eastAsia="Arial" w:hAnsi="Arial"/>
                  <w:sz w:val="18"/>
                  <w:szCs w:val="18"/>
                  <w:color w:val="0000FF"/>
                  <w:w w:val="99"/>
                </w:rPr>
                <w:t>Financial Statements and Supplementary Data</w:t>
              </w:r>
            </w:hyperlink>
          </w:p>
        </w:tc>
        <w:tc>
          <w:tcPr>
            <w:tcW w:w="980" w:type="dxa"/>
            <w:vAlign w:val="bottom"/>
            <w:tcBorders>
              <w:top w:val="single" w:sz="8" w:color="0000FF"/>
            </w:tcBorders>
            <w:gridSpan w:val="2"/>
          </w:tcPr>
          <w:p>
            <w:pPr>
              <w:spacing w:after="0"/>
              <w:rPr>
                <w:sz w:val="18"/>
                <w:szCs w:val="18"/>
                <w:color w:val="auto"/>
              </w:rPr>
            </w:pPr>
          </w:p>
        </w:tc>
        <w:tc>
          <w:tcPr>
            <w:tcW w:w="4520" w:type="dxa"/>
            <w:vAlign w:val="bottom"/>
            <w:gridSpan w:val="7"/>
          </w:tcPr>
          <w:p>
            <w:pPr>
              <w:spacing w:after="0"/>
              <w:rPr>
                <w:sz w:val="18"/>
                <w:szCs w:val="18"/>
                <w:color w:val="auto"/>
              </w:rPr>
            </w:pPr>
          </w:p>
        </w:tc>
        <w:tc>
          <w:tcPr>
            <w:tcW w:w="74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39</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9.</w:t>
            </w:r>
          </w:p>
        </w:tc>
        <w:tc>
          <w:tcPr>
            <w:tcW w:w="9220" w:type="dxa"/>
            <w:vAlign w:val="bottom"/>
            <w:gridSpan w:val="2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Changes in and Disagreements with Accountants on Accounting and Financial Disclosure</w:t>
              </w:r>
            </w:hyperlink>
          </w:p>
        </w:tc>
        <w:tc>
          <w:tcPr>
            <w:tcW w:w="74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39</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9A.</w:t>
            </w:r>
          </w:p>
        </w:tc>
        <w:tc>
          <w:tcPr>
            <w:tcW w:w="7120" w:type="dxa"/>
            <w:vAlign w:val="bottom"/>
            <w:tcBorders>
              <w:top w:val="single" w:sz="8" w:color="0000FF"/>
            </w:tcBorders>
            <w:gridSpan w:val="19"/>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2100" w:type="dxa"/>
            <w:vAlign w:val="bottom"/>
            <w:gridSpan w:val="3"/>
          </w:tcPr>
          <w:p>
            <w:pPr>
              <w:spacing w:after="0"/>
              <w:rPr>
                <w:sz w:val="18"/>
                <w:szCs w:val="18"/>
                <w:color w:val="auto"/>
              </w:rPr>
            </w:pPr>
          </w:p>
        </w:tc>
        <w:tc>
          <w:tcPr>
            <w:tcW w:w="74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39</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9B.</w:t>
            </w:r>
          </w:p>
        </w:tc>
        <w:tc>
          <w:tcPr>
            <w:tcW w:w="14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8"/>
              </w:rPr>
            </w:pPr>
            <w:hyperlink w:anchor="page42">
              <w:r>
                <w:rPr>
                  <w:rFonts w:ascii="Arial" w:cs="Arial" w:eastAsia="Arial" w:hAnsi="Arial"/>
                  <w:sz w:val="18"/>
                  <w:szCs w:val="18"/>
                  <w:color w:val="0000FF"/>
                  <w:w w:val="98"/>
                </w:rPr>
                <w:t>Other Information</w:t>
              </w:r>
            </w:hyperlink>
          </w:p>
        </w:tc>
        <w:tc>
          <w:tcPr>
            <w:tcW w:w="580" w:type="dxa"/>
            <w:vAlign w:val="bottom"/>
            <w:tcBorders>
              <w:top w:val="single" w:sz="8" w:color="0000FF"/>
            </w:tcBorders>
            <w:gridSpan w:val="4"/>
          </w:tcPr>
          <w:p>
            <w:pPr>
              <w:spacing w:after="0"/>
              <w:rPr>
                <w:sz w:val="18"/>
                <w:szCs w:val="18"/>
                <w:color w:val="auto"/>
              </w:rPr>
            </w:pPr>
          </w:p>
        </w:tc>
        <w:tc>
          <w:tcPr>
            <w:tcW w:w="7240" w:type="dxa"/>
            <w:vAlign w:val="bottom"/>
            <w:gridSpan w:val="13"/>
          </w:tcPr>
          <w:p>
            <w:pPr>
              <w:spacing w:after="0"/>
              <w:rPr>
                <w:sz w:val="18"/>
                <w:szCs w:val="18"/>
                <w:color w:val="auto"/>
              </w:rPr>
            </w:pPr>
          </w:p>
        </w:tc>
        <w:tc>
          <w:tcPr>
            <w:tcW w:w="7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40</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9C.</w:t>
            </w:r>
          </w:p>
        </w:tc>
        <w:tc>
          <w:tcPr>
            <w:tcW w:w="9220" w:type="dxa"/>
            <w:vAlign w:val="bottom"/>
            <w:gridSpan w:val="2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Disclosure Regarding Foreign Jurisdictions that Prevent Inspections</w:t>
              </w:r>
            </w:hyperlink>
          </w:p>
        </w:tc>
        <w:tc>
          <w:tcPr>
            <w:tcW w:w="7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40</w:t>
              </w:r>
            </w:hyperlink>
          </w:p>
        </w:tc>
        <w:tc>
          <w:tcPr>
            <w:tcW w:w="20" w:type="dxa"/>
            <w:vAlign w:val="bottom"/>
          </w:tcPr>
          <w:p>
            <w:pPr>
              <w:spacing w:after="0"/>
              <w:rPr>
                <w:sz w:val="18"/>
                <w:szCs w:val="18"/>
                <w:color w:val="auto"/>
              </w:rPr>
            </w:pPr>
          </w:p>
        </w:tc>
      </w:tr>
      <w:tr>
        <w:trPr>
          <w:trHeight w:val="263"/>
        </w:trPr>
        <w:tc>
          <w:tcPr>
            <w:tcW w:w="20" w:type="dxa"/>
            <w:vAlign w:val="bottom"/>
          </w:tcPr>
          <w:p>
            <w:pPr>
              <w:spacing w:after="0"/>
              <w:rPr>
                <w:sz w:val="22"/>
                <w:szCs w:val="22"/>
                <w:color w:val="auto"/>
              </w:rPr>
            </w:pPr>
          </w:p>
        </w:tc>
        <w:tc>
          <w:tcPr>
            <w:tcW w:w="1240" w:type="dxa"/>
            <w:vAlign w:val="bottom"/>
            <w:gridSpan w:val="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PART III</w:t>
              </w:r>
            </w:hyperlink>
          </w:p>
        </w:tc>
        <w:tc>
          <w:tcPr>
            <w:tcW w:w="7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92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7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42">
              <w:r>
                <w:rPr>
                  <w:rFonts w:ascii="Arial" w:cs="Arial" w:eastAsia="Arial" w:hAnsi="Arial"/>
                  <w:sz w:val="18"/>
                  <w:szCs w:val="18"/>
                  <w:color w:val="0000FF"/>
                  <w:w w:val="99"/>
                </w:rPr>
                <w:t>Directors, Executive Officers and Corporate Governance</w:t>
              </w:r>
            </w:hyperlink>
          </w:p>
        </w:tc>
        <w:tc>
          <w:tcPr>
            <w:tcW w:w="4720" w:type="dxa"/>
            <w:vAlign w:val="bottom"/>
            <w:gridSpan w:val="8"/>
          </w:tcPr>
          <w:p>
            <w:pPr>
              <w:spacing w:after="0"/>
              <w:rPr>
                <w:sz w:val="18"/>
                <w:szCs w:val="18"/>
                <w:color w:val="auto"/>
              </w:rPr>
            </w:pPr>
          </w:p>
        </w:tc>
        <w:tc>
          <w:tcPr>
            <w:tcW w:w="7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40</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11.</w:t>
            </w:r>
          </w:p>
        </w:tc>
        <w:tc>
          <w:tcPr>
            <w:tcW w:w="9220" w:type="dxa"/>
            <w:vAlign w:val="bottom"/>
            <w:gridSpan w:val="2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Executive Compensation</w:t>
              </w:r>
            </w:hyperlink>
          </w:p>
        </w:tc>
        <w:tc>
          <w:tcPr>
            <w:tcW w:w="7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12.</w:t>
            </w:r>
          </w:p>
        </w:tc>
        <w:tc>
          <w:tcPr>
            <w:tcW w:w="9220" w:type="dxa"/>
            <w:vAlign w:val="bottom"/>
            <w:gridSpan w:val="2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Security Ownership of Certain Beneficial Owners and Management and Related Stockholder Matters</w:t>
              </w:r>
            </w:hyperlink>
          </w:p>
        </w:tc>
        <w:tc>
          <w:tcPr>
            <w:tcW w:w="7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41</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13.</w:t>
            </w:r>
          </w:p>
        </w:tc>
        <w:tc>
          <w:tcPr>
            <w:tcW w:w="8000" w:type="dxa"/>
            <w:vAlign w:val="bottom"/>
            <w:tcBorders>
              <w:top w:val="single" w:sz="8" w:color="0000FF"/>
            </w:tcBorders>
            <w:gridSpan w:val="2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Certain Relationships and Related Transactions, and Director Independence</w:t>
              </w:r>
            </w:hyperlink>
          </w:p>
        </w:tc>
        <w:tc>
          <w:tcPr>
            <w:tcW w:w="1220" w:type="dxa"/>
            <w:vAlign w:val="bottom"/>
            <w:gridSpan w:val="2"/>
          </w:tcPr>
          <w:p>
            <w:pPr>
              <w:spacing w:after="0"/>
              <w:rPr>
                <w:sz w:val="18"/>
                <w:szCs w:val="18"/>
                <w:color w:val="auto"/>
              </w:rPr>
            </w:pPr>
          </w:p>
        </w:tc>
        <w:tc>
          <w:tcPr>
            <w:tcW w:w="7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14.</w:t>
            </w:r>
          </w:p>
        </w:tc>
        <w:tc>
          <w:tcPr>
            <w:tcW w:w="6060" w:type="dxa"/>
            <w:vAlign w:val="bottom"/>
            <w:tcBorders>
              <w:top w:val="single" w:sz="8" w:color="0000FF"/>
            </w:tcBorders>
            <w:gridSpan w:val="1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Principal Accounting Fees and Services</w:t>
              </w:r>
            </w:hyperlink>
          </w:p>
        </w:tc>
        <w:tc>
          <w:tcPr>
            <w:tcW w:w="3160" w:type="dxa"/>
            <w:vAlign w:val="bottom"/>
            <w:gridSpan w:val="5"/>
          </w:tcPr>
          <w:p>
            <w:pPr>
              <w:spacing w:after="0"/>
              <w:rPr>
                <w:sz w:val="18"/>
                <w:szCs w:val="18"/>
                <w:color w:val="auto"/>
              </w:rPr>
            </w:pPr>
          </w:p>
        </w:tc>
        <w:tc>
          <w:tcPr>
            <w:tcW w:w="7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c>
          <w:tcPr>
            <w:tcW w:w="20" w:type="dxa"/>
            <w:vAlign w:val="bottom"/>
          </w:tcPr>
          <w:p>
            <w:pPr>
              <w:spacing w:after="0"/>
              <w:rPr>
                <w:sz w:val="18"/>
                <w:szCs w:val="18"/>
                <w:color w:val="auto"/>
              </w:rPr>
            </w:pPr>
          </w:p>
        </w:tc>
      </w:tr>
      <w:tr>
        <w:trPr>
          <w:trHeight w:val="263"/>
        </w:trPr>
        <w:tc>
          <w:tcPr>
            <w:tcW w:w="20" w:type="dxa"/>
            <w:vAlign w:val="bottom"/>
          </w:tcPr>
          <w:p>
            <w:pPr>
              <w:spacing w:after="0"/>
              <w:rPr>
                <w:sz w:val="22"/>
                <w:szCs w:val="22"/>
                <w:color w:val="auto"/>
              </w:rPr>
            </w:pPr>
          </w:p>
        </w:tc>
        <w:tc>
          <w:tcPr>
            <w:tcW w:w="1240" w:type="dxa"/>
            <w:vAlign w:val="bottom"/>
            <w:gridSpan w:val="6"/>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PART IV</w:t>
              </w:r>
            </w:hyperlink>
          </w:p>
        </w:tc>
        <w:tc>
          <w:tcPr>
            <w:tcW w:w="7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920" w:type="dxa"/>
            <w:vAlign w:val="bottom"/>
            <w:tcBorders>
              <w:top w:val="single" w:sz="8" w:color="0000FF"/>
            </w:tcBorders>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15.</w:t>
            </w:r>
          </w:p>
        </w:tc>
        <w:tc>
          <w:tcPr>
            <w:tcW w:w="9220" w:type="dxa"/>
            <w:vAlign w:val="bottom"/>
            <w:gridSpan w:val="2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 and Financial Statement Schedules</w:t>
              </w:r>
            </w:hyperlink>
          </w:p>
        </w:tc>
        <w:tc>
          <w:tcPr>
            <w:tcW w:w="7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16.</w:t>
            </w:r>
          </w:p>
        </w:tc>
        <w:tc>
          <w:tcPr>
            <w:tcW w:w="3500" w:type="dxa"/>
            <w:vAlign w:val="bottom"/>
            <w:tcBorders>
              <w:top w:val="single" w:sz="8" w:color="0000FF"/>
            </w:tcBorders>
            <w:gridSpan w:val="1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Form 10-K Summary</w:t>
              </w:r>
            </w:hyperlink>
          </w:p>
        </w:tc>
        <w:tc>
          <w:tcPr>
            <w:tcW w:w="5720" w:type="dxa"/>
            <w:vAlign w:val="bottom"/>
            <w:gridSpan w:val="10"/>
          </w:tcPr>
          <w:p>
            <w:pPr>
              <w:spacing w:after="0"/>
              <w:rPr>
                <w:sz w:val="18"/>
                <w:szCs w:val="18"/>
                <w:color w:val="auto"/>
              </w:rPr>
            </w:pPr>
          </w:p>
        </w:tc>
        <w:tc>
          <w:tcPr>
            <w:tcW w:w="7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SIGNATURES</w:t>
              </w:r>
            </w:hyperlink>
          </w:p>
        </w:tc>
        <w:tc>
          <w:tcPr>
            <w:tcW w:w="7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c>
          <w:tcPr>
            <w:tcW w:w="20" w:type="dxa"/>
            <w:vAlign w:val="bottom"/>
          </w:tcPr>
          <w:p>
            <w:pPr>
              <w:spacing w:after="0"/>
              <w:rPr>
                <w:sz w:val="18"/>
                <w:szCs w:val="18"/>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this Annual Report on Form 10-K, unless the context otherwise requires, the terms “Huron,” “Company,” “we,” “us” and “our” refer to Huron Consulting Group Inc. and its subsidiaries.</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Statements in this Annual Report on Form 10-K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the impact of the COVID-19 pandemic on the economy, our clients and client demand for our services, and our ability to sell and provide services, including the measures taken by governmental authorities and businesses in response to the pandemic, which may cause or contribute to other risks and uncertainties that we face;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5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our clients need to own their future. By embracing diverse perspectives, encouraging new ideas and challenging the status quo, Huron delivers sustainable results for the organizations it serves.</w:t>
      </w:r>
    </w:p>
    <w:p>
      <w:pPr>
        <w:spacing w:after="0" w:line="150"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We are headquartered in Chicago, Illinois, with additional locations in the United States and abroad in Canada, India, Singapore, and Switzerland.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93"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We provide professional services through three operating segments: Healthcare, Business Advisory, and Education, which for the year ended December 31, 2021, we derived 42%, 32%, and 26% of our consolidated revenues from these operating segments, respectively.</w:t>
      </w:r>
    </w:p>
    <w:p>
      <w:pPr>
        <w:spacing w:after="0" w:line="12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pacing w:after="0" w:line="148"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will begin reporting under the following three industries, which will be our reportable segments: Healthcare, Education and Commercial. The Commercial segment will include all industries outside of healthcare and education, including, but not limited to, financial services and energy and utilities. In the new reporting structure, each segment will include all revenue and costs associated with engagements delivered in the respective industry segments. The new Healthcare and Education segments will include some revenue and costs historically reported in the Business Advisory segment and the Healthcare segment will include some revenue and costs historically reported in the Education segment. We will also provide revenue reporting across two principal capabilities: i) Consulting and Managed Services and ii) Digital. These changes will create greater transparency for investors by improving visibility into the core drivers of our business. While our consolidated results will not be impacted, we will recast our historical segment information during 2022 for consistent presentation.</w:t>
      </w:r>
    </w:p>
    <w:p>
      <w:pPr>
        <w:spacing w:after="0" w:line="23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For further financial information on our segment results, see Part II - Item 7. "Management's Discussion and Analysis of Financial Condition and Results of Operations" and Note 19 "Segment Information" within the notes to our consolidated financial statements.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Healthcare</w:t>
      </w:r>
    </w:p>
    <w:p>
      <w:pPr>
        <w:spacing w:after="0" w:line="193" w:lineRule="exact"/>
        <w:rPr>
          <w:rFonts w:ascii="Arial" w:cs="Arial" w:eastAsia="Arial" w:hAnsi="Arial"/>
          <w:sz w:val="18"/>
          <w:szCs w:val="18"/>
          <w:color w:val="auto"/>
        </w:rPr>
      </w:pPr>
    </w:p>
    <w:p>
      <w:pPr>
        <w:ind w:left="660"/>
        <w:spacing w:after="0" w:line="251" w:lineRule="auto"/>
        <w:rPr>
          <w:rFonts w:ascii="Arial" w:cs="Arial" w:eastAsia="Arial" w:hAnsi="Arial"/>
          <w:sz w:val="18"/>
          <w:szCs w:val="18"/>
          <w:color w:val="auto"/>
        </w:rPr>
      </w:pPr>
      <w:r>
        <w:rPr>
          <w:rFonts w:ascii="Arial" w:cs="Arial" w:eastAsia="Arial" w:hAnsi="Arial"/>
          <w:sz w:val="18"/>
          <w:szCs w:val="18"/>
          <w:color w:val="auto"/>
        </w:rPr>
        <w:t>Our Healthcare segment serves providers and payors including national and regional hospitals, integrated health systems, academic medical centers, community hospitals, medical groups and health plans. Our Healthcare professionals have a depth of expertise in business operations, including financial and operational improvement, care transformation, and revenue cycle managed services; organizational transformation; and digital, technology and analytic solutions. Most healthcare organizations are focused on changing the way care is delivered; establishing a sustainable business model centered around optimal cost structures, reimbursement models and financial strategies; evolving their digital, technology and analytic capabilities; and exceeding the expectations of their employees and patients. Our solutions help clients adapt to this rapidly changing healthcare environment to become a more nimble, efficient and consumer-centric organization. We use our deep industry expertise to help clients solve a diverse set of business issues, including, but not limited to, optimizing financial and operational performance, improving care delivery and clinical outcomes, increasing physician, patient and employee satisfaction, evolving organizational culture, and maximizing return on technology investments.</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Advisory</w:t>
      </w:r>
    </w:p>
    <w:p>
      <w:pPr>
        <w:spacing w:after="0" w:line="193" w:lineRule="exact"/>
        <w:rPr>
          <w:rFonts w:ascii="Arial" w:cs="Arial" w:eastAsia="Arial" w:hAnsi="Arial"/>
          <w:sz w:val="18"/>
          <w:szCs w:val="18"/>
          <w:b w:val="1"/>
          <w:bCs w:val="1"/>
          <w:color w:val="auto"/>
        </w:rPr>
      </w:pPr>
    </w:p>
    <w:p>
      <w:pPr>
        <w:ind w:left="660" w:right="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Business Advisory segment works with C-suite executives and business unit and functional leadership across a diverse set of organizations, including healthy, well-capitalized companies to organizations in transition, and across a broad range of industries, including healthcare, energy and utilities, financial services, life sciences, industrials and manufacturing, education, and the public sector. Our Business Advisory professionals have deep industry, functional and technical expertise that they put forward when delivering our digital, technology and analytics, strategy and innovation and restructuring and corporate finance services. In today’s disruptive environment, organizations must reimagine their historical strategies and financial and operating models to sustain and advance their competitive advantage. Organizations also recognize the need to adopt technologies, automation and analytics to improve their operations and compete in a rapidly changing landscape. Our experts help organizations across industries with a variety of business challenges, including, but not limited to, embedding technology and analytics throughout their internal and customer-facing operations, developing insights into the needs of tomorrow’s customers to evolve their enterprise and business unit strategies, bringing new products to market, and managing through stressed and distressed situations to create a viable path forward for stakeholders.</w:t>
      </w:r>
    </w:p>
    <w:p>
      <w:pPr>
        <w:spacing w:after="0" w:line="134"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93" w:lineRule="exact"/>
        <w:rPr>
          <w:rFonts w:ascii="Arial" w:cs="Arial" w:eastAsia="Arial" w:hAnsi="Arial"/>
          <w:sz w:val="18"/>
          <w:szCs w:val="18"/>
          <w:color w:val="auto"/>
        </w:rPr>
      </w:pPr>
    </w:p>
    <w:p>
      <w:pPr>
        <w:ind w:left="660" w:right="100"/>
        <w:spacing w:after="0" w:line="265" w:lineRule="auto"/>
        <w:rPr>
          <w:rFonts w:ascii="Arial" w:cs="Arial" w:eastAsia="Arial" w:hAnsi="Arial"/>
          <w:sz w:val="18"/>
          <w:szCs w:val="18"/>
          <w:color w:val="auto"/>
        </w:rPr>
      </w:pPr>
      <w:r>
        <w:rPr>
          <w:rFonts w:ascii="Arial" w:cs="Arial" w:eastAsia="Arial" w:hAnsi="Arial"/>
          <w:sz w:val="17"/>
          <w:szCs w:val="17"/>
          <w:color w:val="auto"/>
        </w:rPr>
        <w:t>Our Education segment serves public and private colleges and universities, academic medical centers, research institutes and other not-for-profit organizations. Our Education professionals have a depth of expertise in strategy; business operations, including in the areas of the research enterprise and student lifecycle; digital, technology and analytic solutions; and organizational transformation.</w:t>
      </w:r>
    </w:p>
    <w:p>
      <w:pPr>
        <w:ind w:left="660" w:right="40"/>
        <w:spacing w:after="0" w:line="252" w:lineRule="auto"/>
        <w:rPr>
          <w:rFonts w:ascii="Arial" w:cs="Arial" w:eastAsia="Arial" w:hAnsi="Arial"/>
          <w:sz w:val="18"/>
          <w:szCs w:val="18"/>
          <w:color w:val="auto"/>
        </w:rPr>
      </w:pPr>
      <w:r>
        <w:rPr>
          <w:rFonts w:ascii="Arial" w:cs="Arial" w:eastAsia="Arial" w:hAnsi="Arial"/>
          <w:sz w:val="18"/>
          <w:szCs w:val="18"/>
          <w:color w:val="auto"/>
        </w:rPr>
        <w:t>Our Education segment clients are increasingly faced with financial and/or demographic and enrollment challenges as well as increased competition. To remain competitive, organizations must challenge traditional operating and financial models and reimagine strategic, operational and research-centered opportunities that advance their mission while strengthening their business models. We collaborate with clients to address these challenges and ensure they have a sustainable future. We combine our deep industry, functional and technical expertise to help clients solve their most pressing challenges, including, but not limited to, transforming business operations with technology; strengthening research strategies and support services; evolving their organizational strategy; optimizing financial and operational performance; and enhancing the student experience.</w:t>
      </w:r>
    </w:p>
    <w:p>
      <w:pPr>
        <w:spacing w:after="0" w:line="15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Huron is an Oracle partner, a Gold-level consulting partner with Salesforce.com and a Premium Partner with Salesforce.org, a Workday Services and Software Partner, an Amazon Web Services consulting partner, a Silver-level system integrator with Informatica and an SAP Concur implementation partner. We also partner with other technology organizations whose products and services support our core industries.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 AND INDUSTRIES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provide services to both financially sound organizations and organizations in transition across industries, including healthcare, education, financial services, energy and utilities, industrials and manufacturing, public sector and other commercial industries. Our clients span hospitals, health systems and academic medical centers; colleges, universities and research institutes; banks, asset managers, insurance companies and private equity firms; oil and gas and utilities companies, manufacturing organizations and the federal government. In 2021, we served over 1,900 clients, and our 10 largest clients accounted for approximately 19% of our consolidated revenues.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 AND MANAGEMENT</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Our success depends on our ability to attract, engage, develop and retain highly talented professionals. Our growth strategy depends on creating a work environment where employees are engaged and rewarded for their own contributions and the success of our organization. We are focused on advancing every facet of the employee experience, beginning with the recruiting process through post-employment or retirement. We create a personalized experience for our people and empower them to make a meaningful impact on our clients, our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communities, and one another. We have developed comprehensive programs incorporating learning opportunities, beginning with the onboarding process and continuing throughout one’s career journey to enable the professional development of our team. We provide a competitive total rewards package including robust benefits that are tailored to the diverse needs of our employees and are refreshed regularly to maintain competitiveness. Our total rewards program has continuously helped Huron to be recognized as a Best Firm to Work For by Consulting magazine, including 2021 which marks our eleventh consecutive year earning this distinction. In addition to external recognitions, we monitor human capital-related internal metrics. Our leading measure is our quarterly employee engagement score, which was consistently in the high 70s throughout 2021 compared to the Glint Employee Engagement global benchmark of 74. In addition, we regularly review voluntary turnover across a number of key variables including business unit, performance achievement, geography, and demographics in order to assess the effectiveness of our employee development and total rewards programs.</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of December 31, 2021, we had 4,609 full-time client service and support professionals, including 168 client-serving managing directors. Our client-serving employees act as critical business advisors, collaborating with clients to help solve their most complex business problems. Our managing directors are the key drivers of growth in our business, generating revenue streams from new and existing clients. Our managing directors also enhance our market reputation by working closely with our clients to address their most pressing challenges and ensuring high-quality delivery of our engagements. Internally, they lead the creation of our intellectual capital, develop our people, and are stewards of our culture. Our principals, senior directors, directors, and managers manage day-to-day client relationships and engagement teams, develop our people, nurture our culture, and oversee the delivery and quality of our work product. Our associates and analysts gather and organize data, conduct detailed analyses, evolve our culture and prepare presentations that synthesize and distill information to support recommendations we deliver to clients.</w:t>
      </w:r>
    </w:p>
    <w:p>
      <w:pPr>
        <w:spacing w:after="0" w:line="15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support professionals include our senior management team as well as those who provide sales support, methodology creation, software development, and corporate functions consisting of corporate development, facilities, finance and accounting, human resources, information technology, legal, and marketing. These professionals provide strategic direction for the enterprise and support that enables the success of our businesses and client-serving employees. At December 31, 2021, our support professionals team was led by 29 executives, managing directors, and corporate vice presidents.</w:t>
      </w:r>
    </w:p>
    <w:p>
      <w:pPr>
        <w:spacing w:after="0" w:line="151" w:lineRule="exact"/>
        <w:rPr>
          <w:sz w:val="20"/>
          <w:szCs w:val="20"/>
          <w:color w:val="auto"/>
        </w:rPr>
      </w:pPr>
    </w:p>
    <w:p>
      <w:pPr>
        <w:ind w:right="580"/>
        <w:spacing w:after="0" w:line="254" w:lineRule="auto"/>
        <w:rPr>
          <w:sz w:val="20"/>
          <w:szCs w:val="20"/>
          <w:color w:val="auto"/>
        </w:rPr>
      </w:pPr>
      <w:r>
        <w:rPr>
          <w:rFonts w:ascii="Arial" w:cs="Arial" w:eastAsia="Arial" w:hAnsi="Arial"/>
          <w:sz w:val="18"/>
          <w:szCs w:val="18"/>
          <w:color w:val="auto"/>
        </w:rPr>
        <w:t>In addition to our full-time client-serving employees, we engage temporary employees on an as-needed basis. We primarily use this contingent workforce to engage talent with specialized skills and/or experience or to expand our capacity to be able to deliver on client engagements or internal initiatives. We will continue to use temporary employees going forward as a key part of achieving our growth strategy.</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ability to advance one’s career is critical to our employee retention and engagement. As part of our onboarding process, our employee experience team facilitates a robust and structured curriculum for newly hired employees. We strive to develop world class leaders and are committed to providing programs and opportunities that achieve this goal by focusing on key leadership behaviors at all levels. We also provide a variety of learning opportunities, through both individual on-demand courses and virtual classroom environments, to further develop employees’ skills, including technical knowledge, soft skills, team dynamics, and coaching and developing others. We encourage our employees to enhance their professional capabilities through external learning opportunities that certify their technical skills and to pursue certain advanced degrees. Employees are matched with internal onboarding stewards, performance coaches, mentors, and in some cases sponsors to facilitate their growth and network of support.</w:t>
      </w:r>
    </w:p>
    <w:p>
      <w:pPr>
        <w:spacing w:after="0" w:line="15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Our total rewards philosophy focuses on rewarding and retaining our high performing employees. To accomplish this, we offer employees a competitive base salary, performance incentives, and robust, market-competitive benefits.</w:t>
      </w:r>
    </w:p>
    <w:p>
      <w:pPr>
        <w:spacing w:after="0" w:line="14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Our incentive compensation plan is designed to recognize and reward performance at both the organization and individual level. We take both practice and company financial performance into consideration in the determination of bonus pool funding. At the practice level, the annual bonus pool is funded based on achievement of its annual financial goals. Our board of directors reviews and approves the total incentive compensation pool for all practices in the context of Huron’s overall financial performance. Individual bonus awards are based on the practice’s financial performance, individual bonus targets, and the individual’s performance as evaluated through our performance management process. The intent of the incentive compensation plan is to differentiate rewards based on individual performance, ensuring that our top performers receive incentives that are commensurate with their contributions in a given year. The incentive compensation plan for our named executive officers is funded based on a blend of achievement of company-wide financial goals and strategic initiatives.</w:t>
      </w:r>
    </w:p>
    <w:p>
      <w:pPr>
        <w:spacing w:after="0" w:line="15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Managing directors’ individual compensation levels, including base salary and target incentive awards, are set to align with the value of their expected contributions to Huron, including collaboration across practices. As the key drivers of the organization’s success, their compensation is designed to include equity awards as a core component. The use of equity is intended to encourage retention, align the interests of our managing directors with shareholders, and help build wealth over a managing director's career at Huron through annual grants as well as stock price appreciation.</w:t>
      </w:r>
    </w:p>
    <w:p>
      <w:pPr>
        <w:spacing w:after="0" w:line="15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benefit programs are designed to be comprehensive, competitive and personalized to the needs of our employees. We provide opportunities that allow employees to focus and care for their personal well-being which are aimed at providing tools and resources to focus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on their physical, financial, social, and emotional health given the demanding nature of their work. In addition, our health and welfare plans, retirement benefits, and stock purchase plan provide a core foundation of security to our employees and their families.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Huron’s value of inclusion has been embedded across our organization since our founding and is fostered in our work environment every day. In 2020, we renewed our commitment to holding ourselves accountable by developing a five-year diversity and inclusion action plan to help build a more equitable society. Through our action plan in 2021, we continued to foster an inclusive culture, advanced diverse representation across all levels of the organization, expanded our community outreach and support, and performed a new pay equity study. Additionally, in 2021, the strategic measures included in the annual incentive program for our named executive officers were enhanced to include quantitative and qualitative measures against the progress towards the goals outlined in our five-year action plan. We will continue to execute and expand on our diversity and inclusion action plan in 2022 and beyond.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fully committed to our expanded societal role in making a lasting, positive impact on our people, our clients, our communities and the environment. In 2021, we published our second Corporate Social Responsibility (CSR) report, highlighting the actions we have taken to support our clients, our communities, our people and the environment. Our CSR report reflects our efforts in support of the United Nations Sustainable Development Goals (SDGs), particularly five goals that are integrally aligned with our values-driven culture and the work we do for our clients: good health and well-being, quality education, gender equality, decent work and economic growth and climate action. We have and will continue to support these goals through our Huron Helping Hands program, employee resource groups, sustainability efforts, and corporate partnerships. As an addendum to our 2021 CSR report, we published our inaugural Sustainability Accounting Standards Board (SASB) index in line with SASB’s Professional &amp; Commercial Services standards. Our SASB index provides further quantitative and qualitative information regarding our data security programs, practices and policies, workforce diversity and engagement metrics, and our approach to promoting professional integrity and ethical behavior among our workforce, commensurate with best practices for professional services organizations.</w:t>
      </w:r>
    </w:p>
    <w:p>
      <w:pPr>
        <w:spacing w:after="0" w:line="15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For additional information on Huron’s commitment to a more sustainable future, refer to our annual Corporate Social Responsibility report, which includes our SASB index, and is available on the investor relations website which is located at ir.huronconsultinggroup.com.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AND MARKETING</w:t>
      </w:r>
    </w:p>
    <w:p>
      <w:pPr>
        <w:spacing w:after="0" w:line="19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business development and marketing activities are aimed at cultivating relationships, generating leads, and building a strong brand reputation with offices of the C-suite and senior level influencers and decision makers of organizations within our core industries. We believe excellent service delivery to clients is critical to building and maintaining relationships and sustaining and strengthening our brand reputation, and we emphasize the importance of high-quality client service to all of our employees.</w:t>
      </w:r>
    </w:p>
    <w:p>
      <w:pPr>
        <w:spacing w:after="0" w:line="232"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Currently, we generate new business opportunities through the combination of relationships our managing directors have with individuals working at our prospective clients and marketing activities. We also view market-based collaboration between our employees as a key component in building our business. Often, the client relationship of an employee in one area of our business leads to opportunities in another area. All of our managing directors understand their roles in ongoing relationship and business development, which is reinforced through our compensation and incentive programs. We actively seek to identify new business opportunities and frequently receive referrals and repeat business from past and current clients. In addition, to complement the business development efforts of our managing directors, we have dedicated business development professionals who are focused exclusively on developing client relationships and generating new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professional services industry is extremely competitive, highly fragmented, and constantly evolving. The industry includes a large number of participants with a variety of skills and industry expertise, including other strategy, business operations, technology, and financial advisory consulting firms; general management consulting firms; the consulting practices of major accounting firms; technical and economic advisory firms; regional and specialty consulting firms; consulting divisions of our technology partners; and the internal professional resources of organizations. We compete with a large number of service and technology providers in all of our segments. Our competitors vary, depending on the particular industry and expertise area, and we expect to continue to face competition from new market entrants.</w:t>
      </w:r>
    </w:p>
    <w:p>
      <w:pPr>
        <w:spacing w:after="0" w:line="15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believe the principal competitive factors in our market include reputation, the ability to attract and retain top talent, the capacity to manage engagements effectively to drive high value to clients, and the ability to deliver measurable and sustainable results. There is also competition on price, although to a lesser extent due to the criticality of the issues that many of our services address. Some competitors have a greater geographic footprint, broader international presence, and more resources than we do, but we believe our reputation and ability to deliver high-value, quality service and measurable results to our clients across a balanced portfolio of services and to attract and retain employees with broad capabilities and deep industry expertise enable us to compete favorably in the professional services marketplace.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9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(the “SEC”). These filings are available on the SEC’s website at http://www.sec.gov.</w:t>
      </w:r>
    </w:p>
    <w:p>
      <w:pPr>
        <w:spacing w:after="0" w:line="144"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Our website is located at www.huronconsultinggroup.com, and our investor relations website is located at ir.huronconsultinggroup.com. We make our annual reports on Form 10-K, quarterly reports on Form 10-Q, current reports on Form 8-K, and any amendments to those reports filed or furnished pursuant to Section 13(a) or 15(d) of the Securities Exchange Act of 1934 available through our website, free of charge, as soon as reasonably practicable after we electronically file such material with, or furnish it to, the SEC.</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provide information about our business and financial performance, including our corporate profile, on the Investor Relations page of our website. Additionally, we webcast our earnings calls and certain events we participate in with members of the investment community on the Investor Relations page of our website. Further corporate governance information, including our code of ethics, code of business conduct, corporate governance guidelines, and board committee charters, is also available on the Investor Relations page of our website. The content of our websites is not incorporated by reference into this Annual Report on Form 10-K or in any other report or document we file with the SEC, and any references to our websites are intended to be inactive textual references only.</w:t>
      </w:r>
    </w:p>
    <w:p>
      <w:pPr>
        <w:spacing w:after="0" w:line="173"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following discussion of risk factors may be important to understanding the statements in this Annual Report on Form 10-K or elsewhere. The following information should be read in conjunction with Part II—Item 7. "Management’s Discussion and Analysis of Financial Condition and Results of Operations” and the Consolidated Financial Statements and related notes in this Annual Report on Form 10-K. Discussions about the important operational risks that our business encounters can be found in Part II—Item 7. "Management’s Discussion and Analysis of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COVID-19</w:t>
      </w:r>
    </w:p>
    <w:p>
      <w:pPr>
        <w:spacing w:after="0" w:line="171"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b w:val="1"/>
          <w:bCs w:val="1"/>
          <w:color w:val="auto"/>
        </w:rPr>
        <w:t>Our results of operations have been adversely affected and, in the future, could be materially adversely impacted by the coronavirus (COVID-19) pandemic.</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continuing impact of the COVID-19 pandemic has created significant volatility, uncertainty and disruption to the global economy. The pandemic has adversely impacted and, in the future, could materially adversely impact our business, operations and financial results. The extent to which the COVID-19 pandemic continues to impact our business, operations and financial results will depend on numerous evolving factors that we may not be able to accurately predict, including:</w:t>
      </w:r>
    </w:p>
    <w:p>
      <w:pPr>
        <w:spacing w:after="0" w:line="15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duration of the pandemic;</w:t>
      </w:r>
    </w:p>
    <w:p>
      <w:pPr>
        <w:spacing w:after="0" w:line="201"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long-term efficacy of vaccines or treatments for COVID-19, including against new variants and the willingness of the population to take the vaccines;</w:t>
      </w:r>
    </w:p>
    <w:p>
      <w:pPr>
        <w:spacing w:after="0" w:line="203" w:lineRule="exact"/>
        <w:rPr>
          <w:rFonts w:ascii="Arial" w:cs="Arial" w:eastAsia="Arial" w:hAnsi="Arial"/>
          <w:sz w:val="22"/>
          <w:szCs w:val="22"/>
          <w:color w:val="auto"/>
        </w:rPr>
      </w:pPr>
    </w:p>
    <w:p>
      <w:pPr>
        <w:ind w:left="660" w:right="38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governmental, business and individuals’ actions that have been and continue to be taken in response to the pandemic, including quarantines, social distancing and other risk mitigating measures taken to prevent the spread of COVID-19;</w:t>
      </w:r>
    </w:p>
    <w:p>
      <w:pPr>
        <w:spacing w:after="0" w:line="203" w:lineRule="exact"/>
        <w:rPr>
          <w:rFonts w:ascii="Arial" w:cs="Arial" w:eastAsia="Arial" w:hAnsi="Arial"/>
          <w:sz w:val="22"/>
          <w:szCs w:val="22"/>
          <w:color w:val="auto"/>
        </w:rPr>
      </w:pPr>
    </w:p>
    <w:p>
      <w:pPr>
        <w:ind w:left="660" w:right="78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effect on our clients and client demand for our services and solutions, including the impact on the healthcare and higher education industries which are areas of significant focus for our business;</w:t>
      </w:r>
    </w:p>
    <w:p>
      <w:pPr>
        <w:spacing w:after="0" w:line="203" w:lineRule="exact"/>
        <w:rPr>
          <w:rFonts w:ascii="Arial" w:cs="Arial" w:eastAsia="Arial" w:hAnsi="Arial"/>
          <w:sz w:val="22"/>
          <w:szCs w:val="22"/>
          <w:color w:val="auto"/>
        </w:rPr>
      </w:pPr>
    </w:p>
    <w:p>
      <w:pPr>
        <w:ind w:left="660" w:right="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health and welfare of our employees, including our senior management team, practice leaders and managing directors, and their ongoing ability to serve clients and manage operations if they contract COVID-19;</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impact on our key third-party vendors;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effect on the businesses in which we have invested;</w:t>
      </w:r>
    </w:p>
    <w:p>
      <w:pPr>
        <w:spacing w:after="0" w:line="201" w:lineRule="exact"/>
        <w:rPr>
          <w:rFonts w:ascii="Arial" w:cs="Arial" w:eastAsia="Arial" w:hAnsi="Arial"/>
          <w:sz w:val="22"/>
          <w:szCs w:val="22"/>
          <w:color w:val="auto"/>
        </w:rPr>
      </w:pPr>
    </w:p>
    <w:p>
      <w:pPr>
        <w:ind w:left="660" w:right="58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sell and provide our services and solutions and maintain adequate utilization levels, including as a result of travel restrictions, shelter-in-place and quarantine orders and people working from home;</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ability of our clients to pay for our services and solutions;</w:t>
      </w:r>
    </w:p>
    <w:p>
      <w:pPr>
        <w:spacing w:after="0" w:line="201" w:lineRule="exact"/>
        <w:rPr>
          <w:rFonts w:ascii="Arial" w:cs="Arial" w:eastAsia="Arial" w:hAnsi="Arial"/>
          <w:sz w:val="22"/>
          <w:szCs w:val="22"/>
          <w:color w:val="auto"/>
        </w:rPr>
      </w:pPr>
    </w:p>
    <w:p>
      <w:pPr>
        <w:ind w:left="660" w:right="20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any disruption to the internet and related systems, which may impact our ability to provide our services and solutions remotely, and increased vulnerability to hackers or third parties seeking to disrupt operations; and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any closures of our clients’ offices and facilities.</w:t>
      </w:r>
    </w:p>
    <w:p>
      <w:pPr>
        <w:spacing w:after="0" w:line="161"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Additionally, in some instances, clients have slowed down decision making, delayed planned work or are seeking to reduce the scope of current engagements or terminate existing agreements, which may continue. Any of these events could cause or contribute to the risks and</w:t>
      </w:r>
    </w:p>
    <w:p>
      <w:pPr>
        <w:spacing w:after="0" w:line="425" w:lineRule="auto"/>
        <w:rPr>
          <w:sz w:val="20"/>
          <w:szCs w:val="20"/>
          <w:color w:val="auto"/>
        </w:rPr>
      </w:pPr>
      <w:r>
        <w:rPr>
          <w:rFonts w:ascii="Arial" w:cs="Arial" w:eastAsia="Arial" w:hAnsi="Arial"/>
          <w:sz w:val="18"/>
          <w:szCs w:val="18"/>
          <w:color w:val="auto"/>
        </w:rPr>
        <w:t xml:space="preserve">uncertainties discussed below and could materially adversely affect our business, financial condition, results of operations and/or stock price. </w:t>
      </w:r>
      <w:r>
        <w:rPr>
          <w:rFonts w:ascii="Arial" w:cs="Arial" w:eastAsia="Arial" w:hAnsi="Arial"/>
          <w:sz w:val="18"/>
          <w:szCs w:val="18"/>
          <w:b w:val="1"/>
          <w:bCs w:val="1"/>
          <w:u w:val="single" w:color="auto"/>
          <w:color w:val="auto"/>
        </w:rPr>
        <w:t>Risks Related to Human Capital Resources</w:t>
      </w:r>
    </w:p>
    <w:p>
      <w:pPr>
        <w:spacing w:after="0" w:line="1"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color w:val="auto"/>
        </w:rPr>
        <w:t>An inability to retain our senior management team and other managing directors would be detrimental to the success of our business.</w:t>
      </w:r>
    </w:p>
    <w:p>
      <w:pPr>
        <w:spacing w:after="0" w:line="12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rely heavily on our senior management team, our practice leaders, and other managing directors; our ability to retain them is particularly important to our future success. Given the highly specialized nature of our services, the senior management team must have a thorough understanding of our service offerings as well as the skills and experience necessary to manage an organization consisting of a diverse group of professionals. In addition, we rely on our senior management team and other managing directors to generate revenues and market our business. Further, our senior management’s and other managing directors’ personal reputations and relationships with our clients are a critical element in obtaining and maintaining client engagements. Members of our senior management team and our other managing directors could choose to leave or join one of our competitors and some of our clients could choose to use the services of that competitor instead of our services. If one or more members of our senior management team or our other managing directors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13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If we are unable to hire and retain talented people in an industry where there is great competition for talent it could have a serious negative effect on our prospects and results of operations.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involves the delivery of professional services and is highly labor-intensive. Our success depends largely on our general ability to attract, develop, motivate, and retain highly skilled professionals. Further, we must successfully maintain the right mix of professionals with relevant experience and skill sets as we continue to grow, as we expand into new service offerings, and as the market evolves. The loss of a significant number of our professionals, the inability to attract, hire, develop, train, and retain additional skilled personnel, or failure to maintain the right mix of professionals could have a serious negative effect on us, including our ability to manage, staff, and successfully complete our existing engagements and obtain new engagements. Qualified professionals are in great demand, and we face significant competition for both senior and junior professionals with the requisite credentials and experience. Our principal competition for talent comes from other consulting firms and accounting firms, as well as from organizations seeking to staff their internal professional positions. Many of these competitors may be able to offer greater compensation and benefits or more attractive lifestyle choices, career paths, or geographic locations than we can offer. Therefore, we may not be successful in attracting and retaining the skilled consultants we require to conduct and expand our operations successfully. Increasing competition for these revenue-generating professionals may also significantly increase our labor costs, which could negatively affect our margins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Business Growth and Development</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We may incur costs to support our business and the inability to effectively build a support structure for the business could have an adverse impact on our growth and profitability.</w:t>
      </w:r>
    </w:p>
    <w:p>
      <w:pPr>
        <w:spacing w:after="0" w:line="1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grown significantly since we commenced operations and have increased the number of our full-time professionals from 249 in 2002 to 4,609 as of December 31, 2021. Additionally, our considerable growth has placed demands on our management and our internal systems, procedures, and controls and will continue to do so in the future. To successfully manage growth, we must periodically adjust and strengthen our operating, financial, accounting, and other systems, procedures, and controls, which may increase our total costs and may adversely affect our gross profits and our ability to sustain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fourth quarter of 2019, we began the implementation of a new enterprise resource planning (“ERP”) system designed to improve the efficiency of our internal operational, financial and administrative activities. In January 2021, we went live with the new ERP system, and we continue to progress with additional functionality and integrations. The full implementation of a new ERP system in its entirety, which will take place over several years, subjects us to inherent costs and risks including substantial capital expenditures, additional administration and operating expenses, potential disruption of our internal control structure, retention of sufficiently skilled personnel to implement and operate the new system, demand on management time, and other risks and costs of delays or difficulties in transition. Our system implementation may not result in productivity improvements at a level that outweighs the costs of implementation, or at all. In addition, the difficulties with implementing a new ERP system may cause disruptions or have an adverse effect on our business operations, if not anticipated and appropriately mitigated.</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expansion could result in additional risks.</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operate both domestically and internationally, including in Canada, Europe, Asia, and the Middle East. Although historically our international operations have been limited, we intend to continue to expand internationally. Such expansion may result in additional risks that are not present domestically and which could adversely affect our business or our results of operations, including:</w:t>
      </w:r>
    </w:p>
    <w:p>
      <w:pPr>
        <w:spacing w:after="0" w:line="1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compliance with additional U.S. regulations and those of other nations applicable to international operations;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cultural and language differences;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employment laws, including immigration laws affecting the mobility of employees, and rules and related social and cultural factors;</w:t>
      </w:r>
    </w:p>
    <w:p>
      <w:pPr>
        <w:spacing w:after="0" w:line="201" w:lineRule="exact"/>
        <w:rPr>
          <w:rFonts w:ascii="Arial" w:cs="Arial" w:eastAsia="Arial" w:hAnsi="Arial"/>
          <w:sz w:val="22"/>
          <w:szCs w:val="22"/>
          <w:color w:val="auto"/>
        </w:rPr>
      </w:pPr>
    </w:p>
    <w:p>
      <w:pPr>
        <w:ind w:left="660" w:right="60" w:hanging="328"/>
        <w:spacing w:after="0" w:line="22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losses related to start-up costs, lack of revenue, higher costs due to low utilization, and delays in purchase decisions by prospective clients;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currency fluctuations between the U.S. dollar and foreign currencies;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restrictions on the repatriation of earnings;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potentially adverse tax consequences and limitations on our ability to utilize losses generated in our foreign operations;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different regulatory requirements and other barriers to conducting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different or less stable political and economic environments;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greater personal security risks for employees traveling to or located in unstable locations;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civil disturbances or other catastrophic events.</w:t>
      </w:r>
    </w:p>
    <w:p>
      <w:pPr>
        <w:spacing w:after="0" w:line="161"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Further, conducting business abroad subjects us to increased regulatory compliance and oversight. For example, we are subject to laws prohibiting certain payments to governmental officials, such as the Foreign Corrupt Practices Act, which increases the risk from our international operations relative to our competitors who do not operate outside the United States. A failure to comply with applicable regulations could result in regulatory enforcement actions as well as substantial civil and criminal penalties assessed against us and our employees.</w:t>
      </w:r>
    </w:p>
    <w:p>
      <w:pPr>
        <w:spacing w:after="0" w:line="15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addition, expanding into new geographic areas and expanding current service offerings is challenging and may require integrating new employees into our culture as well as assessing the demand in the applicable market. If we cannot manage the risks associated with new service offerings or new locations effectively, we are unlikely to be successful in these efforts, which could harm our ability to sustain profitability and our business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has significant operations in India, which presents additional risks.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have significant operations in India, including more than 900 employees, which subjects the Company to various country-specific risks. For example, from time to time, India has experienced instances of civil unrest, terrorism and hostilities among neighboring countries. Terrorist attacks, military activity, rioting, or civil or political unrest in the future could influence the Indian economy and our operations by disrupting operations and communications and making travel within India more difficult and less desirable. As such, our operations and employees in India may be adversely affected by social and political uncertainties or change, military activity, health-related risks or acts of terrorism.</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Additionally, India’s reputation for potential corruption and the challenges presented by India’s complex business environment may increase our risk of violating applicable anti-corruption and anti-bribery laws. We face the risk that we, our employees or any third parties we engage to do work on our behalf may take action determined to be in violation of anti-corruption laws in any jurisdiction in which we conduct business, including the Foreign Corrupt Practices Act, India’s Prevention of Money Laundering Act, 2002 and Indian Penal Code. If we violate applicable anti-corruption laws or our internal policies designed to ensure ethical business practices, we could face financial penalties and/or reputational harm that would negatively impact our financial condition and results of operations.</w:t>
      </w:r>
    </w:p>
    <w:p>
      <w:pPr>
        <w:spacing w:after="0" w:line="154"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Further, India has experienced natural disasters such as earthquakes, tsunamis, floods, landslides and drought in the past few years. The extent and severity of these natural disasters determines their impact on the Indian economy. Such future disasters could have a negative impact on the Indian economy and the Company’s India-based employees, causing our business to suffer.</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Additionally, since 1991, successive Indian governments have generally pursued policies of economic liberalization and financial sector reforms, including by significantly relaxing restrictions on the private sector. Nevertheless, the role of the Indian central and state governments in the Indian economy as producers, consumers and regulators has remained significant and there is no assurance that such liberalization policies will continue. A significant change in India’s policy of economic liberalization and deregulation or any social or political uncertainties could adversely affect business and economic conditions in India generally and our business and employees in particular.</w:t>
      </w:r>
    </w:p>
    <w:p>
      <w:pPr>
        <w:spacing w:after="0" w:line="13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Lastly, unfavorable fluctuations in the currency exchange rate between the U.S. dollar and Indian rupee could have a material adverse effect on our results of operations. As we continue to grow our operations in India, more of our expenses will be incurred in the Indian rupee. An increase in the value of the Indian rupee against the U.S. dollar, in which our revenue is primarily recorded, could increase costs for delivery of services and decrease the profitability of our engagements that utilize our employees in India.</w:t>
      </w:r>
    </w:p>
    <w:p>
      <w:pPr>
        <w:spacing w:after="0" w:line="12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Additional hiring, departures, and business acquisitions and dispositions, as well as other organizational changes could disrupt our operations, increase our costs or otherwise harm our business.</w:t>
      </w:r>
    </w:p>
    <w:p>
      <w:pPr>
        <w:spacing w:after="0" w:line="12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a number of additional risks, including the diversion of management’s time, attention, and resources from managing and marketing our Company; the potential assumption of liabilities of an acquired business; the inability to attain the expected synergies with an acquired business; and the perception of inequalities if different groups of employees are eligible for different benefits and incentives or are subject to different policies and programs.</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Selling practices and shutting down operations present similar challenges in a service business. Dispositions not only require management’s time, but they can impair existing relationships with clients or otherwise affect client satisfaction, particularly in situations where the divestiture eliminates only part of the complement of consulting services provided to a client. Dispositions may also involve continued financial involvement, as we may be required to retain responsibility for, or agree to indemnify buyers against, liabilities related to a business sold.</w:t>
      </w:r>
    </w:p>
    <w:p>
      <w:pPr>
        <w:spacing w:after="0" w:line="150" w:lineRule="exact"/>
        <w:rPr>
          <w:sz w:val="20"/>
          <w:szCs w:val="20"/>
          <w:color w:val="auto"/>
        </w:rPr>
      </w:pPr>
    </w:p>
    <w:p>
      <w:pPr>
        <w:ind w:right="580"/>
        <w:spacing w:after="0" w:line="278" w:lineRule="auto"/>
        <w:rPr>
          <w:sz w:val="20"/>
          <w:szCs w:val="20"/>
          <w:color w:val="auto"/>
        </w:rPr>
      </w:pPr>
      <w:r>
        <w:rPr>
          <w:rFonts w:ascii="Arial" w:cs="Arial" w:eastAsia="Arial" w:hAnsi="Arial"/>
          <w:sz w:val="17"/>
          <w:szCs w:val="17"/>
          <w:color w:val="auto"/>
        </w:rPr>
        <w:t>Additionally, effective January 1, 2022, we modified our operating model to report under three industries, which are our new reportable segments. The new operating model was designed to strengthen Huron's go-to-market strategy and support our growth. If we do not successfully implement this change to our operating model, our business and results of operation may be negatively impacted.</w:t>
      </w:r>
    </w:p>
    <w:p>
      <w:pPr>
        <w:spacing w:after="0" w:line="109"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color w:val="auto"/>
        </w:rPr>
        <w:t>The healthcare and education industries are areas of significant focus for our business, and factors that adversely affect the financial condition of these industries could consequently affect our business.</w:t>
      </w:r>
    </w:p>
    <w:p>
      <w:pPr>
        <w:spacing w:after="0" w:line="1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derive a significant portion of our revenue from clients in the healthcare and education industries. As a result, our financial condition and results of operations could be adversely affected by conditions affecting these industries, both generally and those specific to the types of clients we serve in these industries, including hospitals and health systems, academic medical centers, and higher education institutions. The healthcare and education industries are highly regulated and are subject to changing political, legislative, regulatory, and other influences. Uncertainty in any of these areas could cause our clients to delay or postpone decisions to use our services. Existing and new federal and state laws and regulations affecting the healthcare and education industries could create unexpected liabilities for us, could cause us or our clients to incur additional costs, and could restrict our or our clients’ operations.</w:t>
      </w:r>
    </w:p>
    <w:p>
      <w:pPr>
        <w:spacing w:after="0" w:line="15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healthcare and education clients operate in highly regulated industries. Regulatory and legislative changes in these industries could reduce the demand for our services, decreasing our competitive position or potentially rendering certain of our service offerings obsolete, change client buying patterns or decision making or require us to make unplanned modifications to our service offerings, which could require additional time and investment. If we fail to accurately anticipate the application of the laws and regulations affecting our clients and the industries they serve, if anticipated changes in regulation or regulatory uncertainty impact client buying patterns, or if such laws and regulations decrease our competitive position or limit the applicability of our service offerings, our results of operations and financial condition could be adversely impacted. Similarly, certain of our healthcare and education clients may experience or anticipate experiencing financial distress or face complex challenges as a result of general economic conditions or operations-specific reasons. Such clients may not have the financial resources or stakeholder support to start new projects or to continue existing projects.</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Specifically with respect to healthcare, many healthcare laws are complex and their application to us, our clients, or the specific services and relationships we have with our clients are not always clear. In addition, federal and state legislatures have periodically introduced programs to reform or amend the U.S. healthcare system at both the federal and state level, such as the Patient Protection and Affordable Care Act and the Health Care and Education Reconciliation Act of 2010, and continue to consider further significant reforms. Due to the significant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implementation issues arising under these laws and potential new legislation, it is unclear what long-term effects they will have on the healthcare industry and in turn on our business, financial condition, and results of operations. Our failure to accurately anticipate the application of new laws and regulations, or our failure to comply with such laws and regulations, could create liability for us, result in adverse publicity and negatively affect our business.</w:t>
      </w:r>
    </w:p>
    <w:p>
      <w:pPr>
        <w:spacing w:after="0" w:line="15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There are many factors that could affect the purchasing practices, operations, and, ultimately, the operating funds of healthcare and education organizations, such as reimbursement policies for healthcare expenses, student loan policies or regulations, federal and state budgetary considerations, consolidation in either industry, and regulation, litigation, and general economic conditions. In particular, we could be required to make unplanned modifications of our products and services (which would require additional time and investment) or we could suffer reductions in demand for our products and services as a result of changes in regulations affecting either industry, such as changes in the way that healthcare organizations are paid for their services (e.g., based on patient outcomes instead of services provided).</w:t>
      </w:r>
    </w:p>
    <w:p>
      <w:pPr>
        <w:spacing w:after="0" w:line="15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state tax authorities have challenged the tax-exempt status of some hospitals and other healthcare facilities claiming such status on the basis that they are operating as charitable and/or religious organizations. If the tax-exempt status of any of our clients is revoked or compromised by new legislation or interpretation of existing legislation, that client’s financial health could be adversely affected, which could adversely impact demand for our services, our sales, revenue, financial condition, and results of operations.</w:t>
      </w:r>
    </w:p>
    <w:p>
      <w:pPr>
        <w:spacing w:after="0" w:line="128"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color w:val="auto"/>
        </w:rPr>
        <w:t>Many of our client contracts are short-term in duration and may be terminated by our clients with little or no notice and without penalty, which may cause our operating results to be unpredictable and may result in unexpected declines in our utilization and revenues.</w:t>
      </w:r>
    </w:p>
    <w:p>
      <w:pPr>
        <w:spacing w:after="0" w:line="13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Our clients typically retain us on an engagement-by-engagement basis, rather than under fixed-term contracts, and many of our client contracts are 12 months or less in duration. The volume of work performed for any particular client is likely to vary from year to year, and a major client in one fiscal period may not require or may decide not to use our services in any subsequent fiscal period. Moreover, a large portion of our new engagements comes from existing clients. Accordingly, the failure to obtain new large engagements or multiple engagements from existing or new clients could have a material adverse effect on the amount of revenues we generate.</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a large portion of our engagement agreements can be terminated by our clients with little or no notice and without penalty.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elect not to retain our interim management consultants, terminate our retention, require us to reduce our fees for the duration of an engagement, elect not to approve claims against fees earned by us prior to or after the bankruptcy filing, or subject previously paid amounts to be returned to the bankruptcy estate as preferential payments under the bankruptcy code.</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spacing w:after="0" w:line="129"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b w:val="1"/>
          <w:bCs w:val="1"/>
          <w:color w:val="auto"/>
        </w:rPr>
        <w:t>Our ability to maintain and attract new business depends upon our reputation, the professional reputation of our revenue-generating employees, and the quality of our services.</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professional services firm, our ability to secure new engagements depends heavily upon our reputation and the individual reputations of our professionals. Any factor that diminishes our reputation or that of our employees, including not meeting client expectations or misconduct by our employees, could make it substantially more difficult for us to attract new engagements and clients.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consulting services industry is highly competitive and we may not be able to compete effectively.</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technical and economic advisory firms, regional and specialty consulting firms, consulting divisions of our technology partners, and the internal professional resources of organizations. In addition, because there are relatively low barriers to entry, we expect to continue to face additional competition from new entrants into the business operations and financial consulting industries. Competition in several of the sectors in which we operate is particularly intense as many of our competitors are seeking to expand their market share in these sectors. Many of our competitors have a greater national and international presence, as well as have a significantly greater number of personnel, financial, technical, and marketing resources. In addition, these competitors may generate greater revenues and have greater name recognition than we do. Some of our competitors may also have lower overhead and other costs and, therefore, may be able to more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effectively compete through lower cost service offerings. Our ability to compete also depends in part on the ability of our competitors to hire, retain, and motivate skilled professionals, the price at which others offer comparable services, the ability of our competitors to offer new and valuable products and services to clients, and our competitors’ responsiveness to their clients. If we are unable to compete successfully with our existing competitors or with any new competitors, our financial results will be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Information Technology</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Our business is becoming increasingly dependent on information technology and will require additional investments in order to grow and meet the demands of our clients.</w:t>
      </w:r>
    </w:p>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depend on the use of sophisticated technologies and systems. Some of our practices provide services that are increasingly dependent on the use of software applications and systems that we do not own and could become unavailable. Moreover, our technology platforms will require continuing investments by us in order to expand existing service offerings and develop complementary services. For example, we have subscription-based offerings that require us to incur costs associated with upgrades and maintenance that could impact profit margins associated with those offerings and related services. Our future success depends on our ability to adapt our services and infrastructure while continuing to improve the performance, features, and reliability of our services in response to the evolving demands of the marketplace.</w:t>
      </w:r>
    </w:p>
    <w:p>
      <w:pPr>
        <w:spacing w:after="0" w:line="132"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color w:val="auto"/>
        </w:rPr>
        <w:t>Adverse changes to our relationships with key third-party vendors, or in the business of our key third-party vendors, could unfavorably impact our business.</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portion of our services and solutions depend on technology or software provided by third-party vendors. Some of these third-party vendors refer potential clients to us, and others require that we obtain their permission prior to accessing their software while performing services for our clients. These third-party vendors could terminate their relationship with us without cause and with little or no notice, which could limit our service offerings and harm our financial condition and operating results. In addition, if a third-party vendor’s business changes, is reduced or fails to adapt to changing market demands, that could adversely affect our business. Moreover, if third-party technology or software that is important to our business does not continue to be available or utilized within the marketplace, or if the services that we provide to clients is no longer relevant in the marketplace, our business may be unfavorably impacted.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service interruptions, or security breaches that could negatively impact our business.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organization is comprised of employees who work on matters throughout the United States and overseas around the world. Our technology platform is a “virtual office” from which we all operate. We may be subject to disruption to our operating systems from technology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and disaster recovery processes, and where possible, obtaining insurance against such events, those steps may not be effective and there can be no assurance that any such steps can be effective against all possible risks. We will need to continue to invest in technology in order to achieve redundancies necessary to prevent service interruptions. Access to our systems as a result of a security breach, the failure of our systems, or the loss of data could result in legal claims or proceedings, liability, or regulatory penalties and disrupt operations, which could adversely affect our business and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Matters</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Our reputation could be damaged and we could incur additional liabilities if we fail to protect client and employee data through our own accord or if our information systems are breached.</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rely on information technology systems to process, transmit, and store electronic information and to communicate among our locations around the world and with our clients, partners, and employees. These locations include India, Canada, Switzerland, Singapore, and the United Kingdom, all of which have their own either recently updated or potential new data protection laws. The breadth and complexity of this infrastructure increases the potential risk of security breaches which could lead to potential unauthorized disclosure of confidential information.</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providing services to clients, we may manage, utilize, and store sensitive or confidential client or employee data, including personal data and protected health information. As a result, we are subject to numerous laws and regulations designed to protect this information, such as the U.S. federal and state laws governing the protection of health or other personally identifiable information, including the Health Insurance Portability and Accountability Act (HIPAA), and international laws such as the European Union's General Data Protection Regulation (GDPR), which went into effect in 2018. In addition, many states, U.S. federal governmental authorities and non-U.S. jurisdictions have adopted, proposed or are considering adopting or proposing, additional data security and/or data privacy statutes or regulations. Continued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governmental focus on data security and privacy may lead to additional legislative and regulatory action, which could increase the complexity of doing business. The increased emphasis on information security and the requirements to comply with applicable U.S. and foreign data security and privacy laws and regulations may increase our costs of doing business and negatively impact our results of operations.</w:t>
      </w:r>
    </w:p>
    <w:p>
      <w:pPr>
        <w:spacing w:after="0" w:line="1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These laws and regulations are increasing in complexity and number. If any person, including any of our employees or third-party vendors, negligently disregards or intentionally breaches our established controls or contractual obligations with respect to client or employee data, or otherwise mismanages or misappropriates that data, we could be subject to significant monetary damages, regulatory enforcement actions, fines, and/or criminal prosecution. We maintain certain insurance coverages for cybersecurity incidents through our directors and officers insurance policy, in amounts we believe to be reasonable and at a cost that is included in our general insurance premiums.</w:t>
      </w:r>
    </w:p>
    <w:p>
      <w:pPr>
        <w:spacing w:after="0" w:line="15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 addition, unauthorized disclosure of sensitive or confidential client or employee data, whether through systems failure, employee negligence, fraud, or misappropriation, could damage our reputation and cause us to lose clients and their related revenue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engagements could result in professional liability, which could be very costly and hurt our reputation.</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engagements typically involve complex analyses and the exercise of professional judgment. As a result, we are subject to the risk of professional liability. From time to time, lawsuits with respect to our work are pending. Litigation alleging that we performed negligently or breached any other obligations could expose us to significant legal liabilities and, regardless of outcome, is often very costly, could distract our management, could damage our reputation, and could harm our financial condition and operating results. We also face increased litigation risk as a result of an expanded workforce. In addition, certain of our engagements, including interim management engagements and corporate restructurings, involve greater risks than other consulting engagements. We are not always able to include provisions in our engagement agreements that are designed to limit our exposure to legal claims relating to our services. While we attempt to identify and mitigate our exposure with respect to liability arising out of our consulting engagements, these efforts may be ineffective and an actual or alleged error or omission on our part or the part of our client or other third parties in one or more of our engagements could have an adverse impact on our financial condition and results of operations.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 our errors and omissions insurance coverage. If we are found to have professional liability with respect to work performed on such an engagement, we may not have sufficient insurance to cover the entire liability.</w:t>
      </w:r>
    </w:p>
    <w:p>
      <w:pPr>
        <w:spacing w:after="0" w:line="13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auto"/>
        </w:rPr>
        <w:t>Our business could be materially adversely affected if we incur liability in connection with service offering innovation, including new or expanded service offerings.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may grow our business through service offering innovation, including by entering into new or expanded lines of business beyond our core services. To the extent we enter into new or expanded lines of business, we may face new risks and uncertainties, including the possibility these new or expanded lines of business involve greater risks than our core services, that we have insufficient expertise to engage in such activities profitably or without incurring inappropriate amounts of risk, that the required investment of capital and other resources is greater than anticipated, and that we lose existing clients due to the perception that we are no longer focusing on our core business. Entry into new or expanded lines of business may also subject us to new laws and regulations with which we are not familiar and may lead to increased litigation and regulatory risk. For example, our recently launched Huron Managed Services business within the Healthcare industry provides revenue cycle managed services to hospitals and health systems. These services include the coding, preparation, submission and collection of claims for medical service to payers for reimbursement. Such claims are governed by U.S. federal and state laws. U.S. federal law provides civil liability to any persons that knowingly submit, or cause to be submitted, a claim to a payer, including Medicare, Medicaid and private health plans, seeking payment for any services or items that overbills or bills for services or items that have not been provided to the patient. U.S. federal law may also impose criminal penalties for intentionally submitting such false claims. In addition, federal and state law regulates the collection of debt and may impose monetary penalties for violating those regulations. In connection with these laws, we may be subjected to U.S. federal or state government investigations and possible penalties may be imposed upon us, false claims actions may have to be defended and private payers may file claims against us. Any investigation or proceeding related to these laws, even if unwarranted or without merit, may have a material adverse effect on our reputation, business, results of operations and financial condition.</w:t>
      </w:r>
    </w:p>
    <w:p>
      <w:pPr>
        <w:spacing w:after="0" w:line="13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auto"/>
        </w:rPr>
        <w:t>Our intellectual property rights in our “Huron Consulting Group” name are important, and any inability to use that name could negatively impact our ability to build brand identity.</w:t>
      </w:r>
    </w:p>
    <w:p>
      <w:pPr>
        <w:spacing w:after="0" w:line="1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believe that establishing, maintaining, and enhancing the “Huron Consulting Group” name and “Huron” brand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could preclude us from accepting engagements thereby causing decreased utilization and revenues.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provide services in connection with bankruptcy and other proceedings that usually involve sensitive client information and frequently are adversarial. In connection with bankruptcy proceedings, we are required by law to be “disinterested” and may not be able to provide multiple services to a particular client. In addition, our engagement agreement with a client or other business reasons may preclude us from accepting engagements from time to time with the client's competitors or adversaries.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our consultants may become underutilized, which would adversely affect our revenues and results of operations in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Financial Management and Performance</w:t>
      </w:r>
    </w:p>
    <w:p>
      <w:pPr>
        <w:spacing w:after="0" w:line="17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color w:val="auto"/>
        </w:rPr>
        <w:t>Our financial results could suffer if we are unable to achieve or maintain adequate utilization and suitable billing rates for our consultants, or if we are unable to deliver our services due to factors that disrupt travel to our client sites.</w:t>
      </w:r>
    </w:p>
    <w:p>
      <w:pPr>
        <w:spacing w:after="0" w:line="1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profitability depends to a large extent on the utilization and billing rates of our professionals. Utilization of our professionals is affected by a number of factors, including:</w:t>
      </w:r>
    </w:p>
    <w:p>
      <w:pPr>
        <w:spacing w:after="0" w:line="14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number and size of client engagements;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timing of the commencement, completion and termination of engagements, which in many cases is unpredictable;</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ability to transition our consultants efficiently from completed engagements to new engagements;</w:t>
      </w:r>
    </w:p>
    <w:p>
      <w:pPr>
        <w:spacing w:after="0" w:line="201" w:lineRule="exact"/>
        <w:rPr>
          <w:rFonts w:ascii="Arial" w:cs="Arial" w:eastAsia="Arial" w:hAnsi="Arial"/>
          <w:sz w:val="22"/>
          <w:szCs w:val="22"/>
          <w:color w:val="auto"/>
        </w:rPr>
      </w:pPr>
    </w:p>
    <w:p>
      <w:pPr>
        <w:ind w:left="660" w:right="10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hiring of additional consultants because there is generally a transition period for new consultants that results in a temporary drop in our utilization rate;</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unanticipated changes in the scope of client engagements;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ability to forecast demand for our services and thereby maintain an appropriate level of consultants;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conditions affecting the industries in which we practice as well as general economic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billing rates of our consultants that we are able to charge are also affected by a number of factors, including:</w:t>
      </w:r>
    </w:p>
    <w:p>
      <w:pPr>
        <w:spacing w:after="0" w:line="17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clients’ perception of our ability to add value through our services;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market demand for the services we provide;</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an increase in the number of engagements in the government sector, which are subject to federal contracting regulations;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introduction of new services by us or our competitors;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competition and the pricing policies of our competitors;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current economic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achieve and maintain adequate overall utilization as well as maintain or increase the billing rates for our consultants, our</w:t>
      </w:r>
    </w:p>
    <w:p>
      <w:pPr>
        <w:spacing w:after="0" w:line="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financial results could materially suffer. Traditionally, most of our consultants have performed services at the physical locations of our clients. Starting in 2020 and in response to the proliferation of the coronavirus, substantially all of our services were delivered remotely. If our consultants are unable to continue delivering services remotely or if we are out of step with a general market return to in person service delivery, our business could be materially adversely affected.</w:t>
      </w:r>
    </w:p>
    <w:p>
      <w:pPr>
        <w:spacing w:after="0" w:line="12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auto"/>
        </w:rPr>
        <w:t>Our quarterly results of operations have fluctuated in the past and may continue to fluctuate in the future as a result of certain factors, some of which may be outside of our control.</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key element of our strategy is to market our products and services directly to certain large organizations, such as health systems and acute care hospitals, and to increase the number of our products and services utilized by existing clients. The sales cycle for some of our products and services is often lengthy and may involve significant commitment of client personnel. As a consequence, the commencement date of a client engagement often cannot be accurately forecasted. As discussed below, certain of our client contracts contain terms that result in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revenue that is deferred and cannot be recognized until the occurrence of certain events. As a result, the period of time between contract signing and recognition of associated revenue may be lengthy, and we are not able to predict with certainty the period in which revenue will be recognized.</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Fee discounts, pressure to not increase or even decrease our rates, and less advantageous contract terms could result in the loss of clients, lower revenues and operating income, higher costs, and less profitable engagements. More discounts or write-offs than we expect in any period would have a negative impact on our results of operations.</w:t>
      </w:r>
    </w:p>
    <w:p>
      <w:pPr>
        <w:spacing w:after="0" w:line="14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Other fluctuations in our quarterly results of operations may be due to a number of other factors, some of which are not within our control, including:</w:t>
      </w:r>
    </w:p>
    <w:p>
      <w:pPr>
        <w:spacing w:after="0" w:line="184" w:lineRule="exact"/>
        <w:rPr>
          <w:sz w:val="20"/>
          <w:szCs w:val="20"/>
          <w:color w:val="auto"/>
        </w:rPr>
      </w:pPr>
    </w:p>
    <w:p>
      <w:pPr>
        <w:ind w:left="660" w:right="120" w:hanging="328"/>
        <w:spacing w:after="0" w:line="225"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timing and volume of client invoices processed and payments received, which may affect the fees payable to us under certain of our engagements;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client decisions regarding renewal or termination of their contracts;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amount and timing of costs related to the development or acquisition of technologies or businesses;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unforeseen legal expenses, including litigation and other settlement gains or losses.</w:t>
      </w:r>
    </w:p>
    <w:p>
      <w:pPr>
        <w:spacing w:after="0" w:line="16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base our annual employee bonus expense upon our expected annual adjusted earnings before interest, taxes, depreciation and amortization (“EBITDA”) for that year. If we experience lower adjusted EBITDA in a quarter without a corresponding change to our full-year adjusted EBITDA expectation, our estimated bonus expense will not be reduced, which will have a negative impact on our quarterly results of operations for that quarter. Our quarterly results of operations may vary significantly and period-to-period comparisons of our results of operations may not be meaningful. The results of one quarter should not be relied upon as an indication of future performance. If our quarterly results of operations fall below the expectations of securities analysts or investors, the price of our common stock could decline substantially.</w:t>
      </w:r>
    </w:p>
    <w:p>
      <w:pPr>
        <w:spacing w:after="0" w:line="1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auto"/>
        </w:rPr>
        <w:t>Revenues from our performance-based engagements are difficult to predict, and the timing and extent of recovery of our costs is uncertain.</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have engagement agreements under which our fees include a significant performance-based component. Performance -based fees are contingent on the achievement of specific measures, such as our clients meeting cost-saving or other contractually-defined goals. The achievement of these contractually-defined goals may be subject to acknowledgment by the client and is often impacted by factors outside of our control, such as the actions of the client or other third parties. To the extent that any revenue is contingent upon the achievement of a performance target, we recognize such revenue using a process that requires us to make significant management judgments, estimates, and assumptions. While we believe that the estimates and assumptions we have used for revenue recognition are reasonable, subsequent changes could have a material impact to our future financial results. The percentage of our revenues derived from performance-based fees for the years ended December 31, 2021, 2020, and 2019, was 10.1%, 9.2%, and 8.9%, respectively. A greater number of performance-based fee arrangements may result in increased volatility in our working capital requirements and greater variations in our quarter-to-quarter results, which could affect the price of our common stock. In addition, an increase in the proportion of performance-based fee arrangements may temporarily offset the positive effect on our operating results from an increase in our utilization rate until the related revenues are recognized.</w:t>
      </w:r>
    </w:p>
    <w:p>
      <w:pPr>
        <w:spacing w:after="0" w:line="12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The profitability of our fixed-fee engagements with clients may not meet our expectations if we underestimate the cost of these engagements.</w:t>
      </w:r>
    </w:p>
    <w:p>
      <w:pPr>
        <w:spacing w:after="0" w:line="12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or unanticipated delays in connection with the performance of fixed-fee engagements, including delays caused by factors outside our control, could make these contracts less profitable or unprofitable, which would have an adverse effect on our profit margin. For the years ended December 31, 2021, 2020, and 2019, fixed-fee engagements represented 44.2%, 41.4%, and 45.8%, of our revenues,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performance might not be sufficient for us to meet the full-year financial guidance that we provide publicly.</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provide full-year financial guidance to the public based upon our expectations regarding our financial performance. While we believe that our annual financial guidance provides investors and analysts with insight to our view of the Company’s future performance, such financial guidance is based on assumptions that may not always prove to be accurate and may vary from actual results. If we fail to meet the full-year financial guidance that we provide, or if we find it necessary to revise or suspend such guidance during the year, the market value of our common stock could be adversely affected.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Capital Resources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Our obligations under the Amended Credit Agreement are secured by a pledge of certain of the equity interests in our subsidiaries and a lien on substantially all of our assets and those of our subsidiary grantors. If we default on these obligations, our lenders may foreclose on our assets, including our pledged equity interest in our subsidiaries.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entered into a second amended and restated security agreement with Bank of America (the “Security Agreement”) and a second amended and restated pledge agreement (the “Pledge Agreement”) in connection with our entry into the Second Amended and Restated Credit Agreement, dated as of March 31, 2015 (as amended and restated, the “Amended Credit Agreement”). Pursuant to the Security Agreement and to secure our obligations under the Amended Credit Agreement, we granted our lenders a first-priority lien, subject to permitted liens, on substantially all of the personal property assets that we and the subsidiary grantors own. Pursuant to the Pledge Agreement, we granted our lenders a security interest in 100% of the voting stock or other equity interests in our domestic subsidiaries and 65% of the voting stock or other equity interests in certain of our foreign subsidiaries. If we default on our obligations under the Amended Credit Agreement, our lenders could accelerate our indebtedness and may be able to exercise their liens on the equity interests subject to the Pledge Agreement and their liens on substantially all of our assets and the assets of our subsidiary grantors, which would have a material adverse effect on our business, operations, financial condition, and liquidity. In addition, the covenants contained in the Amended Credit Agreement impose restrictions on our ability to engage in certain activities, such as the incurrence of additional indebtedness, certain investments, certain acquisitions and dispositions, and the payment of dividends.</w:t>
      </w:r>
    </w:p>
    <w:p>
      <w:pPr>
        <w:spacing w:after="0" w:line="13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Our indebtedness could adversely affect our ability to raise additional capital to fund our operations and obligations, expose us to interest rate risk to the extent of our variable-rate debt, and adversely affect our financial results.</w:t>
      </w:r>
    </w:p>
    <w:p>
      <w:pPr>
        <w:spacing w:after="0" w:line="12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At December 31, 2021, we had outstanding indebtedness of $230.0 million on our revolving line of credit that becomes due and payable in full upon maturity on September 27, 2024, and $2.8 million principal amount of our promissory note due March 1, 2024. Our ability to make scheduled payments of the principal, to pay interest, or to refinance our indebtedness, depends on our future performance. If we are unable to generate cash flow from operations sufficient to satisfy our obligations under our current indebtedness and any future indebtedness, we may be required to adopt one or more alternatives, such as reducing or delaying investments or capital expenditures, selling assets, refinancing, or obtaining additional equity capital on terms that may be onerous or dilutive. Our ability to refinance our current indebtedness or future indebtedness will depend on the capital markets and our financial condition at such time. We may not be able to engage in any of these activities or engage in these activities on desirable terms, which could result in a default on the current indebtedness or future indebtedness.</w:t>
      </w:r>
    </w:p>
    <w:p>
      <w:pPr>
        <w:spacing w:after="0" w:line="144"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The interest rates on our revolving line of credit and promissory note are linked to LIBOR. In 2017, the Financial Conduct Authority (FCA) in the U.K. announced that it would phase out LIBOR as a benchmark rate by the end of 2021. In March 2021, the ICE Benchmark Administration Limited, the administrator of LIBOR, extended the transition dates of certain LIBOR tenors (including all U.S. Dollar LIBOR tenors other than one-week and two-month U.S. Dollar LIBOR tenors) to June 30, 2023, after which LIBOR reference rates will cease to be provided. Despite this deferral, the LIBOR administrator has advised that no new contracts using U.S. Dollar LIBOR should be entered into after December 31, 2021. As a result of the discontinuance of LIBOR, the future method and rates used to calculate our interest rates and/or payments on our debt may result in interest rates and/or payments that are higher than, or that do not otherwise correlate over time with, the interest rates and/or payments that would have been applicable to our obligations if LIBOR was available in its current form, which could have a material adverse effect on our financial condition and results of operations. While we continue to take steps to mitigate the impact of the phase-out or replacement of LIBOR, such efforts may not prove successful. Furthermore, the U.S. or global financial markets may be disrupted as a result of the phase-out or replacement of LIBOR, which could also have a material adverse effect on our business, financial condition and results of operations.</w:t>
      </w:r>
    </w:p>
    <w:p>
      <w:pPr>
        <w:spacing w:after="0" w:line="15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such as exposing us to the risk of increased interest rates because some of our borrowings are at variable interest rates; making us more vulnerable to adverse changes in general U.S. and worldwide economic, industry, and competitive conditions and adverse changes in government regulation; or reducing our capacity to obtain additional financing and flexibility in planning for, or reacting to, changes in our business and our industry. Any of these factors could materially and adversely affect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Asset Impairment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goodwill and other intangible assets represent a substantial amount of our total assets, and we may be required to recognize a non-cash impairment charge for these assets if the performance of one or more of our reporting units falls below our expectations.</w:t>
      </w:r>
    </w:p>
    <w:p>
      <w:pPr>
        <w:spacing w:after="0" w:line="12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total assets reflect a substantial amount of goodwill and other intangible assets. At December 31, 2021, goodwill and other intangible assets totaled $652.8 million, or 58%, of our total assets. Goodwill results from our acquisitions, representing the excess of the fair value of consideration transferred over the fair value of the net assets acquired. We test goodwill for impairment at the reporting unit level, annually and whenever events or circumstances make it more likely than not that an impairment may have occurred. Intangible assets other than goodwill represent purchased assets that lack physical substance but can be distinguished from goodwill. Our intangible assets primarily</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consist of customer relationships, trade names, technology and software, non-competition agreements, and customer contracts, all of which were acquired through business combinations. We evaluate our intangible assets for impairment whenever events or changes in circumstances indicate that the carrying amount of the assets may not be recoverable. During the year ended December 31, 2020, we recorded non-cash goodwill impairment charges totaling $ 59.8 million related to the Business Advisory segment. During 2021 and 2019, we did not record any non-cash goodwill impairment charges. No material impairment charges for intangible assets were recorded in 2021, 2020, or 2019.</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goodwill impairment charge is recognized and also the magnitude of any such charge.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additional non-cash goodwill impairment charges.</w:t>
      </w:r>
    </w:p>
    <w:p>
      <w:pPr>
        <w:spacing w:after="0" w:line="15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Refer to “Critical Accounting Policies and Estimates” within Part I - Item 7. “Management’s Discussion and Analysis of Financial Condition and Results of Operations” and Note 4 “Goodwill and Intangible Assets” within the notes to our consolidated financial statements for further discussion of our business combinations, goodwill, intangible assets, and impairment tests performed.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impairment charges with respect to our convertible debt investment in Shorelight.</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2014 and 2015, we invested $27.9 million, in the form of zero coupon convertible debt, in Shorelight Holdings, LLC (“Shorelight”), the parent company of Shorelight Education. In the first quarter of 2020, we invested an additional $13.0 million, in the form of 1.69% convertible debt with a senior liquidation preference. Our investment is carried at its fair value of $65.9 million as of December 31, 2021, with unrealized holding gains and losses reported in other comprehensive income. As of December 31, 2021, our investment in Shorelight is in an unrealized gain position. If the investment were to be in an unrealized loss position due to significant credit deterioration of Shorelight, we would recognize an allowance to decrease the carrying value of the investment to the fair value, which may be reversed in the event that the credit of Shorelight improves. As of December 31, 2021, we have not recognized any credit allowance on our investment. In the future, if there are adverse developments in Shorelight's business that may be the result of events within or outside of Shorelight's control, we may incur impairment charges with respect to our convertible debt investment, which could materially impact our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service offerings may involve additional risks and may not be profitable.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may choose to develop new service offerings or eliminate service offerings because of market opportunities or client demands.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Developing new service offerings involves inherent risks, including:</w:t>
      </w:r>
    </w:p>
    <w:p>
      <w:pPr>
        <w:spacing w:after="0" w:line="17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inability to estimate demand for the new service offerings;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competition from more established market participants;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exposure to new legal and operational risks;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a lack of market understanding;</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unanticipated expenses to recruit and hire qualified consultants and to market our new service offerings;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unanticipated challenges with service delivery.</w:t>
      </w:r>
    </w:p>
    <w:p>
      <w:pPr>
        <w:spacing w:after="0" w:line="13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Changes in capital markets, legal or regulatory requirements, and general economic or other factors beyond our control could reduce demand for our services, in which case our revenues and profitability could decline.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outside of our control affect demand for our services. These include:</w:t>
      </w:r>
    </w:p>
    <w:p>
      <w:pPr>
        <w:spacing w:after="0" w:line="17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fluctuations in U.S. and global economies;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U.S. or global financial markets and the availability, costs, and terms of credit;</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changes in laws and regulations;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right="360" w:hanging="328"/>
        <w:spacing w:after="0" w:line="225"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political unrest, war, terrorism, geopolitical uncertainties, trade policies and sanctions, including the repercussions of an attack by Russia on Ukraine; and</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other economic factors and general business conditions.</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example, some portion of the services we provide may be considered by our clients to be more discretionary in nature, as the demand for the services may be impacted by economic slowdowns. We are not able to predict the positive or negative effects that future events or changes to the U.S. or global economy, financial markets, or regulatory and business environment could have on our operations.</w:t>
      </w:r>
    </w:p>
    <w:p>
      <w:pPr>
        <w:spacing w:after="0" w:line="126"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Changes in U.S. tax laws could have a material adverse effect on our business, cash flow, results of operations and financial condition.</w:t>
      </w:r>
    </w:p>
    <w:p>
      <w:pPr>
        <w:spacing w:after="0" w:line="12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are subject to income and other taxes in the U.S. at the state and federal level and also in foreign jurisdictions. Changes in applicable U.S. state, federal or foreign tax laws and regulations, or their interpretation and application, could materially affect our tax expense and profitability.</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Future changes in tax laws, treaties or regulations, and their interpretation or enforcement, may be unpredictable, particularly as taxing jurisdictions face an increasing number of political, budgetary and other fiscal challenges. Tax rates in the jurisdictions in which we operate may change as a result of macroeconomic and other factors outside of our control, making it increasingly difficult for multinational corporations like ourselves to operate with certainty about taxation in many jurisdictions. As a result, we could be materially adversely affected by future changes in tax law or policy (or in their interpretation or enforcement) in the jurisdictions where we operate, including the United States, which could have a material adverse effect on our business, cash flow, results of operations, financial condition, as well as our effective income tax rate.</w:t>
      </w:r>
    </w:p>
    <w:p>
      <w:pPr>
        <w:spacing w:after="0" w:line="17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9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do not own any real estate or other physical properties. Our administrative and principal executive offices are located at 550 W. Van Buren Street, Chicago, Illinois 60607. We believe that our office facilities are suitable and adequate for our business as it is presently conducted. See Note 5 “Leases” within the notes to our consolidated financial statements for additional information on our office facilities.</w:t>
      </w:r>
    </w:p>
    <w:p>
      <w:pPr>
        <w:spacing w:after="0" w:line="166"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9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Note 18 "Commitments, Contingencies and Guarantees" included within the notes to our consolidated financial statements of this Annual Report on Form 10-K.</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litigation or legal proceeding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pacing w:after="0" w:line="16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50" w:lineRule="exact"/>
        <w:rPr>
          <w:sz w:val="20"/>
          <w:szCs w:val="20"/>
          <w:color w:val="auto"/>
        </w:rPr>
      </w:pPr>
    </w:p>
    <w:p>
      <w:pPr>
        <w:ind w:left="1020" w:right="140" w:hanging="984"/>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93"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“HURN.” As of February 17, 2022, there were 307 registered holders of record of Huron’s common stock. A number of Huron’s stockholders hold their shares in street name; therefore, the Company believes that there are substantially more beneficial owners of its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93"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We have not declared or paid dividends on our common stock since we became a public company. Our board of directors re-evaluates this policy periodically. Any determination to pay cash dividends will be at the discretion of the board of directors and will be dependent upon our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results of operations, financial condition, capital requirements, terms of our financing arrangements, and such other factors as the board of directors deems relevant. In addition, the amount of dividends we may pay is subject to the restricted payment provisions of our senior secured credit facility. See the Liquidity and Capital Resources section under Part II—Item 7. “Management's Discussion and Analysis of Financial Condition and Results of Operations” for further information on the restricted payment provisions of our senior secured credit facility.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9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information required by this item appears under Part III—Item 12. “Security Ownership of Certain Beneficial Owners and Management and Related Stockholders Matters.”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December 31, 2021, we reacquired 16,654 shares of common stock with a weighted average fair market value of $50.19 as a result of such tax withholdings.</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2020, our board of directors authorized a share repurchase program (the “2020 Share Repurchase Program”) permitting us to repurchase up to $50 million of our common stock through December 31, 2021. During the third quarter of 2021, our board of directors authorized an extension of the 2020 Share Repurchase Program through December 31, 2022 and increased the authorized amount from $50 million to $100 million. The amount and timing of repurchases under our share repurchase program is determined by management and depends on a variety of factors, including the trading price of our common stock, capacity under our credit facility, general market and business conditions, and applicable legal requirements.</w:t>
      </w:r>
    </w:p>
    <w:p>
      <w:pPr>
        <w:spacing w:after="0" w:line="15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December 31, 2021.</w:t>
      </w: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Dollar Value of</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6"/>
                <w:szCs w:val="16"/>
                <w:color w:val="auto"/>
              </w:rPr>
            </w:pPr>
          </w:p>
        </w:tc>
        <w:tc>
          <w:tcPr>
            <w:tcW w:w="190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9"/>
              </w:rPr>
              <w:t>Shares that May Yet</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Average Price</w:t>
            </w:r>
          </w:p>
        </w:tc>
        <w:tc>
          <w:tcPr>
            <w:tcW w:w="21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99"/>
              </w:rPr>
              <w:t>Be Purchased</w:t>
            </w:r>
          </w:p>
        </w:tc>
        <w:tc>
          <w:tcPr>
            <w:tcW w:w="0" w:type="dxa"/>
            <w:vAlign w:val="bottom"/>
          </w:tcPr>
          <w:p>
            <w:pPr>
              <w:spacing w:after="0"/>
              <w:rPr>
                <w:sz w:val="1"/>
                <w:szCs w:val="1"/>
                <w:color w:val="auto"/>
              </w:rPr>
            </w:pPr>
          </w:p>
        </w:tc>
      </w:tr>
      <w:tr>
        <w:trPr>
          <w:trHeight w:val="187"/>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99"/>
              </w:rPr>
              <w:t>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16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center"/>
              <w:ind w:right="50"/>
              <w:spacing w:after="0" w:line="187" w:lineRule="exact"/>
              <w:rPr>
                <w:sz w:val="20"/>
                <w:szCs w:val="20"/>
                <w:color w:val="auto"/>
              </w:rPr>
            </w:pPr>
            <w:r>
              <w:rPr>
                <w:rFonts w:ascii="Arial" w:cs="Arial" w:eastAsia="Arial" w:hAnsi="Arial"/>
                <w:sz w:val="18"/>
                <w:szCs w:val="18"/>
                <w:b w:val="1"/>
                <w:bCs w:val="1"/>
                <w:color w:val="auto"/>
                <w:w w:val="99"/>
              </w:rPr>
              <w:t>under the Plans or</w:t>
            </w:r>
          </w:p>
        </w:tc>
        <w:tc>
          <w:tcPr>
            <w:tcW w:w="0" w:type="dxa"/>
            <w:vAlign w:val="bottom"/>
          </w:tcPr>
          <w:p>
            <w:pPr>
              <w:spacing w:after="0"/>
              <w:rPr>
                <w:sz w:val="1"/>
                <w:szCs w:val="1"/>
                <w:color w:val="auto"/>
              </w:rPr>
            </w:pPr>
          </w:p>
        </w:tc>
      </w:tr>
      <w:tr>
        <w:trPr>
          <w:trHeight w:val="25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line="255" w:lineRule="exact"/>
              <w:rPr>
                <w:sz w:val="20"/>
                <w:szCs w:val="20"/>
                <w:color w:val="auto"/>
              </w:rPr>
            </w:pPr>
            <w:r>
              <w:rPr>
                <w:rFonts w:ascii="Arial" w:cs="Arial" w:eastAsia="Arial" w:hAnsi="Arial"/>
                <w:sz w:val="18"/>
                <w:szCs w:val="18"/>
                <w:b w:val="1"/>
                <w:bCs w:val="1"/>
                <w:color w:val="auto"/>
                <w:w w:val="94"/>
              </w:rPr>
              <w:t xml:space="preserve">Purchased </w:t>
            </w:r>
            <w:r>
              <w:rPr>
                <w:rFonts w:ascii="Arial" w:cs="Arial" w:eastAsia="Arial" w:hAnsi="Arial"/>
                <w:sz w:val="23"/>
                <w:szCs w:val="23"/>
                <w:b w:val="1"/>
                <w:bCs w:val="1"/>
                <w:color w:val="auto"/>
                <w:w w:val="94"/>
                <w:vertAlign w:val="superscript"/>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Paid Per Share</w:t>
            </w: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center"/>
              <w:ind w:right="50"/>
              <w:spacing w:after="0" w:line="255" w:lineRule="exact"/>
              <w:rPr>
                <w:sz w:val="20"/>
                <w:szCs w:val="20"/>
                <w:color w:val="auto"/>
              </w:rPr>
            </w:pPr>
            <w:r>
              <w:rPr>
                <w:rFonts w:ascii="Arial" w:cs="Arial" w:eastAsia="Arial" w:hAnsi="Arial"/>
                <w:sz w:val="18"/>
                <w:szCs w:val="18"/>
                <w:b w:val="1"/>
                <w:bCs w:val="1"/>
                <w:color w:val="auto"/>
                <w:w w:val="94"/>
              </w:rPr>
              <w:t xml:space="preserve">Programs </w:t>
            </w:r>
            <w:r>
              <w:rPr>
                <w:rFonts w:ascii="Arial" w:cs="Arial" w:eastAsia="Arial" w:hAnsi="Arial"/>
                <w:sz w:val="23"/>
                <w:szCs w:val="23"/>
                <w:b w:val="1"/>
                <w:bCs w:val="1"/>
                <w:color w:val="auto"/>
                <w:w w:val="94"/>
                <w:vertAlign w:val="superscript"/>
              </w:rPr>
              <w:t>(2)</w:t>
            </w:r>
          </w:p>
        </w:tc>
        <w:tc>
          <w:tcPr>
            <w:tcW w:w="0" w:type="dxa"/>
            <w:vAlign w:val="bottom"/>
          </w:tcPr>
          <w:p>
            <w:pPr>
              <w:spacing w:after="0"/>
              <w:rPr>
                <w:sz w:val="1"/>
                <w:szCs w:val="1"/>
                <w:color w:val="auto"/>
              </w:rPr>
            </w:pPr>
          </w:p>
        </w:tc>
      </w:tr>
      <w:tr>
        <w:trPr>
          <w:trHeight w:val="22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2021 – October 31, 2021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34,745,565</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November 1, 2021 – November 30, 2021</w:t>
            </w:r>
          </w:p>
        </w:tc>
        <w:tc>
          <w:tcPr>
            <w:tcW w:w="1460" w:type="dxa"/>
            <w:vAlign w:val="bottom"/>
          </w:tcPr>
          <w:p>
            <w:pPr>
              <w:jc w:val="right"/>
              <w:spacing w:after="0"/>
              <w:rPr>
                <w:sz w:val="20"/>
                <w:szCs w:val="20"/>
                <w:color w:val="auto"/>
              </w:rPr>
            </w:pPr>
            <w:r>
              <w:rPr>
                <w:rFonts w:ascii="Arial" w:cs="Arial" w:eastAsia="Arial" w:hAnsi="Arial"/>
                <w:sz w:val="18"/>
                <w:szCs w:val="18"/>
                <w:color w:val="auto"/>
              </w:rPr>
              <w:t>14,660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50.16</w:t>
            </w: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34,745,565</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2021 – December 31,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97,279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12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30,171,684</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112,789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47.94</w:t>
            </w:r>
          </w:p>
        </w:tc>
        <w:tc>
          <w:tcPr>
            <w:tcW w:w="12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right="20" w:hanging="332"/>
        <w:spacing w:after="0" w:line="256" w:lineRule="auto"/>
        <w:tabs>
          <w:tab w:leader="none" w:pos="37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repurchased included 850 shares in October 2021, 14,660 shares in November 2021 and 1,144 shares in December 2021 to satisfy employee tax withholding requirements. These shares do not reduce the repurchase authority under the Share Repurchase Program.</w:t>
      </w:r>
    </w:p>
    <w:p>
      <w:pPr>
        <w:spacing w:after="0" w:line="147"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19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MD&amp;A</w:t>
      </w:r>
      <w:r>
        <w:rPr>
          <w:rFonts w:ascii="Arial" w:cs="Arial" w:eastAsia="Arial" w:hAnsi="Arial"/>
          <w:sz w:val="18"/>
          <w:szCs w:val="18"/>
          <w:color w:val="auto"/>
        </w:rPr>
        <w:t>”</w:t>
      </w:r>
      <w:r>
        <w:rPr>
          <w:rFonts w:ascii="Arial" w:cs="Arial" w:eastAsia="Arial" w:hAnsi="Arial"/>
          <w:sz w:val="18"/>
          <w:szCs w:val="18"/>
          <w:i w:val="1"/>
          <w:iCs w:val="1"/>
          <w:color w:val="auto"/>
        </w:rPr>
        <w:t xml:space="preserve">) should be read in conjunction with our Consolidated Financial Statements and related notes appearing under Part II—Item 8. </w:t>
      </w:r>
      <w:r>
        <w:rPr>
          <w:rFonts w:ascii="Arial" w:cs="Arial" w:eastAsia="Arial" w:hAnsi="Arial"/>
          <w:sz w:val="18"/>
          <w:szCs w:val="18"/>
          <w:color w:val="auto"/>
        </w:rPr>
        <w:t>“</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r>
        <w:rPr>
          <w:rFonts w:ascii="Arial" w:cs="Arial" w:eastAsia="Arial" w:hAnsi="Arial"/>
          <w:sz w:val="18"/>
          <w:szCs w:val="18"/>
          <w:i w:val="1"/>
          <w:iCs w:val="1"/>
          <w:color w:val="auto"/>
        </w:rPr>
        <w:t xml:space="preserve"> The following MD&amp;A contains forward-looking statements and involves numerous risks and uncertainties, including, without limitation, those described under Part I—Item 1A.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of this Annual Report on Form 10-K. Actual results may differ materially from those contained in any forward-looking statements.</w:t>
      </w:r>
    </w:p>
    <w:p>
      <w:pPr>
        <w:spacing w:after="0" w:line="1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The following information summarizes our results of operations for 2021, 2020, and 2019; and discusses those results of operations for 2021 compared to 2020. For a discussion of our results of operations for 2020 compared to 2019, refer to Part II—Item 7. "Management’s Discussion and Analysis of Financial Condition and Results of Operations" of the Annual Report on Form 10-K for the year ended December 31, 2020, which was filed with the United States Securities and Exchange Commission on February 23,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our clients need to own their future. By embracing diverse perspectives, encouraging new ideas and challenging the status quo, Huron delivers sustainable results for the organizations it serves.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provide our services and manage our business under three operating segments: Healthcare, Business Advisory, and Education. See Part I—Item 1. “Business—Overview—Our Services” and Note 19 “Segment Information” within the notes to our consolidated financial statements for a discussion of our three segments.</w:t>
      </w:r>
    </w:p>
    <w:p>
      <w:pPr>
        <w:spacing w:after="0" w:line="14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pacing w:after="0" w:line="148"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will begin reporting under the following three industries, which will be our reportable segments: Healthcare, Education and Commercial. The Commercial segment will include all industries outside of healthcare and education, including, but not limited to, financial services and energy and utilities. In the new reporting structure, each segment will include all revenue and costs associated with engagements delivered in the respective industry segments. The new Healthcare and Education segments will include some revenue and costs historically reported in the Business Advisory segment and the Healthcare segment will include some revenue and costs historically reported in the Education segment. We will also provide revenue reporting across two principal capabilities: i) Consulting and Managed Services and ii) Digital. These changes will create greater transparency for investors by improving visibility into the core drivers of our business. While our consolidated results will not be impacted, we will recast our historical segment information during 2022 for consistent presentation.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(COVID-</w:t>
      </w:r>
      <w:r>
        <w:rPr>
          <w:rFonts w:ascii="Arial" w:cs="Arial" w:eastAsia="Arial" w:hAnsi="Arial"/>
          <w:sz w:val="18"/>
          <w:szCs w:val="18"/>
          <w:b w:val="1"/>
          <w:bCs w:val="1"/>
          <w:color w:val="auto"/>
        </w:rPr>
        <w:t>19)</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worldwide spread of COVID-19 beginning in 2020 has created significant volatility, uncertainty and disruption to the global economy. The pandemic had an unfavorable impact on aspects of our business, operations, and financial results, and caused us to significantly change the way we operate. Near the end of the first quarter of 2020, we suspended almost all business travel and our employees began working from their homes. While traditionally a majority of the work performed by our revenue-generating professionals occurred at client sites, the nature of the services we provide and enhanced available technology allows our revenue-generating professionals to effectively serve clients in a remote work environment. As federal, state and local government restrictions evolve, we continue to refine our comprehensive plan to return to our offices and client sites with our people’s safety and the needs of our clients guiding how we implement our phased transition. As of December 31, 2021, our employees continue to primarily work from their homes; however, most of our offices are open and we are providing our employees the flexibility to choose to work remotely, from our offices, or from client sites as needed and in accordance with recommended public health guidelines.</w:t>
      </w:r>
    </w:p>
    <w:p>
      <w:pPr>
        <w:spacing w:after="0" w:line="15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each of our operating segments, we are working closely with our clients to support them and their ongoing business needs and provide relevant services to address their needs caused by the COVID-19 pandemic. However, since the beginning of the pandemic in 2020, some clients reprioritized and delayed projects which negatively impacted demand for certain offerings, particularly within our Healthcare and Education segments. Conversely, the COVID -19 pandemic strengthened demand for other services we provide, such as our cloud-based technology and analytics solutions within our Business Advisory segment and our restructuring and capital advisory solutions provided to organizations in transition also within our Business Advisory segment.</w:t>
      </w:r>
    </w:p>
    <w:p>
      <w:pPr>
        <w:spacing w:after="0" w:line="15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Beginning in the second quarter of 2021 and continuing through the end of 2021, we saw strengthened demand for services in all of our segments compared to the same prior year period. As a result, total revenues in the fourth quarter of 2021 increased 25.2% compared to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fourth quarter of 2020, and full year 2021 revenues increased 7.3% compared to 2020. We expect continued revenue growth in 2022 compared to 2021.</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order to support our liquidity during the COVID-19 pandemic, we took proactive measures to increase available cash on hand including, but not limited to, borrowing under our senior secured credit facility in the first quarter of 2020 and reducing discretionary operating and capital spending. In the second, third and fourth quarters of 2020, we made repayments on our borrowings to reduce our total debt outstanding to pre-pandemic levels due to our ability to maintain adequate cash flows from operations and improved clarity around access to capital resources. In 2021, we borrowed under our credit facility primarily to fund our annual performance bonus payment in March 2021 and our acquisitions of businesses during the year. To further support our liquidity during the COVID-19 pandemic, we elected to defer the deposit of our employer portion of social security taxes beginning in April 2020 and through December 31, 2020, as provided for under the Coronavirus Aid, Relief, and Economic Security Act ("CARES Act"). These deferred payments, which totaled $ 12.2 million, were paid in full in the third quarter of 2021. See the “Liquidity and Capital Resources” section below for additional information on these items.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Resource Planning System Implementation</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fourth quarter of 2019, we began the implementation of a new cloud-based enterprise resource planning (“ERP”) system designed to improve the efficiency of our internal finance, human resources, resource planning, and administrative operations. In January 2021, we successfully went live with the new ERP system, and we continue to progress with additional functionality and integrations as scheduled. The implementation progressed on schedule and was not significantly impacted by the COVID-19 pandemic due to the ability of our implementation team to work and collaborate remotely and the enhanced technology and cloud-based nature of our new ERP system. We believe our investment in this new system will position our teams to drive efficiencies and provide more robust management reporting and data analytics to support future growth and the goals and vision of the company.</w:t>
      </w:r>
    </w:p>
    <w:p>
      <w:pPr>
        <w:spacing w:after="0" w:line="15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See Part II, Item 1A. “Risk Factors” of this Annual Report on Form 10-K for additional information on the potential impact the COVID-19 pandemic could have on our business, operations and financial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2021, we completed the following acquisitions:</w:t>
      </w:r>
    </w:p>
    <w:p>
      <w:pPr>
        <w:spacing w:after="0" w:line="153" w:lineRule="exact"/>
        <w:rPr>
          <w:sz w:val="20"/>
          <w:szCs w:val="20"/>
          <w:color w:val="auto"/>
        </w:rPr>
      </w:pPr>
    </w:p>
    <w:p>
      <w:pPr>
        <w:ind w:left="660" w:right="20" w:hanging="328"/>
        <w:spacing w:after="0" w:line="261"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Unico Solution, Inc. - </w:t>
      </w:r>
      <w:r>
        <w:rPr>
          <w:rFonts w:ascii="Arial" w:cs="Arial" w:eastAsia="Arial" w:hAnsi="Arial"/>
          <w:sz w:val="18"/>
          <w:szCs w:val="18"/>
          <w:color w:val="auto"/>
        </w:rPr>
        <w:t>On February 1, 2021, we completed the acquisition of Unico Solution, Inc. (“Unico Solutions”), a data strategy</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technology consulting firm focused on helping clients enhance the use of their data to speed business transformation and accelerate cloud adoption. The acquisition expands our cloud-based technology offerings within the Business Advisory segment. The results of operations of Unico Solutions are included within the Business Advisory segment from the date of acquisition.</w:t>
      </w:r>
    </w:p>
    <w:p>
      <w:pPr>
        <w:spacing w:after="0" w:line="125" w:lineRule="exact"/>
        <w:rPr>
          <w:rFonts w:ascii="Arial" w:cs="Arial" w:eastAsia="Arial" w:hAnsi="Arial"/>
          <w:sz w:val="18"/>
          <w:szCs w:val="18"/>
          <w:color w:val="auto"/>
        </w:rPr>
      </w:pPr>
    </w:p>
    <w:p>
      <w:pPr>
        <w:ind w:left="660" w:right="120" w:hanging="328"/>
        <w:spacing w:after="0" w:line="266"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Bad Rabbit, Inc. - </w:t>
      </w:r>
      <w:r>
        <w:rPr>
          <w:rFonts w:ascii="Arial" w:cs="Arial" w:eastAsia="Arial" w:hAnsi="Arial"/>
          <w:sz w:val="18"/>
          <w:szCs w:val="18"/>
          <w:color w:val="auto"/>
        </w:rPr>
        <w:t>On October 1, 2021, we completed the acquisition of the research administration software services team of Bad</w:t>
      </w:r>
      <w:r>
        <w:rPr>
          <w:rFonts w:ascii="Arial" w:cs="Arial" w:eastAsia="Arial" w:hAnsi="Arial"/>
          <w:sz w:val="18"/>
          <w:szCs w:val="18"/>
          <w:i w:val="1"/>
          <w:iCs w:val="1"/>
          <w:color w:val="auto"/>
        </w:rPr>
        <w:t xml:space="preserve"> </w:t>
      </w:r>
      <w:r>
        <w:rPr>
          <w:rFonts w:ascii="Arial" w:cs="Arial" w:eastAsia="Arial" w:hAnsi="Arial"/>
          <w:sz w:val="18"/>
          <w:szCs w:val="18"/>
          <w:color w:val="auto"/>
        </w:rPr>
        <w:t>Rabbit, Inc. (“Bad Rabbit”). The results of operations of Bad Rabbit are included in our consolidated financial statements and results of operations of our Education segment from the date of acquisition.</w:t>
      </w:r>
    </w:p>
    <w:p>
      <w:pPr>
        <w:spacing w:after="0" w:line="121" w:lineRule="exact"/>
        <w:rPr>
          <w:rFonts w:ascii="Arial" w:cs="Arial" w:eastAsia="Arial" w:hAnsi="Arial"/>
          <w:sz w:val="18"/>
          <w:szCs w:val="18"/>
          <w:color w:val="auto"/>
        </w:rPr>
      </w:pPr>
    </w:p>
    <w:p>
      <w:pPr>
        <w:ind w:left="660" w:right="100" w:hanging="328"/>
        <w:spacing w:after="0" w:line="261" w:lineRule="auto"/>
        <w:tabs>
          <w:tab w:leader="none" w:pos="669"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Whiteboard Communications Ltd. - </w:t>
      </w:r>
      <w:r>
        <w:rPr>
          <w:rFonts w:ascii="Arial" w:cs="Arial" w:eastAsia="Arial" w:hAnsi="Arial"/>
          <w:sz w:val="18"/>
          <w:szCs w:val="18"/>
          <w:color w:val="auto"/>
        </w:rPr>
        <w:t>On December 1, 2021, we completed the acquisition of Whiteboard Communications Ltd.</w:t>
      </w:r>
      <w:r>
        <w:rPr>
          <w:rFonts w:ascii="Arial" w:cs="Arial" w:eastAsia="Arial" w:hAnsi="Arial"/>
          <w:sz w:val="18"/>
          <w:szCs w:val="18"/>
          <w:i w:val="1"/>
          <w:iCs w:val="1"/>
          <w:color w:val="auto"/>
        </w:rPr>
        <w:t xml:space="preserve"> </w:t>
      </w:r>
      <w:r>
        <w:rPr>
          <w:rFonts w:ascii="Arial" w:cs="Arial" w:eastAsia="Arial" w:hAnsi="Arial"/>
          <w:sz w:val="18"/>
          <w:szCs w:val="18"/>
          <w:color w:val="auto"/>
        </w:rPr>
        <w:t>(“Whiteboard”), a student enrollment advisory firm that helps colleges and universities with recruitment initiatives and financial aid strategies. The results of operations of Whiteboard are included in our consolidated financial statements and results of operations of our Education segment from the date of acquisition.</w:t>
      </w:r>
    </w:p>
    <w:p>
      <w:pPr>
        <w:spacing w:after="0" w:line="125" w:lineRule="exact"/>
        <w:rPr>
          <w:rFonts w:ascii="Arial" w:cs="Arial" w:eastAsia="Arial" w:hAnsi="Arial"/>
          <w:sz w:val="18"/>
          <w:szCs w:val="18"/>
          <w:i w:val="1"/>
          <w:iCs w:val="1"/>
          <w:color w:val="auto"/>
        </w:rPr>
      </w:pPr>
    </w:p>
    <w:p>
      <w:pPr>
        <w:ind w:left="660" w:right="320" w:hanging="328"/>
        <w:spacing w:after="0" w:line="261" w:lineRule="auto"/>
        <w:tabs>
          <w:tab w:leader="none" w:pos="669"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Perception Health, Inc. - </w:t>
      </w:r>
      <w:r>
        <w:rPr>
          <w:rFonts w:ascii="Arial" w:cs="Arial" w:eastAsia="Arial" w:hAnsi="Arial"/>
          <w:sz w:val="18"/>
          <w:szCs w:val="18"/>
          <w:color w:val="auto"/>
        </w:rPr>
        <w:t>On December 31, 2021, we completed the acquisition of Perception Health, Inc. (“Perception Health”), a</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predictive analytics company focused on bringing data sources together for improved clinical and business decision-making. The results of operations of Perception Health will be included in our consolidated financial statements and results of operations of our Healthcare segment beginning January, 1, 2022.</w:t>
      </w:r>
    </w:p>
    <w:p>
      <w:pPr>
        <w:spacing w:after="0" w:line="144"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The acquisitions of Unico Solutions, Bad Rabbit, Whiteboard and Perception Health are not significant to our consolidated financial statements individually or in the aggregate as of and for the year ended December 31, 2021.</w:t>
      </w:r>
    </w:p>
    <w:p>
      <w:pPr>
        <w:spacing w:after="0" w:line="14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On November 1, 2021, we completed the divestiture of our Life Sciences business to a third-party. The Life Sciences business, a reporting unit within the Business Advisory segment, provides commercial and research and development strategy, pricing and market access strategy solutions to customers in the life sciences industries. For the ten months ended October 31, 2021, Life Sciences revenues were</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$16.7 million. The Life Sciences business is not significant to our consolidated financial statements and does not qualify as a discontinued operation for reporting under GAAP.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 large portion of our revenues is generated by our full-time consultants who provide consulting and other professional services to our clients and are billable to our clients based on the number of hours worked, services provided, or achieved outcomes. A smaller portion of our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revenues is generated by our other professionals, also referred to as full-time equivalents, some of whom work variable schedules as needed by our clients. Full-time equivalent professionals consist of our coaches and their support staff from our Culture and Organizational Excellence solution, consultants who work variable schedules as needed by our clients, and our employees who provide software support and maintenance services to our clients. We translate the hours that these other professionals work on client engagements into a full-time equivalent measure that we use to manage our business. Another portion of our revenue is generated by our Healthcare Managed Services employees within our Healthcare segment. Our Healthcare Managed Services employees manage and provide revenue cycle billing, collections, insurance verification and change integrity services to clients. We refer to our billable consultants, full-time equivalents and Healthcare Managed Services employees as revenue-generating professionals.</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Revenues generated by our billable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 Revenues generated by our Healthcare Managed Services employees are largely dependent on the total value, scope and terms of the related contracts.</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maintenance and subscriptions.</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Culture and Organizational Excellence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5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Fixed-fee engagements represented 44.2%, 41.4%, and 45.8% of our revenues for the years ended December 31, 2021, 2020, and 2019, respectively.</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and the portion of our Healthcare Managed Services contracts that are billed under time-and -expense arrangements. We recognize revenues under time-and-expense billing arrangements as the related services or publications are provided. Time-and-expense engagements represented 39.2%, 43.4%, and 39.9% of our revenues in 2021, 2020, and 2019, respectively.</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recognize revenues under performance-based billing arrangements by estimating the amount of variable consideration that is probable of being earned and recognizing that estimate over the length of the contract using a proportionate performance approach. Performance-based fee revenues represented 10.1%, 9.2%, and 8.9% of our revenues in 2021, 2020, and 2019, respectively. The level of performance-based fees earned may vary based on our clients’ risk sharing preferences and the mix of services we provide.</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 Software support and maintenance and subscription-based revenues represented 6.5%, 6.0%, and 5.4% of our revenues in 2021, 2020, and 2019, respectively.</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 rates we charge our clients, and the number of our revenue-generating professionals who are available to work.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5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engagements, are included in total revenues and reimbursable expenses. Under fixed-fee billing arrangements, we estimate the total amount of reimbursable expenses to be incurred over the course of the engagement and recognize the estimated amount as revenue using the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5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manage our business on the basis of revenues before reimbursable expenses, which we believe is the most accurate reflection of our services because it eliminates the effect of reimbursable expenses that we bill to our clients at cost.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93"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Our most significant expenses are costs classified as total direct costs. Total direct costs primarily include salaries, performance bonuses, signing and retention bonuses, payroll taxes, and benefits for revenue-generating professionals, as well as technology costs, product and event costs, commissions, and fees paid to independent contractors that we retain to supplement our revenue-generating professionals, typically on an as-needed basis for specific client engagements. Direct costs also include share-based compensation, which represents the cost of restricted stock and performance-based share awards, granted to our revenue-generating professionals. Compensation expense for restricted stock awards and performance-based share awards is recognized ratably using either the straight-line attribution method or the graded vesting attribution method, as appropriate, over the requisite service period, which is generally three to four years. Total direct costs also include amortization of internally developed software costs and intangible assets primarily related to technology and software, certain customer relationships, and customer contracts acquired in business combinations.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9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operating expenses include selling, general and administrative expenses, which consist primarily of salaries, performance bonuses, payroll taxes, benefits, and share-based compensation for our support personnel. Also included in selling, general and administrative expenses is rent and other office related expenses, referred to as facilities expenses; sales and marketing related expenses; third-party professional fees; recruiting and training expenses; and practice administration and meetings expenses. Other operating expenses include restructuring charges, other gains and losses, depreciation and certain amortization expenses not included in total direct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93" w:lineRule="exact"/>
        <w:rPr>
          <w:sz w:val="20"/>
          <w:szCs w:val="20"/>
          <w:color w:val="auto"/>
        </w:rPr>
      </w:pPr>
    </w:p>
    <w:p>
      <w:pPr>
        <w:ind w:right="360"/>
        <w:spacing w:after="0" w:line="271" w:lineRule="auto"/>
        <w:rPr>
          <w:sz w:val="20"/>
          <w:szCs w:val="20"/>
          <w:color w:val="auto"/>
        </w:rPr>
      </w:pPr>
      <w:r>
        <w:rPr>
          <w:rFonts w:ascii="Arial" w:cs="Arial" w:eastAsia="Arial" w:hAnsi="Arial"/>
          <w:sz w:val="17"/>
          <w:szCs w:val="17"/>
          <w:color w:val="auto"/>
        </w:rPr>
        <w:t>Segment operating income consists of the revenues generated by a segment, less the direct costs of revenue and selling, general and administrative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The results of operations for acquired businesses have been included in our results of operations since the date of their respective acquisition.</w:t>
      </w:r>
    </w:p>
    <w:p>
      <w:pPr>
        <w:spacing w:after="0" w:line="130"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In conjunction with our continuous evaluation of the appropriate level of disaggregation of revenues as our business evolves and in consideration of a group hire of approximately 300 employees in our Healthcare Managed Services solution within our Healthcare segment in the second quarter of 2021, we began assessing our operating performance by the following three employee types: billable consultants, full-time equivalents, and Healthcare Managed Services employees. The other operating data previously reported for the twelve months ended December 31, 2020 and 2019 was revised below to reflect this change. This change has no impact on our consolidated total revenues or total revenues by segment.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and Consolidated Operating Results (in thousands):</w:t>
            </w:r>
          </w:p>
        </w:tc>
        <w:tc>
          <w:tcPr>
            <w:tcW w:w="1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377,577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353,437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399,221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94,925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125,724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Business Advisory:</w:t>
            </w: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291,663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267,361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252,508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48,046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49,695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236,400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223,329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225,028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52,772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47,503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905,640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844,127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876,757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1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21,318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26,887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88,717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Total revenues and reimbursable expenses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926,958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871,014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965,474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Statements of Operations reconciliation:</w:t>
            </w: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205,018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190,474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231,160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131,372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135,255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140,285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and other losses (gains)</w:t>
            </w: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20,634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24,405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28,365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3"/>
                <w:szCs w:val="23"/>
                <w:color w:val="auto"/>
                <w:vertAlign w:val="superscript"/>
              </w:rPr>
              <w:t>(1)</w:t>
            </w: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Total operating income (loss)</w:t>
            </w:r>
          </w:p>
        </w:tc>
        <w:tc>
          <w:tcPr>
            <w:tcW w:w="1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52,839</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(28,852)</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63,706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27,197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taxes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80,036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(33,873)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52,491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17,049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(10,155)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10,512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62,987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(23,718)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41,979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from continuing operations</w:t>
            </w: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Basic</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5400" w:type="dxa"/>
            <w:vAlign w:val="bottom"/>
          </w:tcPr>
          <w:p>
            <w:pPr>
              <w:spacing w:after="0"/>
              <w:rPr>
                <w:sz w:val="24"/>
                <w:szCs w:val="24"/>
                <w:color w:val="auto"/>
              </w:rPr>
            </w:pPr>
          </w:p>
        </w:tc>
        <w:tc>
          <w:tcPr>
            <w:tcW w:w="1320" w:type="dxa"/>
            <w:vAlign w:val="bottom"/>
          </w:tcPr>
          <w:p>
            <w:pPr>
              <w:jc w:val="right"/>
              <w:ind w:right="91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68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Number of billable consultants (at period end)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Average number of billable consultants (for the period)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3"/>
        </w:trPr>
        <w:tc>
          <w:tcPr>
            <w:tcW w:w="684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Billable consultant utilization rate </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69.0 %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79.4 %</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72.5 %</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76.8 %</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76.1 %</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Billable consultant average billing rate per hour </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Business Advisory </w:t>
            </w:r>
            <w:r>
              <w:rPr>
                <w:rFonts w:ascii="Arial" w:cs="Arial" w:eastAsia="Arial" w:hAnsi="Arial"/>
                <w:sz w:val="23"/>
                <w:szCs w:val="23"/>
                <w:color w:val="auto"/>
                <w:vertAlign w:val="superscript"/>
              </w:rPr>
              <w:t>(5)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6840" w:type="dxa"/>
            <w:vAlign w:val="bottom"/>
          </w:tcPr>
          <w:p>
            <w:pPr>
              <w:ind w:left="340"/>
              <w:spacing w:after="0" w:line="23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per billable consultant (in thousands):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3"/>
                <w:szCs w:val="23"/>
                <w:b w:val="1"/>
                <w:bCs w:val="1"/>
                <w:color w:val="auto"/>
                <w:vertAlign w:val="superscript"/>
              </w:rPr>
              <w:t>(6)</w:t>
            </w: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84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per full-time equivalent (in thousands):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Healthcare Managed Services</w:t>
            </w:r>
            <w:r>
              <w:rPr>
                <w:rFonts w:ascii="Arial" w:cs="Arial" w:eastAsia="Arial" w:hAnsi="Arial"/>
                <w:sz w:val="23"/>
                <w:szCs w:val="23"/>
                <w:b w:val="1"/>
                <w:bCs w:val="1"/>
                <w:color w:val="auto"/>
                <w:vertAlign w:val="superscript"/>
              </w:rPr>
              <w:t>(7)</w:t>
            </w: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(in thousands)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47,718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28,663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Average number of Healthcare Managed Services employees (for the period)</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340" w:right="100" w:hanging="332"/>
        <w:spacing w:after="0" w:line="259" w:lineRule="auto"/>
        <w:tabs>
          <w:tab w:leader="none" w:pos="3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non-cash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37" w:lineRule="exact"/>
        <w:rPr>
          <w:rFonts w:ascii="Arial" w:cs="Arial" w:eastAsia="Arial" w:hAnsi="Arial"/>
          <w:sz w:val="17"/>
          <w:szCs w:val="17"/>
          <w:color w:val="auto"/>
        </w:rPr>
      </w:pPr>
    </w:p>
    <w:p>
      <w:pPr>
        <w:ind w:left="360" w:hanging="352"/>
        <w:spacing w:after="0"/>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our consulting professionals who provide consulting services and generate revenues based on the number of hours worked.</w:t>
      </w:r>
    </w:p>
    <w:p>
      <w:pPr>
        <w:spacing w:after="0" w:line="61" w:lineRule="exact"/>
        <w:rPr>
          <w:rFonts w:ascii="Arial" w:cs="Arial" w:eastAsia="Arial" w:hAnsi="Arial"/>
          <w:sz w:val="17"/>
          <w:szCs w:val="17"/>
          <w:color w:val="auto"/>
        </w:rPr>
      </w:pPr>
    </w:p>
    <w:p>
      <w:pPr>
        <w:ind w:left="340" w:right="40" w:hanging="332"/>
        <w:spacing w:after="0" w:line="254" w:lineRule="auto"/>
        <w:tabs>
          <w:tab w:leader="none" w:pos="3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Utilization rate for our billable consultants is calculated by dividing the number of hours all of our billable consultants worked on client assignments during a period by the total available working hours for all of these consultants during the same period, assuming a forty-hour work week, less paid holidays and vacation days.</w:t>
      </w:r>
    </w:p>
    <w:p>
      <w:pPr>
        <w:spacing w:after="0" w:line="40" w:lineRule="exact"/>
        <w:rPr>
          <w:rFonts w:ascii="Arial" w:cs="Arial" w:eastAsia="Arial" w:hAnsi="Arial"/>
          <w:sz w:val="17"/>
          <w:szCs w:val="17"/>
          <w:color w:val="auto"/>
        </w:rPr>
      </w:pPr>
    </w:p>
    <w:p>
      <w:pPr>
        <w:ind w:left="340" w:right="80" w:hanging="332"/>
        <w:spacing w:after="0" w:line="259" w:lineRule="auto"/>
        <w:tabs>
          <w:tab w:leader="none" w:pos="3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Average billing rate per hour for our billable consultants is calculated by dividing revenues for a period by the number of hours worked on client assignments during the same period.</w:t>
      </w:r>
    </w:p>
    <w:p>
      <w:pPr>
        <w:spacing w:after="0" w:line="37" w:lineRule="exact"/>
        <w:rPr>
          <w:rFonts w:ascii="Arial" w:cs="Arial" w:eastAsia="Arial" w:hAnsi="Arial"/>
          <w:sz w:val="17"/>
          <w:szCs w:val="17"/>
          <w:color w:val="auto"/>
        </w:rPr>
      </w:pPr>
    </w:p>
    <w:p>
      <w:pPr>
        <w:jc w:val="both"/>
        <w:ind w:left="340" w:right="120" w:hanging="332"/>
        <w:spacing w:after="0" w:line="254" w:lineRule="auto"/>
        <w:tabs>
          <w:tab w:leader="none" w:pos="3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Business Advisory segment includes operations of Huron Eurasia India. Absent the impact of Huron Eurasia India, the average billing rate per hour for the Business Advisory segment would have been $216, $213, and $228 for the years ended December 31, 2021, 2020 and 2019, respectively.</w:t>
      </w:r>
    </w:p>
    <w:p>
      <w:pPr>
        <w:spacing w:after="0" w:line="41" w:lineRule="exact"/>
        <w:rPr>
          <w:sz w:val="20"/>
          <w:szCs w:val="20"/>
          <w:color w:val="auto"/>
        </w:rPr>
      </w:pPr>
    </w:p>
    <w:p>
      <w:pPr>
        <w:ind w:left="340" w:right="340"/>
        <w:spacing w:after="0" w:line="259" w:lineRule="auto"/>
        <w:rPr>
          <w:sz w:val="20"/>
          <w:szCs w:val="20"/>
          <w:color w:val="auto"/>
        </w:rPr>
      </w:pPr>
      <w:r>
        <w:rPr>
          <w:rFonts w:ascii="Arial" w:cs="Arial" w:eastAsia="Arial" w:hAnsi="Arial"/>
          <w:sz w:val="17"/>
          <w:szCs w:val="17"/>
          <w:color w:val="auto"/>
        </w:rPr>
        <w:t>Absent the impact of Huron Eurasia India, Huron's consolidated average billing rate per hour would have been $216, $209, and $220 for the years ended December 31, 2021, 2020 and 2019, respectively.</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right="80" w:hanging="332"/>
        <w:spacing w:after="0" w:line="259" w:lineRule="auto"/>
        <w:tabs>
          <w:tab w:leader="none" w:pos="3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coaches and their support staff within our Culture and Organizational Excellence solution, consultants who work variable schedules as needed by our clients, and full-time employees who provide software support and maintenance services to our clients.</w:t>
      </w:r>
    </w:p>
    <w:p>
      <w:pPr>
        <w:spacing w:after="0" w:line="37" w:lineRule="exact"/>
        <w:rPr>
          <w:rFonts w:ascii="Arial" w:cs="Arial" w:eastAsia="Arial" w:hAnsi="Arial"/>
          <w:sz w:val="17"/>
          <w:szCs w:val="17"/>
          <w:color w:val="auto"/>
        </w:rPr>
      </w:pPr>
    </w:p>
    <w:p>
      <w:pPr>
        <w:ind w:left="340" w:right="260" w:hanging="332"/>
        <w:spacing w:after="0" w:line="259" w:lineRule="auto"/>
        <w:tabs>
          <w:tab w:leader="none" w:pos="3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employees who manage and provide revenue cycle billing, collections, insurance verification and change integrity services to our healthcare clients.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also assess our results of operations using certain non-GAAP financial measures. These non-GAAP financial measures differ from GAAP because the non-GAAP financial measures we calculate to measure earnings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3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905,640</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844,127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876,757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vMerge w:val="continue"/>
          </w:tcPr>
          <w:p>
            <w:pPr>
              <w:spacing w:after="0"/>
              <w:rPr>
                <w:sz w:val="17"/>
                <w:szCs w:val="17"/>
                <w:color w:val="auto"/>
              </w:rPr>
            </w:pPr>
          </w:p>
        </w:tc>
        <w:tc>
          <w:tcPr>
            <w:tcW w:w="760" w:type="dxa"/>
            <w:vAlign w:val="bottom"/>
            <w:gridSpan w:val="2"/>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62,987</w:t>
            </w:r>
          </w:p>
        </w:tc>
        <w:tc>
          <w:tcPr>
            <w:tcW w:w="640" w:type="dxa"/>
            <w:vAlign w:val="bottom"/>
            <w:gridSpan w:val="3"/>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(23,718)</w:t>
            </w:r>
          </w:p>
        </w:tc>
        <w:tc>
          <w:tcPr>
            <w:tcW w:w="120" w:type="dxa"/>
            <w:vAlign w:val="bottom"/>
          </w:tcPr>
          <w:p>
            <w:pPr>
              <w:spacing w:after="0"/>
              <w:rPr>
                <w:sz w:val="17"/>
                <w:szCs w:val="17"/>
                <w:color w:val="auto"/>
              </w:rPr>
            </w:pP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41,979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back:</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17,049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(10,155)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10,512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 of interest income</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8,150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15,648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26,347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29,644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33,740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Earnings before interest, taxes, depreciation and amortization</w:t>
            </w: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rPr>
              <w:t>114,533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30"/>
              <w:spacing w:after="0" w:line="169" w:lineRule="exact"/>
              <w:rPr>
                <w:sz w:val="20"/>
                <w:szCs w:val="20"/>
                <w:color w:val="auto"/>
              </w:rPr>
            </w:pPr>
            <w:r>
              <w:rPr>
                <w:rFonts w:ascii="Arial" w:cs="Arial" w:eastAsia="Arial" w:hAnsi="Arial"/>
                <w:sz w:val="18"/>
                <w:szCs w:val="18"/>
                <w:color w:val="auto"/>
              </w:rPr>
              <w:t>5,063</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101,879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Add back:</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12,401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21,374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Litigation and other losses (gains)</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(1,196)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Transaction-related expenses</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360"/>
              <w:spacing w:after="0"/>
              <w:rPr>
                <w:sz w:val="20"/>
                <w:szCs w:val="20"/>
                <w:color w:val="auto"/>
              </w:rPr>
            </w:pPr>
            <w:r>
              <w:rPr>
                <w:rFonts w:ascii="Arial" w:cs="Arial" w:eastAsia="Arial" w:hAnsi="Arial"/>
                <w:sz w:val="18"/>
                <w:szCs w:val="18"/>
                <w:color w:val="auto"/>
              </w:rPr>
              <w:t>Goodwill impairment charges</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59,816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preferred stock investment</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Losses (gains) on sales of businesses</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(31,510)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losses (gains), net</w:t>
            </w:r>
          </w:p>
        </w:tc>
        <w:tc>
          <w:tcPr>
            <w:tcW w:w="3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97,823</w:t>
            </w:r>
          </w:p>
        </w:tc>
        <w:tc>
          <w:tcPr>
            <w:tcW w:w="6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87,140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105,378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as a percentage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542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1400" w:type="dxa"/>
            <w:vAlign w:val="bottom"/>
            <w:tcBorders>
              <w:top w:val="single" w:sz="8" w:color="0000FF"/>
            </w:tcBorders>
          </w:tcPr>
          <w:p>
            <w:pPr>
              <w:spacing w:after="0"/>
              <w:rPr>
                <w:sz w:val="24"/>
                <w:szCs w:val="24"/>
                <w:color w:val="auto"/>
              </w:rPr>
            </w:pPr>
          </w:p>
        </w:tc>
        <w:tc>
          <w:tcPr>
            <w:tcW w:w="47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41,979</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Weighted average shares -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21,809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21,882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22,507</w:t>
            </w:r>
          </w:p>
        </w:tc>
        <w:tc>
          <w:tcPr>
            <w:tcW w:w="0" w:type="dxa"/>
            <w:vAlign w:val="bottom"/>
          </w:tcPr>
          <w:p>
            <w:pPr>
              <w:spacing w:after="0"/>
              <w:rPr>
                <w:sz w:val="1"/>
                <w:szCs w:val="1"/>
                <w:color w:val="auto"/>
              </w:rPr>
            </w:pPr>
          </w:p>
        </w:tc>
      </w:tr>
      <w:tr>
        <w:trPr>
          <w:trHeight w:val="255"/>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Add back:</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0" w:type="dxa"/>
            <w:vAlign w:val="bottom"/>
          </w:tcPr>
          <w:p>
            <w:pPr>
              <w:spacing w:after="0"/>
              <w:rPr>
                <w:sz w:val="1"/>
                <w:szCs w:val="1"/>
                <w:color w:val="auto"/>
              </w:rPr>
            </w:pPr>
          </w:p>
        </w:tc>
      </w:tr>
      <w:tr>
        <w:trPr>
          <w:trHeight w:val="229"/>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Restructuring and other charges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Litigation and other losses (gains),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29"/>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Transaction-related expenses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Goodwill impairment charges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Non-cash interest on convertible notes</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Unrealized gain on preferred stock investment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Losses (gains) on sales of businesses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 effect of adjustments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29"/>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Tax benefit related to “check-the-box” election</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3"/>
        </w:trPr>
        <w:tc>
          <w:tcPr>
            <w:tcW w:w="6120" w:type="dxa"/>
            <w:vAlign w:val="bottom"/>
            <w:tcBorders>
              <w:top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adjustments, net of tax</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19,632</w:t>
            </w:r>
          </w:p>
        </w:tc>
        <w:tc>
          <w:tcPr>
            <w:tcW w:w="0" w:type="dxa"/>
            <w:vAlign w:val="bottom"/>
          </w:tcPr>
          <w:p>
            <w:pPr>
              <w:spacing w:after="0"/>
              <w:rPr>
                <w:sz w:val="1"/>
                <w:szCs w:val="1"/>
                <w:color w:val="auto"/>
              </w:rPr>
            </w:pPr>
          </w:p>
        </w:tc>
      </w:tr>
      <w:tr>
        <w:trPr>
          <w:trHeight w:val="223"/>
        </w:trPr>
        <w:tc>
          <w:tcPr>
            <w:tcW w:w="612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61,611</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weighted average shares - diluted</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gridSpan w:val="2"/>
            <w:vMerge w:val="restart"/>
          </w:tcPr>
          <w:p>
            <w:pPr>
              <w:ind w:left="36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gridSpan w:val="2"/>
            <w:vMerge w:val="continue"/>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53"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continuing operations presented above. Amortization of intangible assets is inconsistent in its amount and frequency and is significantly affected by the timing and size of our acquisitions.</w:t>
      </w:r>
    </w:p>
    <w:p>
      <w:pPr>
        <w:spacing w:after="0" w:line="1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Restructuring and other charges: </w:t>
      </w:r>
      <w:r>
        <w:rPr>
          <w:rFonts w:ascii="Arial" w:cs="Arial" w:eastAsia="Arial" w:hAnsi="Arial"/>
          <w:sz w:val="18"/>
          <w:szCs w:val="18"/>
          <w:color w:val="auto"/>
        </w:rPr>
        <w:t>We have incurred charges due to the restructuring of various parts of our business, including 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related to the sale of the Life Sciences business in the fourth quarter of 2021 and the restructuring plan announced in the fourth quarter of 2020 to reduce operating costs to address the impact of the COVID-19 pandemic on our business. These restructuring charges primarily consist of costs associated with office space consolidations, including lease impairment charges and accelerated depreciation on lease-related property and equipment, and employee-related charges. Additionally, we have excluded the effect of a $0.8 million one-time charge incurred during the first quarter of 2020 related to redundant administrative costs in our corporate operations which is recorded within selling, general and administrative expenses on our consolidated statement of operations. We have excluded the effect of the restructuring and other charges from our non-GAAP measures to permit comparability with periods that were not impacted by these items.</w:t>
      </w:r>
    </w:p>
    <w:p>
      <w:pPr>
        <w:spacing w:after="0" w:line="13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Litigation and other losses (gains), net: </w:t>
      </w:r>
      <w:r>
        <w:rPr>
          <w:rFonts w:ascii="Arial" w:cs="Arial" w:eastAsia="Arial" w:hAnsi="Arial"/>
          <w:sz w:val="18"/>
          <w:szCs w:val="18"/>
          <w:color w:val="auto"/>
        </w:rPr>
        <w:t>We have excluded the effects of litigation and other losses (gains), net which primarily relate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remeasurement of our contingent consideration liabilities related to business acquisitions and litigation settlement losses and gains to permit comparability with periods that were not impacted by these items.</w:t>
      </w:r>
    </w:p>
    <w:p>
      <w:pPr>
        <w:spacing w:after="0" w:line="12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color w:val="auto"/>
        </w:rPr>
        <w:t xml:space="preserve">Transaction-related expenses: </w:t>
      </w:r>
      <w:r>
        <w:rPr>
          <w:rFonts w:ascii="Arial" w:cs="Arial" w:eastAsia="Arial" w:hAnsi="Arial"/>
          <w:sz w:val="18"/>
          <w:szCs w:val="18"/>
          <w:color w:val="auto"/>
        </w:rPr>
        <w:t>To permit comparability with prior periods, we excluded the impact of third-party legal and accounting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2021 and 2020 related to business acquisitions. We also excluded the impact of third-party legal and accounting fees incurred in 2019 related to the evaluation of a potential acquisition that ultimately did not consummate.</w:t>
      </w:r>
    </w:p>
    <w:p>
      <w:pPr>
        <w:spacing w:after="0" w:line="12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i w:val="1"/>
          <w:iCs w:val="1"/>
          <w:color w:val="auto"/>
        </w:rPr>
        <w:t xml:space="preserve">Goodwill impairment charges: </w:t>
      </w:r>
      <w:r>
        <w:rPr>
          <w:rFonts w:ascii="Arial" w:cs="Arial" w:eastAsia="Arial" w:hAnsi="Arial"/>
          <w:sz w:val="18"/>
          <w:szCs w:val="18"/>
          <w:color w:val="auto"/>
        </w:rPr>
        <w:t>We have excluded the effect of the goodwill impairment charges recognized in the first quarter of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these are infrequent events and their exclusion permits comparability with periods that were not impacted by such charges.</w:t>
      </w:r>
    </w:p>
    <w:p>
      <w:pPr>
        <w:spacing w:after="0" w:line="108"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incurred non-cash interest expense relating to the implied value of the equity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of our Convertible Notes, which matured in October 2019. The value of the equity conversion component was treated as a debt discount and amortized to interest expense over the life of the Convertible Notes using the effective interest rate method. We excluded this non-cash interest expense that does not represent cash interest payments from the calculation of adjusted net income from continuing operations as management believes that this non-cash expense is not indicative of the ongoing performance of our business.</w:t>
      </w:r>
    </w:p>
    <w:p>
      <w:pPr>
        <w:spacing w:after="0" w:line="12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Unrealized gain on preferred stock investment: </w:t>
      </w:r>
      <w:r>
        <w:rPr>
          <w:rFonts w:ascii="Arial" w:cs="Arial" w:eastAsia="Arial" w:hAnsi="Arial"/>
          <w:sz w:val="18"/>
          <w:szCs w:val="18"/>
          <w:color w:val="auto"/>
        </w:rPr>
        <w:t>We have excluded the effect of an unrealized gain recognized in other income (expense), net</w:t>
      </w:r>
      <w:r>
        <w:rPr>
          <w:rFonts w:ascii="Arial" w:cs="Arial" w:eastAsia="Arial" w:hAnsi="Arial"/>
          <w:sz w:val="18"/>
          <w:szCs w:val="18"/>
          <w:i w:val="1"/>
          <w:iCs w:val="1"/>
          <w:color w:val="auto"/>
        </w:rPr>
        <w:t xml:space="preserve"> </w:t>
      </w:r>
      <w:r>
        <w:rPr>
          <w:rFonts w:ascii="Arial" w:cs="Arial" w:eastAsia="Arial" w:hAnsi="Arial"/>
          <w:sz w:val="18"/>
          <w:szCs w:val="18"/>
          <w:color w:val="auto"/>
        </w:rPr>
        <w:t>in 2020 related to the fair value of our preferred stock investment in Medically Home Group, Inc. (“Medically Home”), as management believes that this gain is not indicative of the ongoing performance of our business and its exclusion permits comparability with prior periods.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Losses (gains) on sales of businesses: </w:t>
      </w:r>
      <w:r>
        <w:rPr>
          <w:rFonts w:ascii="Arial" w:cs="Arial" w:eastAsia="Arial" w:hAnsi="Arial"/>
          <w:sz w:val="18"/>
          <w:szCs w:val="18"/>
          <w:color w:val="auto"/>
        </w:rPr>
        <w:t>We have excluded the effect of non-operating losses and gains recognized as a result of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as they are infrequent, management believes that these items are not indicative of the ongoing performance of our business, and their exclusion permits comparability with periods that were not impacted by such items. The 2021 gain relates to the sale of our Life Sciences business within the Business Advisory segment in the fourth quarter of 2021, and the 2020 loss primarily relates to the sale of our U.K. life sciences drug safety practice within the Business Advisory segment in the fourth quarter of 2020.</w:t>
      </w:r>
    </w:p>
    <w:p>
      <w:pPr>
        <w:spacing w:after="0" w:line="129"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have excluded the effect of foreign currency transaction losses and gains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calculation of adjusted EBITDA because the amount of each loss or gain is significantly affected by timing and changes in foreign exchange rates.</w:t>
      </w:r>
    </w:p>
    <w:p>
      <w:pPr>
        <w:spacing w:after="0" w:line="122" w:lineRule="exact"/>
        <w:rPr>
          <w:sz w:val="20"/>
          <w:szCs w:val="20"/>
          <w:color w:val="auto"/>
        </w:rPr>
      </w:pPr>
    </w:p>
    <w:p>
      <w:pPr>
        <w:ind w:right="1000"/>
        <w:spacing w:after="0" w:line="282" w:lineRule="auto"/>
        <w:rPr>
          <w:sz w:val="20"/>
          <w:szCs w:val="20"/>
          <w:color w:val="auto"/>
        </w:rPr>
      </w:pPr>
      <w:r>
        <w:rPr>
          <w:rFonts w:ascii="Arial" w:cs="Arial" w:eastAsia="Arial" w:hAnsi="Arial"/>
          <w:sz w:val="18"/>
          <w:szCs w:val="18"/>
          <w:i w:val="1"/>
          <w:iCs w:val="1"/>
          <w:color w:val="auto"/>
        </w:rPr>
        <w:t xml:space="preserve">Tax effect of adjustments: </w:t>
      </w:r>
      <w:r>
        <w:rPr>
          <w:rFonts w:ascii="Arial" w:cs="Arial" w:eastAsia="Arial" w:hAnsi="Arial"/>
          <w:sz w:val="18"/>
          <w:szCs w:val="18"/>
          <w:color w:val="auto"/>
        </w:rPr>
        <w:t>The non-GAAP income tax adjustment reflects the incremental tax impact applicable to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w:t>
      </w:r>
    </w:p>
    <w:p>
      <w:pPr>
        <w:spacing w:after="0" w:line="10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Tax benefit related to "check-the-box" election: </w:t>
      </w:r>
      <w:r>
        <w:rPr>
          <w:rFonts w:ascii="Arial" w:cs="Arial" w:eastAsia="Arial" w:hAnsi="Arial"/>
          <w:sz w:val="18"/>
          <w:szCs w:val="18"/>
          <w:color w:val="auto"/>
        </w:rPr>
        <w:t>We have excluded the positive impact of a tax benefit, recorded in the third quarter of 2019,</w:t>
      </w:r>
      <w:r>
        <w:rPr>
          <w:rFonts w:ascii="Arial" w:cs="Arial" w:eastAsia="Arial" w:hAnsi="Arial"/>
          <w:sz w:val="18"/>
          <w:szCs w:val="18"/>
          <w:i w:val="1"/>
          <w:iCs w:val="1"/>
          <w:color w:val="auto"/>
        </w:rPr>
        <w:t xml:space="preserve"> </w:t>
      </w:r>
      <w:r>
        <w:rPr>
          <w:rFonts w:ascii="Arial" w:cs="Arial" w:eastAsia="Arial" w:hAnsi="Arial"/>
          <w:sz w:val="18"/>
          <w:szCs w:val="18"/>
          <w:color w:val="auto"/>
        </w:rPr>
        <w:t>from recognizing a previously unrecognized tax benefit due to the expiration of statute of limitations on our “check-the-box” election made in 2015 to treat certain wholly-owned foreign subsidiaries as disregarded entities for U.S. federal income tax purposes. The exclusion of this discrete tax benefit permits comparability with periods that were not impacted by this item.</w:t>
      </w:r>
    </w:p>
    <w:p>
      <w:pPr>
        <w:spacing w:after="0" w:line="12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interest expense, net of interest income, and depreciation and amortization in the calculation of EBITDA as these are customary exclusions as defined by the calculation of EBITDA to arrive at meaningful earnings from core operations excluding the effect of such items. Included within the depreciation and amortization adjustment is the amortization of capitalized implementation costs of our ERP and other related software, which is included within selling, general and administrative expenses on our consolidated statement of operations.</w:t>
      </w:r>
    </w:p>
    <w:p>
      <w:pPr>
        <w:spacing w:after="0" w:line="1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year ended December 31, 2020, GAAP diluted 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shares outstanding equals the basic weighted average shares outstanding for that period. For the year ended December 31, 2020, the non-GAAP adjustments described above resulted in adjusted net income from continuing operations. Therefore, we included the dilutive common stock equivalents in the calculation of adjusted diluted weighted average shares outstanding for that period.</w:t>
      </w:r>
    </w:p>
    <w:p>
      <w:pPr>
        <w:spacing w:after="0" w:line="122" w:lineRule="exact"/>
        <w:rPr>
          <w:sz w:val="20"/>
          <w:szCs w:val="20"/>
          <w:color w:val="auto"/>
        </w:rPr>
      </w:pPr>
    </w:p>
    <w:p>
      <w:pPr>
        <w:ind w:right="4700"/>
        <w:spacing w:after="0" w:line="451" w:lineRule="auto"/>
        <w:rPr>
          <w:sz w:val="20"/>
          <w:szCs w:val="20"/>
          <w:color w:val="auto"/>
        </w:rPr>
      </w:pPr>
      <w:r>
        <w:rPr>
          <w:rFonts w:ascii="Arial" w:cs="Arial" w:eastAsia="Arial" w:hAnsi="Arial"/>
          <w:sz w:val="18"/>
          <w:szCs w:val="18"/>
          <w:b w:val="1"/>
          <w:bCs w:val="1"/>
          <w:color w:val="auto"/>
        </w:rPr>
        <w:t>Year Ended December 31, 2021 Compared to Year Ended December 31, 2020 Revenues</w:t>
      </w:r>
    </w:p>
    <w:p>
      <w:pPr>
        <w:ind w:right="100"/>
        <w:spacing w:after="0" w:line="256" w:lineRule="auto"/>
        <w:rPr>
          <w:sz w:val="20"/>
          <w:szCs w:val="20"/>
          <w:color w:val="auto"/>
        </w:rPr>
      </w:pPr>
      <w:r>
        <w:rPr>
          <w:rFonts w:ascii="Arial" w:cs="Arial" w:eastAsia="Arial" w:hAnsi="Arial"/>
          <w:sz w:val="18"/>
          <w:szCs w:val="18"/>
          <w:color w:val="auto"/>
        </w:rPr>
        <w:t>Revenues increased $61.5 million, or 7.3%, to $905.6 million for the year ended December 31, 2021, from $844.1 million for the year ended December 31, 2020. The increase in revenues reflected strengthened demand for services in all of our segments and the incremental revenues from our acquisitions, as discussed below in Segment Results.</w:t>
      </w:r>
    </w:p>
    <w:p>
      <w:pPr>
        <w:spacing w:after="0" w:line="14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Of the overall $ 61.5 million increase in revenues, $ 41.2 million was attributable to our billable consultants, $19.1 million was attributable to our Healthcare Managed Services employees and $1.2 million was attributable to our full-time equivalents.</w:t>
      </w:r>
    </w:p>
    <w:p>
      <w:pPr>
        <w:spacing w:after="0" w:line="14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increase in billable consultant revenues was attributable to an increase in demand for services in all of our segments, as discussed below in Segment Results. The overall increase in billable consultant revenues reflected overall increases in the average number of billable consultants, average billing rate, and consultant utilization rate in 2021 compared to 2020.</w:t>
      </w:r>
    </w:p>
    <w:p>
      <w:pPr>
        <w:spacing w:after="0" w:line="14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increase in Healthcare Managed Services revenues was primarily attributable to an increase in demand for these services, which led to an increase in the average number of Healthcare Managed Services employees in 2021 compared to the prior year. At the beginning of the second quarter of 2021, we hired approximately 300 employees to expand our capacity to manage and provide revenue cycle billing, collections, insurance verification and change integrity services to our healthcare clients. These employees are serving clients in our Healthcare Managed Services capability, including serving under a short-term contract with an existing client which we entered into in connection with this group hire.</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increase in full-time equivalent revenues was attributable to an increase in full-time equivalent revenues in our Education and Business Advisory segments, partially offset by a decrease in full-time equivalent revenues in our Healthcare segment, as discussed below in Segment Results; and reflected an overall increase in revenue per full-time equivalent, partially offset by an overall decrease in the average number of full-time equivalents in 2021 compared to 2020.</w:t>
      </w:r>
    </w:p>
    <w:p>
      <w:pPr>
        <w:spacing w:after="0" w:line="15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most of 2020 and the first quarter of 2021, the COVID-19 pandemic negatively impacted sales and elongated the sales cycle for new opportunities for certain services, particularly within our Healthcare and Education segments as some clients reprioritized or delayed certain projects. Subsequent to the first quarter of 2021, we saw an increase in our sales pipeline and the pace of signings in our Healthcare and Education businesses. While overall demand for our services in the first quarter of 2021 was negatively impacted by the COVID-19 pandemic, the overall demand for our services strengthened in 2021 compared to 2020 and we expect continued revenue growth in 2022 compared to 2021.</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COVID-19 pandemic has caused the need for many companies to accelerate their digital transformation to drive operational efficiencies, better engage with their customers, and make better data-driven decisions. This has resulted in strong demand for our digital, technology and analytic offerings, particularly within our Business Advisory segment. Indicative of our expectations for future growth in this capability, we continue to make investments in these offerings, both organically and through strategic acquisitions, such as our acquisitions of ForceIQ in 2020 and Unico Solutions and Perception Health in 2021, and through the addition of new offerings and solutions where we see strategic opportunities in the digital capability.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Direct costs, excluding amortization of intangible assets and software development costs, increased $44.3 million, or 7.5%, to $636.8 million for the year ended December 31, 2021 from $ 592.4 million for the year ended December 31, 2020. The overall $44.3 million increase in direct costs primarily related to a $32.5 million increase in salaries and related expenses for our revenue-generating professionals, which was largely driven by an overall increase in headcount; an $8.0 million increase in performance bonus expense for our revenue-generating professionals; and a $3.4 million increase in signing, retention and other bonus expense for our revenue-generating professionals. As a percentage of revenues, our direct costs slightly increased to 70.3% during 2021 compared to 70.2% during 2020.</w:t>
      </w:r>
    </w:p>
    <w:p>
      <w:pPr>
        <w:spacing w:after="0" w:line="15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Total direct costs for the year ended December 31, 2021 included $3.8 million of amortization expense for internal software development costs and intangible assets, compared to $5.4 million of amortization expense in same the prior year period. Intangible asset amortization included within total direct costs related to technology and software, certain customer relationships, and customer contracts acquired in connection with our business acquisitions. See Note 4 “Goodwill and Intangible Assets” within the notes to our consolidated financial statements for additional information on our intangible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Selling, general and administrative expenses increased $ 7.2 million, or 4.2%, to $177.9 million for the year ended December 31, 2021, compared to $170.7 million for the year ended December 31, 2020. The $7.2 million increase primarily related to a $3.0 million increase in performance bonus expense for our support personnel, a $2.4 million increase in legal expense, a $2.1 million increase in software and data hosting expense, a $1.9 million increase in salaries and related expenses for our support personnel, a $1.7 million increase in third-party professional advisory expense, and a $1.6 million increase in signing, retention and other bonus expense for our support personnel. The increase in legal expense and third-party professional advisory expense was primarily attributable to transaction-related expenses incurred with the acquisitions completed in 2021. These increases in selling, general and administrative expenses were partially offset by a $3.2 million decrease in practice administration and meetings expense and a $1.4 million decrease in office supplies expense. As a percentage of revenues, selling, general and administrative expenses decreased to 19.6% during 2021 compared to 20.2% during 2020, primarily due to revenue growth that outpaced the increase in salaries and related expenses for our support personnel and the decrease in practice administration and meetings expense.</w:t>
      </w:r>
    </w:p>
    <w:p>
      <w:pPr>
        <w:spacing w:after="0" w:line="15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Restructuring charges for the year ended December 31, 2021 totaled $12.4 million, compared to $ 20.5 million for the year ended December 31, 2020. On November 1, 2021, we completed the sale of our Life Sciences business, a reporting unit within the Business Advisory segment, to a third-party. In connection with the sale, we incurred $8.5 million of restructuring charges, consisting of $6.8 million of transaction-related employee payments, $0.9 million of third-party legal and professional advisory fees, and $0.8 million of accelerated amortization and depreciation on the operating lease right-of-use asset ("ROU") and fixed assets related to our London, U.K. office space, which we vacated as a result of the Life Sciences divestiture. In the ten months ended October 31, 2021, the Life Sciences business generated $16.7 million of revenue and is not significant to our consolidated financial statements. Additionally, in 2021, we incurred $2.3 million of rent and related expenses, net of sublease income, and accelerated depreciation on furniture and fixtures for other previously vacated office spaces, $1.3 million of other employee-related expenses in our Business Advisory segment, and $ 0.2 million of third-party professional advisory fees related to the reorganization of our internal operating and financial reporting structure. See Note 19 "Segment Information" within the notes to our consolidated financial statements for more information on our segment reorganization that is effective in the first quarter of 2022.</w:t>
      </w:r>
    </w:p>
    <w:p>
      <w:pPr>
        <w:spacing w:after="0" w:line="15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the fourth quarter of 2020, we announced a restructuring plan to reduce operating costs to address the impact of the COVID-19 pandemic on our business. The restructuring plan provided for a reduction in certain leased office spaces which included a portion of our principal executive office in Chicago, Illinois, and additional domestic locations. As a result, we recognized $13.2 million of non-cash lease impairment charges on the related operating lease ROU assets and fixed assets which we intend to sublease, and $0.7 million of accelerated amortization and depreciation on the related operating lease ROU assets and fixed assets we abandoned. The fourth quarter 2020 restructuring plan also included a reduction in workforce, which resulted in a $4.8 million restructuring charge for employee severance costs; of which $2.0 million related to our Education segment, $1.2 million related to our Healthcare segment, $1.0 million related to our Business Advisory segment, and $0.6 million related to our corporate operations. Additional restructuring charges recognized in 2020 include a $1.2 million accrual for the termination of a third-party advisor agreement in our Business Advisory segment and $0.4 million related to workforce reductions completed prior to the fourth quarter of 2020 to better align resources with market demand. See Note 11 “Restructuring Charges” within the notes to our consolidated financial statements for additional information on our restructuring events.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Litigation and other losses (gains), net totaled a loss of $0.2 million for the year ended December 31, 2021, which primarily consisted of remeasurement losses to increase the fair value of our contingent consideration liability related to a business combination. Litigation and other gains, net totaled a gain of $0.2 million for the year ended December 31, 2020, which consisted of a litigation settlement gain for the resolution of a claim that was settled in the first quarter of 2020. See Note 13 “Fair Value of Financial Instruments” within the notes to our consolidated financial statements for additional information on the fair value of contingent consideration liabilities.</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Depreciation and amortization expense decreased $2.6 million, or 10.7%, to $21.7 million for the year ended December 31, 2021, from $24.3 million for the year ended December 31, 2020. The decrease was primarily attributable to decreasing amortization expense for customer relationships acquired in business acquisitions due to the accelerated basis of amortization in prior periods, including the customer relationships acquired in our Studer Group acquisition; and customer relationships acquired in other business acquisitions that were fully amortized in prior periods; as well as a decrease in depreciation expense for leasehold improvements and furniture and fixtures related to vacated office spaces. Intangible asset amortization expense included within operating expenses primarily related to certain customer relationships, trade names, and non-competition agreements acquired in connection with our business acquisitions. See Note 4 “Goodwill and Intangible Assets” within the notes to our consolidated financial statements for additional information on our intangible assets.</w:t>
      </w:r>
    </w:p>
    <w:p>
      <w:pPr>
        <w:spacing w:after="0" w:line="15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the first quarter of 2020, we recorded $59.8 million of non-cash pretax goodwill impairment charges related to our Strategy and Innovation and Life Sciences reporting units within our Business Advisory segment; primarily related to the expected decline in sales, increased uncertainty in the backlog and a decrease in the demand for the services these reporting units provide, as a result of the COVID-19 pandemic. These charges were non-cash in nature and did not affect our liquidity or debt covenants. See Note 4 “Goodwill and Intangible Assets” within the notes to our consolidated financial statements for additional information on the charges.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9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Operating income increased $ 81.7 million, to income of $52.8 million for the year ended December 31, 2021, from a loss of $28.9 million for the year ended December 31, 2020. This increase is primarily attributable to the $59.8 million non-cash pretax goodwill impairment charges recognized in the first quarter of 2020 that related to our Business Advisory segment. The increase in operating income is also attributable to the increase in revenues and the decrease in restructuring charges for 2021 compared to 2020, partially offset by the increases in salaries and related expenses for our revenue-generating professionals, performance bonus expense for our revenue-generating professionals, and selling, general and administrative expenses in 2021 compared to 2020. Operating margin, which is defined as operating income (loss) expressed as a percentage of revenues, increased to 5.8% in 2021 compared to (3.4)% in 2020. The increase in operating margin was primarily attributable to the goodwill impairment charges recognized in 2020, the decrease in restructuring charges and the increase in revenues in 2021 compared to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Income (Expense), Net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Interest expense, net of interest income decreased $1.1 million to $8.2 million for the year ended December 31, 2021 from $9.3 million for the year ended December 31, 2020, primarily attributable to lower levels of borrowing under our credit facility during 2021 compared to 2020. See Note 7 “Financing Arrangements” within the notes to our consolidated financial statements for additional information about our senior secured credit facility.</w:t>
      </w:r>
    </w:p>
    <w:p>
      <w:pPr>
        <w:spacing w:after="0" w:line="15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Other income, net totaled $35.3 million for the year ended December 31, 2021 and primarily consisted of a $31.5 million pre-tax gain recognized on the sale of our Life Sciences business in the fourth quarter of 2021 and a $4.2 million net unrealized gain in the market value of our investments that are used to fund our deferred compensation liability. Other income, net totaled $4.3 million for the year ended December 31, 2020 and primarily consisted of a $4.1 million net unrealized gain in the market value of our investments that are used to fund our deferred compensation liability; a $1.7 million unrealized gain in the fair value of our preferred stock investment in Medically Home Group, Inc.; and a $1.5 million loss on the sale of our U.K. life sciences drug safety practice in the fourth quarter of 2020. See Note 13 “Fair Value of Financial Instruments” within the notes to our consolidated financial statements for additional information on our preferred stock investment in Medically Home Group, Inc, and Note 3 "Acquisitions and Divestitures" within the notes to our consolidated financial statements for additional information on the divestitures completed in 2021 and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9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For the year ended December 31, 2021, our effective tax rate was 21.3% as we recognized income tax expense from continuing operations of $17.0 million on income from continuing operations of $80.0 million. The effective tax rate for 2021 was more favorable than the statutory rate, inclusive of state income taxes, of 26.3% primarily due to the tax benefits related to the CARES Act described below. The effective tax rate also reflected the positive impact of certain federal tax credits and a discrete tax benefit recognized during the second quarter of 2021 related to electing the Global Intangible Low-Taxed Income (“GILTI”) high-tax exclusion retroactively for the 2018 tax year. On July 20, 2020, the U.S. Treasury issued and enacted final regulations related to GILTI that allow certain U.S. taxpayers to elect to exclude foreign income that is subject to a high effective tax rate from their GILTI inclusions. The GILTI high-tax exclusion is an annual election and is retroactively available. These favorable items were partially offset by certain nondeductible business expenses and increases in our valuation allowance primarily due to increases in deferred tax assets recorded for foreign tax credits.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year ended December 31, 2020, our effective tax rate was 30.0% as we recognized an income tax benefit from continuing operations of $10.2 million on a loss from continuing operations of $33.9 million. The effective tax rate for 2020 was more favorable than the statutory rate, inclusive of state income taxes, of 26.5%, primarily due to the tax benefit related to the CARES Act described below, a discrete tax benefit for share-based compensation awards that vested primarily in the first quarter of 2020, the positive impact of certain federal tax credits and a tax benefit related to non-taxable gains on our investments used to fund our deferred compensation liability. These favorable items were partially offset by increases in our valuation allowance primarily due to increases in deferred tax assets recorded for foreign tax credits, certain nondeductible business expenses and the nondeductible portion of the goodwill impairment charges recorded during the first quarter of 2020.</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CARES Act, which was signed into law on March 27, 2020, is an approximately $2 trillion emergency economic stimulus package in response to the COVID-19 outbreak, which among other items, includes income tax provisions relating to the net operating loss carryback period, options to defer payroll tax payments for a limited period and technical corrections to tax depreciation methods for qualified improvement property. As a result of the CARES Act, we recognized a $1.5 million tax benefit in 2020 related to the remeasurement of a portion of our income tax receivable for the federal net operating losses incurred in 2018 and 2020 that were carried back to prior year income, both for a refund at the higher, prior year tax rate. As a result of electing the retroactive GILTI high-tax exlusion in the second quarter of 2021, we recognized a $1.0 million tax benefit of which $0.4 million related to carrying back our increased 2018 federal net operating loss to prior year income for a refund at the higher, prior year tax rate. During the third quarter of 2021, we recognized an additional tax benefit of $2.0 million, primarily related to the U.S. federal return to provision adjustments for carrying back our increased 2020 federal net operating loss to prior year income for a refund at the higher, prior year tax rate.</w:t>
      </w:r>
    </w:p>
    <w:p>
      <w:pPr>
        <w:spacing w:after="0" w:line="15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See Note 17 “Income Taxes” within the notes to our consolidated financial statements for additional information on our income tax expense (benefit).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from Continuing Operations and Earnings (Loss) per Share</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income from continuing operations increased by $86.7 million to net income from continuing operations of $63.0 million for the year ended December 31, 2021, from a net loss from continuing operations of $23.7 million for the year ended December 31, 2020. This increase is primarily attributable to the $59.8 million non-cash pre-tax goodwill impairment charges related to our Business Advisory segment recognized in the first quarter of 2020 and the $ 31.5 million pre-tax gain on sale of our Life Sciences business in the fourth quarter of 2021, partially offset by the tax impact of these items, as well as the increase in revenues partially offset by the increases in direct costs and selling, general and administrative expenses discussed above. As a result of the increase in net income from continuing operations, diluted earnings per share from continuing operations for the year ended December 31, 2021 was $ 2.89 compared to a diluted loss per share from continuing operations of $1.08 for 2020. The gain on sale of our Life Sciences business in the fourth quarter of 2021 had a $1.09 favorable impact on diluted earnings per share from continuing operations in 2021 and the non-cash goodwill impairment charges had a $2.07 unfavorable impact on diluted earnings per share from continuing operations in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EBITDA increased $109.5 million to $114.5 million for the year ended December 31, 2021, from $5.1 million for the year ended</w:t>
      </w:r>
    </w:p>
    <w:p>
      <w:pPr>
        <w:spacing w:after="0" w:line="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December 31, 2020. The increase in EBITDA was primarily attributable to the $59.8 million non-cash goodwill impairment charges related to our Business Advisory segment recognized in the first quarter of 2020; the $31.5 million gain on sale of our Life Sciences business in the fourth quarter of 2021; and the increase in segment operating income, as discussed in Segment Results below.</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Adjusted EBITDA increased $10.7 million to $97.8 million in 2021 from $87.1 million in 2020. The increase in adjusted EBITDA was primarily attributable to the increase in segment operating income, partially offset by an increase in corporate expenses, excluding the impact of restructuring charges on these items.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9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Adjusted net income from continuing operations increased $9.0 million to $56.9 million for the year ended December 31, 2021, compared to $47.9 million for the year ended December 31, 2020. As a result of the increase in adjusted net income from continuing operations, adjusted diluted earnings per share from continuing operations was $2.61 in 2021 compared to $2.15 in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Healthcare segment revenues increased $24.1 million, or 6.8%, to $377.6 million for the year ended December 31, 2021, from $353.4 million for the year ended December 31, 2020. The overall increase was primarily due to strengthened demand for this segment's services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subsequent to the first quarter of 2021 and the favorable comparison against 2020, which was more significantly impacted by the COVID-19 pandemic as some clients reprioritized and delayed certain projects as a result of the uncertainties surrounding the pandemic.</w:t>
      </w:r>
    </w:p>
    <w:p>
      <w:pPr>
        <w:spacing w:after="0" w:line="14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 the year ended December 31, 2021, revenues from fixed-fee arrangements; time-and-expense arrangements; performance-based arrangements; and software support, maintenance and subscription arrangements represented 57.8%, 17.1%, 19.4%, and 5.7% of this segment’s revenues, respectively, compared to 57.3%, 16.5%, 19.6%, and 6.6%, respectively, in 2020. Performance-based fee revenue was $73.4 million in 2021, compared to $69.3 million in 2020. The level of performance-based fees earned may vary based on our clients’ risk sharing preferences and the mix of services we provide.</w:t>
      </w:r>
    </w:p>
    <w:p>
      <w:pPr>
        <w:spacing w:after="0" w:line="151"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Of the overall $24.1 million increase in revenues, $19.1 million was attributable to an increase in revenues from our Healthcare Managed Services employees and $15.6 million was attributable to an increase in revenues from our billable consultants, partially offset by a $10.5 million decrease in revenues from our full-time equivalents.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increase in revenues attributable to our Healthcare Managed Services employees was primarily attributable to an increase in demand for these services, which led to an increase in the average number of managed services employees in 2021 compared to the prior year. At the beginning of the second quarter of 2021, we hired approximately 300 employees to expand our capacity to manage and provide revenue cycle billing, collections, insurance verification and change integrity services to our healthcare clients. These employees are serving clients in our Healthcare Managed Services capability, including serving under a short-term contract with an existing client which we entered into in connection with this group hire.</w:t>
      </w:r>
    </w:p>
    <w:p>
      <w:pPr>
        <w:spacing w:after="0" w:line="15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increase in revenues attributable to our billable consultants reflected increases in the average billing rate and the consultant utilization rate, partially offset by a decrease in the average number of billable consultants during 2021 compared to the prior year.</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decrease in full-time equivalent revenues was primarily driven by a decrease in demand for certain services and a decreased use of contractors and project consultants; and reflected a decrease in the average number of full-time equivalents, partially offset by an increase in revenue per full-time equivalent during 2021 compared to the same prior year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Healthcare segment operating income increased $9.1 million, or 9.6%, to $104.0 million for the year ended December 31, 2021, from $94.9 million for the year ended December 31, 2020. The Healthcare segment operating margin, defined as segment operating income expressed as a percentage of segment revenues, increased to 27.5% in 2021 from 26.9% in 2020. The increase in this segment’s operating margin was primarily attributable to decreases in salaries and related expenses for our support personnel, contractor expense, practice administration and meetings expense, and restructuring charges. These increases to the segment operating margin were partially offset by an increase in performance bonus expense for our revenue-generating professionals, as a percentage of revenues.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Business Advisory segment revenues increased $24.3 million, or 9.1%, to $291.7 million for the year ended December 31, 2021, from $267.4 million for the year ended December 31, 2020, primarily related to strengthened demand for our cloud-based technology and analytics solutions and our strategy and innovation solutions. Revenues in 2021 included $14.3 million of incremental revenues from our acquisitions of ForceIQ and Unico Solutions, which were completed in November 2020 and February 2021, respectively.</w:t>
      </w:r>
    </w:p>
    <w:p>
      <w:pPr>
        <w:spacing w:after="0" w:line="15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For the year ended December 31, 2021, revenues from fixed-fee arrangements; time-and-expense arrangements; performance-based arrangements; and software support, maintenance and subscription arrangements represented 41.7%, 49.0%, 6.3%, and 3.0% of this segment's revenues, respectively, compared to 38.0%, 57.1%, 3.0%, and 1.9%, respectively, in 2020. Performance-based fee revenue for the year ended December 31, 2021 was $18.3 million compared to $8.1 million in 2020. The level of performance-based fees earned may vary based on our clients’ preferences and the mix of services we provide.</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Of the overall $24.3 million increase in revenues, $19.9 million was attributable to an increase in revenues generated by our billable consultants and $4.4 million was attributable to an increase in revenues generated by our full-time equivalents. The increase in revenues from our full-time billable consultants reflected increases in the average number of billable consultants and the average billing rate, partially offset by a decrease in the consultant utilization rate in 2021 compared to 2020. The increase in revenues from our full-time equivalents was driven by an increased use of contractors and reflected an increase in the average number of full-time equivalents, partially offset by a decrease in revenue per full-time equivalent in 2021 compared to 2020.</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On November 1, 2021, we completed the divestiture of the Life Sciences business to a third-party. The Life Sciences business, a reporting unit within the Business Advisory segment, provides commercial and research and development strategy, pricing and market access strategy solutions to customers in the life sciences industries. For the ten months ended October 31, 2021, Life Sciences revenues were</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$16.7 million. The Life Sciences business is not significant to our consolidated financial statements and does not qualify as a discontinued operation for reporting under GAAP.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Business Advisory segment operating income increased to $48.2 million for the year ended December 31, 2021, compared to $48.0 million for the year ended December 31, 2020. The Business Advisory segment operating margin decreased to 16.5% for 2021 from 18.0% for 2020. The decrease in this segment’s operating margin was primarily attributable to increases in restructuring charges, salaries and related expenses for our revenue-generating professionals and contractor expense, as percentages of revenues; partially offset by a decrease in performance bonus expense for our revenue-generating professionals.</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first quarter 2020 non-cash goodwill impairment charges related to the Strategy and Innovation and Life Sciences reporting units within the Business Advisory segment, which are discussed above within consolidated results, are not allocated at the segment level because the underlying goodwill asset is reflective of our corporate investment in the segment. We do not include the impact of goodwill impairment charges in our evaluation of segment performance. See the “Critical Accounting Policies and Estimates” section below and Note 4 “Goodwill and Intangible Assets” within the notes to our consolidated financial statements for additional information on the goodwill impairment charges and our goodwill balances.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Education segment revenues increased $13.1 million, or 5.9%, to $236.4 million for the year ended December 31, 2021, from $223.3 million for the year ended December 31, 2020. This segment's revenues were significantly impacted by the COVID-19 pandemic beginning in the third quarter of 2020 through the first half of 2021 as some clients reprioritized and delayed certain projects as a result of the uncertainties surrounding the pandemic. In the second half of 2021, demand for this segment's services strengthened, driving an overall increase in total revenues for full year 2021 compared to full year 2020. Revenues in 2021 included $0.6 million of incremental revenues from our acquisition of Whiteboard, which was completed in December 2021.</w:t>
      </w:r>
    </w:p>
    <w:p>
      <w:pPr>
        <w:spacing w:after="0" w:line="15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For the year ended December 31, 2021, revenues from fixed-fee arrangements; time-and-expense arrangements; and software support, maintenance and subscription arrangements represented 25.4%, 62.3%, and 12.3% of this segment’s revenues, respectively. Revenues from fixed-fee arrangements; time-and-expense arrangements; performance-based arrangements; and software support, maintenance and subscription arrangements represented 20.1%, 69.6%, 0.3%, and 10.0% of this segment's revenues, respectively, in 2020.</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Of the overall $13.1 million increase in revenues, $7.3 million was attributable to our full-time equivalents and $5.8 million was attributable to our billable consultants. The increase in revenues from our full-time equivalents was primarily driven by an increase in software subscriptions, software support and maintenance, and data hosting revenues, partially offset by a decreased use of contractors and project consultants. The overall increase in full-time equivalent revenues reflected an increase in revenue per full-time equivalent in 2021 compared to the same prior year period. The increase in revenues from our billable consultants reflected increases in the consultant utilization rate, average billing rate, and the average number of billable consultants in 2021 compared to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Education segment operating income increased $5.3 million, or 11.1%, to $52.8 million for the year ended December 31, 2021, from $47.5 million for the year ended December 31, 2020. The Education segment operating margin increased to 22.3% for 2021 from 21.3% for 2020. The increase in this segment's operating margin was primarily attributable to revenue growth that outpaced the increase in salaries and related expenses for our revenue-generating professionals, as well as a decrease in restructuring charges. These increases to the operating margin were partially offset by increases in performance bonus expense and signing, retention and other bonus expense for our revenue-generating professionals, as percentages of revenues.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Cash and cash equivalents were $20.8 million, $67.2 million, and $11.6 million at December 31, 2021, 2020, and 2019, respectively. As of December 31, 2021, our primary sources of liquidity are cash on hand, cash flows from our U.S. operations, and borrowing capacity available under our credit facility.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(in thousands):</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3"/>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132,220</w:t>
            </w:r>
          </w:p>
        </w:tc>
      </w:tr>
      <w:tr>
        <w:trPr>
          <w:trHeight w:val="229"/>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(42,034)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(35,002)</w:t>
            </w:r>
          </w:p>
        </w:tc>
      </w:tr>
      <w:tr>
        <w:trPr>
          <w:trHeight w:val="229"/>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(118,836)</w:t>
            </w:r>
          </w:p>
        </w:tc>
      </w:tr>
      <w:tr>
        <w:trPr>
          <w:trHeight w:val="230"/>
        </w:trPr>
        <w:tc>
          <w:tcPr>
            <w:tcW w:w="5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48"/>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 See Note 5 "Leases" within the notes to our consolidated financial statements for information on our contractual obligations related to our office space leases.</w:t>
      </w:r>
    </w:p>
    <w:p>
      <w:pPr>
        <w:spacing w:after="0" w:line="15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Net cash provided by operating activities decreased $118.8 million to $18.0 million in 2021 from $136.7 million in 2020. The decrease in net cash provided by operating activities in 2021 compared to 2020 was primarily attributable to a decrease in cash collections in 2021 compared to the prior year, increases in payments for salaries and related expenses for our employees and the $12.2 million payment in the third quarter of 2021 of the employer's portion of social security taxes deferred from 2020, as provided for under the CARES Act. These decreases to net operating cash flows were partially offset by a decrease in the amount paid for annual performance bonuses in the first quarter of 2021 compared to the first quarter of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investing activities primarily consist of purchases of complementary businesses; purchases of property and equipment, primarily related to computers and related equipment for our employees and leasehold improvements and furniture for office spaces; payments related to internally developed cloud-based software sold to our clients; and investments. Our investments include a convertible note investment in Shorelight Holdings, LLC, a preferred stock investment in Medically Home Group, Inc., and investments in life insurance policies that are used to fund our deferred compensation liability.</w:t>
      </w:r>
    </w:p>
    <w:p>
      <w:pPr>
        <w:spacing w:after="0" w:line="1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use of cash in 2021 primarily consisted of $44.8 million for the purchases of businesses; $ 10.9 million for purchases of property and equipment; $4.9 million for payments related to internally developed software; and $1.2 million for contributions to our life insurance policies. These uses of cash from investing activities were partially offset by $41.3 million of cash received for the sale of the Life Sciences business within the Business Advisory segment in the fourth quarter of 2021.</w:t>
      </w:r>
    </w:p>
    <w:p>
      <w:pPr>
        <w:spacing w:after="0" w:line="15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use of cash in 2020 primarily consisted of $13.0 million for the purchase of an additional convertible debt investment in Shorelight Holdings, LLC in the first quarter of 2020; $8.7 million for the purchases of businesses in the second half of 2020; $8.3 million for payments related to internally developed software; $8.1 million for purchases of property and equipment; $2.5 million for contributions to our life insurance policies; and $1.5 million for payments related to the divestiture of our U.K. life sciences drug safety practice within the Business Advisory segment.</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estimate that cash utilized for purchases of property and equipment and software development in 2022 will total approximately $20 million to $25 million; primarily consisting of software development costs, leasehold improvements and furniture and fixtures for certain office locations, and information technology related equipment to support our corporate infrastructure.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increased by $4.8 million to $44.4 million in 2021 from $39.6 million in 2020.</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During 2021, we borrowed $235.0 million under our senior secured credit facility, primarily to fund our operations, including our annual performance bonus payment in the first quarter of 2021 and for the acquisitions completed in the fourth quarter of 2021. We made repayments on our credit facility of $205.0 million during 2021. Additionally, we repurchased and retired $64.6 million of our common stock under our 2020 Share Repurchase Program, as defined below, and repurchased and retired $0.2 million of our common stock that was accrued as of December 31, 2021. We also reacquired $10.1 million of common stock as a result of tax withholdings upon vesting of share-based compensation.</w:t>
      </w:r>
    </w:p>
    <w:p>
      <w:pPr>
        <w:spacing w:after="0" w:line="15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2020, we borrowed $283.0 million under our senior secured credit facility, all of which was in the first quarter of 2020, including $125.0 million in March 2020 to maintain excess cash and support liquidity during the period of uncertainty created by the COVID-19 pandemic, as well as to fund our annual performance bonus payment. During 2020, we made repayments on our senior secured credit facility of $288.0 million due to our ability to maintain adequate cash flows from operations and improved clarity around access to capital resources during the COVID-19 pandemic, and repayments of $0.6 million on our promissory note due 2024. Additionally, we repurchased and retired $25.9 million of our common stock under our share repurchase programs, discussed below, and settled $ 1.2 million of share repurchases that were accrued as of December 31, 2019. We also reacquired $7.9 million of common stock as a result of tax withholdings upon vesting of share-based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November 2020, our board of directors authorized a share repurchase program (the “2020 Share Repurchase Program”) permitting us to repurchase up to $50 million of our common stock through December 31, 2021. The 2020 Share Repurchase Program was authorized subsequent to the expiration of our prior share repurchase program (the “2015 Share Repurchase Program”) on October 31, 2020. The 2015 Share Repurchase Program permitted us to repurchase up to $ 125 million of our common stock through October 31, 2020. During the third quarter of 2021, our board of directors authorized an extension of the 2020 Share Repurchase Program through December 31, 2022 and increased the authorized amount from $50 million to $100 million.The amount and timing of repurchases under our share repurchase programs is determined by management and depends on a variety of factors, including the trading price of our common stock, capacity under our credit facility, general market and business conditions, and applicable legal requirements. As of December 31, 2021, $30.2 million remains available under the plan for share repurchases.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9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At December 31, 2021, we had $230.0 million outstanding under our senior secured credit facility and $2.8 million outstanding under a promissory note, as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8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Borrowings under the Amended Credit Agreement may be used for working capital, capital expenditures, acquisitions of businesses, share repurchases, and general corporate purposes.</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 Fees and interest on borrowings is paid on a monthly basis.</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 addition, we have the right to permanently reduce or terminate the unused portion of the commitments provided under the Amended Credit Agreement at any time.</w:t>
      </w:r>
    </w:p>
    <w:p>
      <w:pPr>
        <w:spacing w:after="0" w:line="148"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40" w:firstLine="8"/>
        <w:spacing w:after="0" w:line="252" w:lineRule="auto"/>
        <w:tabs>
          <w:tab w:leader="none" w:pos="2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Qualified Acquisitions (as defined in the Amended Credit Agreement),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Consolidated Leverage Ratio, total debt is on a gross basis and is not netted against our cash balances. At</w:t>
      </w:r>
    </w:p>
    <w:p>
      <w:pPr>
        <w:spacing w:after="0" w:line="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December 31, 2021 and December 31, 2020, we were in compliance with these financial covenants. Our Consolidated Leverage Ratio as of December 31, 2021 was 1.73 to 1.00, compared to 1.94 to 1.00 as of December 31, 2020. Our Consolidated Interest Coverage Ratio as of December 31, 2021 was 18.43 to 1.00, compared to 12.51 to 1.00 as of December 31, 2020.</w:t>
      </w:r>
    </w:p>
    <w:p>
      <w:pPr>
        <w:spacing w:after="0" w:line="148" w:lineRule="exact"/>
        <w:rPr>
          <w:sz w:val="20"/>
          <w:szCs w:val="20"/>
          <w:color w:val="auto"/>
        </w:rPr>
      </w:pPr>
    </w:p>
    <w:p>
      <w:pPr>
        <w:jc w:val="both"/>
        <w:ind w:right="180"/>
        <w:spacing w:after="0" w:line="278" w:lineRule="auto"/>
        <w:rPr>
          <w:sz w:val="20"/>
          <w:szCs w:val="20"/>
          <w:color w:val="auto"/>
        </w:rPr>
      </w:pPr>
      <w:r>
        <w:rPr>
          <w:rFonts w:ascii="Arial" w:cs="Arial" w:eastAsia="Arial" w:hAnsi="Arial"/>
          <w:sz w:val="17"/>
          <w:szCs w:val="17"/>
          <w:color w:val="auto"/>
        </w:rPr>
        <w:t>The Amended Credit Agreement contains restricted payment provisions, including a potential limit on the amount of dividends we may pay. Pursuant to the terms of the Amended Credit Agreement, if our Consolidated Leverage Ratio is greater than 3.25, the amount of dividends and other Restricted Payments (as defined in the Amended Credit Agreement) we may pay is limited to an amount up to $25 million.</w:t>
      </w:r>
    </w:p>
    <w:p>
      <w:pPr>
        <w:spacing w:after="0" w:line="1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Principal borrowings outstanding under the Amended Credit Agreement at December 31, 2021 and December 31, 2020 totaled $230.0 million and $200.0 million, respectively. These borrowings carried a weighted average interest rate of 2.7% at December 31, 2021 and 2.5% at December 31, 2020 including the impact of the interest rate swap described in Note 12 “Derivative Instruments and Hedging Activity" within the notes to the consolidated financial statements. The borrowing capacity under the revolving credit facility is reduced by any outstanding borrowings under the revolving credit facility and outstanding letters of credit. At December 31, 2021 and 2020, we had outstanding letters of credit totaling $0.7 million and $1.6 million, respectively, which are primarily used as security deposits for our office facilities, and the unused borrowing capacity under the revolving credit facility was $369.3 million and $398.4 million, respectively.</w:t>
      </w:r>
    </w:p>
    <w:p>
      <w:pPr>
        <w:spacing w:after="0" w:line="15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For further information, see Note 7 “Financing Arrangements” within the notes to the consolidated financial statements. For a discussion of certain risks and uncertainties related to the Amended Credit Agreement, see Part I—Item 1A. “Risk Factors.”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December 31, 2021, the outstanding principal amount of the promissory note was $2.8 million, and the aircraft had a carrying amount of $3.7 million. At December 31, 2020, the outstanding principal amount of the promissory note was $3.3 million, and the aircraft had a carrying amount of $4.4 million. Principal and interest payments for the promissory note are paid on a monthly basis. In the first quarter of 2022, we completed the sale of the aircraft to a third-party and used a portion of the sale proceeds to pay the remaining principal and unpaid interest on the promissory note. As a result of the sale, we no longer own any aircraft.</w:t>
      </w:r>
    </w:p>
    <w:p>
      <w:pPr>
        <w:spacing w:after="0" w:line="157" w:lineRule="exact"/>
        <w:rPr>
          <w:sz w:val="20"/>
          <w:szCs w:val="20"/>
          <w:color w:val="auto"/>
        </w:rPr>
      </w:pPr>
    </w:p>
    <w:p>
      <w:pPr>
        <w:ind w:right="1760"/>
        <w:spacing w:after="0" w:line="438" w:lineRule="auto"/>
        <w:rPr>
          <w:sz w:val="20"/>
          <w:szCs w:val="20"/>
          <w:color w:val="auto"/>
        </w:rPr>
      </w:pPr>
      <w:r>
        <w:rPr>
          <w:rFonts w:ascii="Arial" w:cs="Arial" w:eastAsia="Arial" w:hAnsi="Arial"/>
          <w:sz w:val="18"/>
          <w:szCs w:val="18"/>
          <w:color w:val="auto"/>
        </w:rPr>
        <w:t xml:space="preserve">For further information, see Note 7 “Financing Arrangements” within the notes to the consolidated financial statements. </w:t>
      </w:r>
      <w:r>
        <w:rPr>
          <w:rFonts w:ascii="Arial" w:cs="Arial" w:eastAsia="Arial" w:hAnsi="Arial"/>
          <w:sz w:val="18"/>
          <w:szCs w:val="18"/>
          <w:b w:val="1"/>
          <w:bCs w:val="1"/>
          <w:color w:val="auto"/>
        </w:rPr>
        <w:t>Future Needs</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Throughout 2020 and into 2021, our primary financing need was to support our operations and maintain our liquidity during the COVID-19 pandemic. As such, we took proactive measures to increase available cash on hand, including, but not limited to, borrowing under our senior secured credit facility, reducing discretionary operating and capital expenses, and electing to defer the deposit of our employer portion of social security taxes as provided for under the CARES Act.</w:t>
      </w:r>
    </w:p>
    <w:p>
      <w:pPr>
        <w:spacing w:after="0" w:line="15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Given improved visibility to our project backlog and access to capital resources, our primary financing need has now returned to funding our long-term growth. Our growth strategy is to expand our service offerings, which may require investments in new hires, acquisitions of complementary businesses, possible expansion into other geographic areas, and related capital expenditures.</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our internally generated liquidity, together with our available cash, and the borrowing capacity available under our revolving credit facility will be adequate to support our current financing needs and long-term growth strategy. Our ability to secure additional financing, if needed, in the future will depend on several factors, including our future profitability, the quality of our accounts receivable and unbilled services, our relative levels of debt and equity, and the overall condition of the credit markets.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consolidated financial statements, which have been prepared in accordance with accounting principles generally accepted in the United States of America (“GAAP”). Our significant accounting policies are discussed in Note 2 “Summary of Significant Accounting Policies” within the notes to our consolidated financial statements.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and estimates are those policies and estimates that we believe present the most complex or subjective measurements and have the most potential to impact our financial position and operating results. While all decisions regarding accounting policies and estimates are important, we believe that there are five accounting policies and estimates that could be considered critical: revenue recognition, allowances for doubtful accounts and unbilled services, business combinations, carrying values of goodwill and other intangible assets, and accounting for income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and maintenance and subscriptions to our cloud-based analytic tools and solutions, speaking engagements, conferences, and publications.</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revenue is generated under four types of billing arrangements: fixed-fee (including software license revenue); time-and-expense; performance-based; and software support, maintenance and subscriptions. Determining the method and amount of revenue to recognize requires us to make judgments and estimates. Specifically, multiple performance obligation arrangements require us to allocate the total transaction price to each performance obligation based on its relative standalone selling price, for which we rely on our overall pricing objectives, taking into consideration market conditions and other factors. Provisions are recorded for the estimated realization adjustments on all engagements, including engagements for which fees are subject to review by the bankruptcy courts. We continually evaluate our estimates of the provisions based on available information and experiences. Additionally, when accounting for fixed-fee and performance-based billing arrangements, as well as reimbursable expenses, we must make additional judgments and estimates as further described below.</w:t>
      </w:r>
    </w:p>
    <w:p>
      <w:pPr>
        <w:spacing w:after="0" w:line="15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Estimates of total engagement revenues and cost of services are monitored regularly during the term of the engagement. Any increased or unexpected costs or unanticipated delays in connection with the performance of these engagements could make these contracts less profitable or unprofitable.</w:t>
      </w:r>
    </w:p>
    <w:p>
      <w:pPr>
        <w:spacing w:after="0" w:line="15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 Our estimates are monitored throughout the life of each contract and are based on an assessment of our anticipated performance, historical experience, and other information available at the time. While we believe that the estimates and assumptions we used for revenue recognition for performance-based billing arrangements are reasonable, subsequent changes could materially impact our results of operations.</w:t>
      </w:r>
    </w:p>
    <w:p>
      <w:pPr>
        <w:spacing w:after="0" w:line="15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Expense reimbursements that are billable to clients are included in total revenues and reimbursable expenses. Under fixed-fee billing arrangements, we estimate the total amount of reimbursable expenses to be incurred over the course of the engagement and recognize the estimated amount as revenue using a proportionate performance approach, which is based on work completed to-date versus our estimates of the total services to be provided under the engagement. When billings do not specifically identify reimbursable expenses under any billing arrangement type, we allocate the portion of the billings equivalent to these expenses to reimbursable expenses. Any increased or unexpected costs in the reimbursable expenses could impact our results of operations</w:t>
      </w:r>
    </w:p>
    <w:p>
      <w:pPr>
        <w:spacing w:after="0" w:line="15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See Note 2 “Summary of Significant Accounting Policies” within the notes to the consolidated financial statements for additional information on our revenue recognition accounting policy.</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Upon our adoption of Accounting Standards Update ("ASU") 2021-08, </w:t>
      </w:r>
      <w:r>
        <w:rPr>
          <w:rFonts w:ascii="Arial" w:cs="Arial" w:eastAsia="Arial" w:hAnsi="Arial"/>
          <w:sz w:val="18"/>
          <w:szCs w:val="18"/>
          <w:i w:val="1"/>
          <w:iCs w:val="1"/>
          <w:color w:val="auto"/>
        </w:rPr>
        <w:t>Business Combinations (Topic 805): Accounting for Contract Assets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Contract Liabilities from Contracts with Customers </w:t>
      </w:r>
      <w:r>
        <w:rPr>
          <w:rFonts w:ascii="Arial" w:cs="Arial" w:eastAsia="Arial" w:hAnsi="Arial"/>
          <w:sz w:val="18"/>
          <w:szCs w:val="18"/>
          <w:color w:val="auto"/>
        </w:rPr>
        <w:t>which we retrospectively applied to all acquisitions in 2021, contract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contract liabilities acquired are recorded at their carrying value under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Prior to adoption of ASU 2021-08, contract assets and contract liabilities were recognized at their estimated fair values as of the acquisition date. All other assets acquired and liabilities assumed in a business combination, including identifiable intangible assets, are recorded at their estimated fair values as of the acquisition date. Goodwill is recorded as the excess of the fair value of consideration transferred, including any contingent consideration, over the net value of the assets acquired and liabilities assumed. We base the fair values of identifiable intangible assets on detailed valuations that require management to make significant judgments, estimates, and assumptions, such as the expected future cash flows to be derived from the intangible assets, discount rates that reflect the risk factors associated with future cash flows, and estimates of useful lives.</w:t>
      </w:r>
    </w:p>
    <w:p>
      <w:pPr>
        <w:spacing w:after="0" w:line="149"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We measure and recognize contingent consideration at fair value as of the acquisition date. We estimate the fair value of contingent consideration based on either a probability-weighted assessment of the specific financial performance targets being achieved or a Monte Carlo simulation model, as appropriate. These fair value measurements require the use of significant judgments, estimates, and assumptions, including financial performance projections and discount rates. The fair value of the contingent consideration is reassessed quarterly based on assumptions used in our latest financial projections and input provided by practice leaders and management, with any change in the fair value estimate recorded in earnings in that period. Increases or decreases in the fair value of contingent consideration liabilities resulting from changes in the estimates or assumptions could materially impact the financial statements.</w:t>
      </w:r>
    </w:p>
    <w:p>
      <w:pPr>
        <w:spacing w:after="0" w:line="153" w:lineRule="exact"/>
        <w:rPr>
          <w:sz w:val="20"/>
          <w:szCs w:val="20"/>
          <w:color w:val="auto"/>
        </w:rPr>
      </w:pPr>
    </w:p>
    <w:p>
      <w:pPr>
        <w:jc w:val="both"/>
        <w:ind w:right="720"/>
        <w:spacing w:after="0" w:line="256" w:lineRule="auto"/>
        <w:rPr>
          <w:sz w:val="20"/>
          <w:szCs w:val="20"/>
          <w:color w:val="auto"/>
        </w:rPr>
      </w:pPr>
      <w:r>
        <w:rPr>
          <w:rFonts w:ascii="Arial" w:cs="Arial" w:eastAsia="Arial" w:hAnsi="Arial"/>
          <w:sz w:val="18"/>
          <w:szCs w:val="18"/>
          <w:color w:val="auto"/>
        </w:rPr>
        <w:t>See Note 3 “Acquisitions and Divestitures” within the notes to our consolidated financial statements for additional information on our acquisitions and Note 13 “Fair Value of Financial Instruments” within the notes to our consolidated financial statements for additional information on our contingent consideration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 Assets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test goodwill for impairment, at the reporting unit level, annually and whenever events or circumstances make it more likely than not that an impairment may have occurred.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As of December 31, 2021, we have five reporting units: Healthcare, Education, Business Advisory, Strategy and Innovation, and Enterprise Solutions and Analytics. The Business Advisory, Strategy and Innovation, and Enterprise Solutions and Analytics reporting units, make up our Business Advisory operating segment.</w:t>
      </w:r>
    </w:p>
    <w:p>
      <w:pPr>
        <w:spacing w:after="0" w:line="15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Under GAAP, we have the option to first assess qualitative factors to determine whether the existence of current events or circumstances would lead to a determination that it is more likely than not that the fair value of one of our reporting units is greater than its carrying value. If we determine it is more likely than not that the fair value of a reporting unit is greater than its carrying value, no further testing is necessary. However, if we conclude otherwise, then we are required to perform a quantitative impairment test by calculating the fair value of the reporting unit and comparing the fair value with the carrying value of the reporting unit. If the fair value of the reporting unit is less than its carrying value, a non-cash impairment charge is recorded in an amount equal to that difference with the loss not to exceed the total amount of goodwill allocated to the reporting unit.</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determine the fair value using a combination of the income approach and the market approach. For a company such as ours, the income and market approaches will generally provide the most reliable indications of fair value because the value of such companies is dependent on their ability to generate earnings.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In the income approach, we utilize a discounted cash flow analysis, which involves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Our forecasts are based on historical experience, current backlog, expected market demand, and other industry information.</w:t>
      </w:r>
    </w:p>
    <w:p>
      <w:pPr>
        <w:spacing w:after="0" w:line="15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market approach, we utilize the guideline company method, which involves calculating revenue and EBITDA multiples based on operating data from guideline publicly traded companies. Multiples derived from guideline companies provide an indication of how much a knowledgeable investor in the marketplace would be willing to pay for a company. These multiples are evaluated and adjusted based on specific characteristics of the reporting units relative to the selected guideline companies and applied to the reporting units' operating data to arrive at an indication of value.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goodwill impairment test performed during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Annual Goodwill Impairment Analysis</w:t>
      </w:r>
    </w:p>
    <w:p>
      <w:pPr>
        <w:spacing w:after="0" w:line="18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Pursuant to our policy, we performed our annual goodwill impairment test as of November 30, 2021 for our five reporting units with goodwill balances: Healthcare, Education, Business Advisory, Strategy and Innovation, and Enterprise Solutions and Analytics. We performed a qualitative assessment over all reporting units to determine if it was more likely than not the respective fair values of these reporting units were less than their carrying amounts, including goodwill.</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our qualitative assessment, we considered the most recent quantitative analysis performed for each reporting unit, which was as of November 30, 2020, including the key assumptions used within that analysis, the indicated fair values, and the amount by which those fair values exceeded their carrying amounts. One of the key assumptions used within the prior quantitative analysis was our internal financial projections; therefore, we considered the actual performance of each reporting unit during 2021 compared to the internal financial projections used, as well as specific outlooks for each reporting unit based on our most recent internal financial projections. We also considered the market-based valuation multiples used in the market approach within our prior quantitative analysis, which were derived from guideline companies, and noted that the valuation multiples generally increased over the past year. We also reviewed the current carrying value of each reporting unit in comparison to the carrying values as of the prior quantitative analysis. In addition, we considered various factors, including macroeconomic conditions, relevant industry and market trends for each reporting unit, and other entity-specific events, that could indicate a potential change in the fair value of our reporting units or the composition of their carrying values. Based on our assessments, we determined that it was more likely than not that the fair values for each of our reporting units exceeded their respective carrying amounts. As such, the goodwill for our reporting units was not considered impaired as of November 30, 2021, and a quantitative goodwill impairment analysis was not necessary.</w:t>
      </w:r>
    </w:p>
    <w:p>
      <w:pPr>
        <w:spacing w:after="0" w:line="15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Determining the fair value of any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impairment charge is recognized and also the magnitude of such charge. The results of an impairment analysis are as of a point in time. There is no assurance that the actual future earnings or cash flows of our reporting units will be consistent with our projections. We will continue to monitor any changes to our assumptions and will evaluate goodwill as deemed warranted during future periods. Any significant decline in our operations compared to our internal forecasts could result in additional non-cash goodwill impairment charges, which could be material.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goodwill for each of our reporting units as of December 31, 2021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Reporting Unit</w:t>
            </w:r>
          </w:p>
        </w:tc>
        <w:tc>
          <w:tcPr>
            <w:tcW w:w="16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Carrying Value</w:t>
            </w:r>
          </w:p>
        </w:tc>
        <w:tc>
          <w:tcPr>
            <w:tcW w:w="0" w:type="dxa"/>
            <w:vAlign w:val="bottom"/>
          </w:tcPr>
          <w:p>
            <w:pPr>
              <w:spacing w:after="0"/>
              <w:rPr>
                <w:sz w:val="1"/>
                <w:szCs w:val="1"/>
                <w:color w:val="auto"/>
              </w:rPr>
            </w:pPr>
          </w:p>
        </w:tc>
      </w:tr>
      <w:tr>
        <w:trPr>
          <w:trHeight w:val="230"/>
        </w:trPr>
        <w:tc>
          <w:tcPr>
            <w:tcW w:w="93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of Goodwill</w:t>
            </w:r>
          </w:p>
        </w:tc>
        <w:tc>
          <w:tcPr>
            <w:tcW w:w="0" w:type="dxa"/>
            <w:vAlign w:val="bottom"/>
          </w:tcPr>
          <w:p>
            <w:pPr>
              <w:spacing w:after="0"/>
              <w:rPr>
                <w:sz w:val="1"/>
                <w:szCs w:val="1"/>
                <w:color w:val="auto"/>
              </w:rPr>
            </w:pPr>
          </w:p>
        </w:tc>
      </w:tr>
      <w:tr>
        <w:trPr>
          <w:trHeight w:val="223"/>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434,870</w:t>
            </w:r>
          </w:p>
        </w:tc>
        <w:tc>
          <w:tcPr>
            <w:tcW w:w="0" w:type="dxa"/>
            <w:vAlign w:val="bottom"/>
          </w:tcPr>
          <w:p>
            <w:pPr>
              <w:spacing w:after="0"/>
              <w:rPr>
                <w:sz w:val="1"/>
                <w:szCs w:val="1"/>
                <w:color w:val="auto"/>
              </w:rPr>
            </w:pPr>
          </w:p>
        </w:tc>
      </w:tr>
      <w:tr>
        <w:trPr>
          <w:trHeight w:val="230"/>
        </w:trPr>
        <w:tc>
          <w:tcPr>
            <w:tcW w:w="948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121,570</w:t>
            </w:r>
          </w:p>
        </w:tc>
        <w:tc>
          <w:tcPr>
            <w:tcW w:w="0" w:type="dxa"/>
            <w:vAlign w:val="bottom"/>
          </w:tcPr>
          <w:p>
            <w:pPr>
              <w:spacing w:after="0"/>
              <w:rPr>
                <w:sz w:val="1"/>
                <w:szCs w:val="1"/>
                <w:color w:val="auto"/>
              </w:rPr>
            </w:pPr>
          </w:p>
        </w:tc>
      </w:tr>
      <w:tr>
        <w:trPr>
          <w:trHeight w:val="230"/>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16,094</w:t>
            </w:r>
          </w:p>
        </w:tc>
        <w:tc>
          <w:tcPr>
            <w:tcW w:w="0" w:type="dxa"/>
            <w:vAlign w:val="bottom"/>
          </w:tcPr>
          <w:p>
            <w:pPr>
              <w:spacing w:after="0"/>
              <w:rPr>
                <w:sz w:val="1"/>
                <w:szCs w:val="1"/>
                <w:color w:val="auto"/>
              </w:rPr>
            </w:pPr>
          </w:p>
        </w:tc>
      </w:tr>
      <w:tr>
        <w:trPr>
          <w:trHeight w:val="229"/>
        </w:trPr>
        <w:tc>
          <w:tcPr>
            <w:tcW w:w="9480" w:type="dxa"/>
            <w:vAlign w:val="bottom"/>
            <w:gridSpan w:val="2"/>
          </w:tcPr>
          <w:p>
            <w:pPr>
              <w:ind w:left="20"/>
              <w:spacing w:after="0"/>
              <w:rPr>
                <w:sz w:val="20"/>
                <w:szCs w:val="20"/>
                <w:color w:val="auto"/>
              </w:rPr>
            </w:pPr>
            <w:r>
              <w:rPr>
                <w:rFonts w:ascii="Arial" w:cs="Arial" w:eastAsia="Arial" w:hAnsi="Arial"/>
                <w:sz w:val="18"/>
                <w:szCs w:val="18"/>
                <w:color w:val="auto"/>
              </w:rPr>
              <w:t>Strategy and Innovation</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37,522</w:t>
            </w:r>
          </w:p>
        </w:tc>
        <w:tc>
          <w:tcPr>
            <w:tcW w:w="0" w:type="dxa"/>
            <w:vAlign w:val="bottom"/>
          </w:tcPr>
          <w:p>
            <w:pPr>
              <w:spacing w:after="0"/>
              <w:rPr>
                <w:sz w:val="1"/>
                <w:szCs w:val="1"/>
                <w:color w:val="auto"/>
              </w:rPr>
            </w:pPr>
          </w:p>
        </w:tc>
      </w:tr>
      <w:tr>
        <w:trPr>
          <w:trHeight w:val="229"/>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Enterprise Solutions and Analytics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10,823</w:t>
            </w:r>
          </w:p>
        </w:tc>
        <w:tc>
          <w:tcPr>
            <w:tcW w:w="0" w:type="dxa"/>
            <w:vAlign w:val="bottom"/>
          </w:tcPr>
          <w:p>
            <w:pPr>
              <w:spacing w:after="0"/>
              <w:rPr>
                <w:sz w:val="1"/>
                <w:szCs w:val="1"/>
                <w:color w:val="auto"/>
              </w:rPr>
            </w:pPr>
          </w:p>
        </w:tc>
      </w:tr>
      <w:tr>
        <w:trPr>
          <w:trHeight w:val="223"/>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620,879</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Intangible assets represent purchased assets that lack physical substance but can be distinguished from goodwill. Our intangible assets, net of accumulated amortization, totaled $31.9 million at December 31, 2021 and primarily consist of customer relationships, trade names, technology and software, non-competition agreements, and customer contracts, all of which were acquired through business combinations. We evaluate our intangible assets for impairment whenever events or changes in circumstances indicate that the carrying amount of the assets may not be recoverable. No impairment charges for intangible assets were recorded in 2021.</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In determining our provision for income taxes on an interim basis, we estimate our annual effective tax rate based on information available at each interim period. Changes in applicable U.S. state, federal or foreign tax laws and regulations, or their interpretation and application, could materially affect our tax expense.</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Deferred tax assets and liabilities are recorded for future tax consequences attributable to temporary differences between the financial statement carrying amounts of existing assets and liabilities and their respective tax bases. These deferred tax assets and liabilities are measured using enacted tax rates expected to apply to taxable income in the years in which those temporary differences are expected to be recovered or settled. Deferred tax assets are reduced by a valuation allowance when, in management’s opinion, it is more likely than not that some portion or the entire deferred tax asset will not be realized. Factors considered in making this determination include the period of expiration of the tax asset, planned use of the tax asset, tax planning strategies and historical and projected taxable income as well as tax liabilities for the tax jurisdiction in which the tax asset is located. Valuation allowances will be subject to change in each future reporting period as a result of changes in one or more of these factors.</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tax positions are subject to income tax audits by federal, state, local, and foreign tax authorities. A tax benefit from an uncertain position may be recognized in the financial statements only if it is more likely than not that the position is sustainable, based on its technical merits. We measure the tax benefit recognized as the largest amount of benefit which is more likely than not to be realized upon settlement with the taxing authority. The estimate of the potential outcome of any uncertain tax issue is subject to management’s assessment of relevant risks, facts and circumstances existing at that time. We believe that positions taken on our tax returns are fully supported. However, final determinations of prior year tax positions upon settlement with the taxing authority could be materially different from estimates. The outcome of these final determinations could have a material impact on our provision for taxes, net income, or cash flows in the period in which that determination is made.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Refer to Note 2 “Summary of Significant Accounting Policies" within the notes to the consolidated financial statements for information on new accounting pronouncements.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January 18, 2022, we completed the acquisition of AIMDATA, LLC, (“AIMDATA”), an advisory and implementation consulting services firm focused on strategy, technology and business transformation. The results of operations of AIMDATA will be included within our consolidated financial statements from the close date, and will be allocated among our three operating industries, which are our reportable segments, based on the engagements delivered by the business. AIMDATA revenues will be reported in our Digital capability. The acquisition of AIMDATA is not significant to our consolidated financial statements.</w:t>
      </w:r>
    </w:p>
    <w:p>
      <w:pPr>
        <w:spacing w:after="0" w:line="22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Interest Rate Risk</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exposure to changes in interest rates associated with borrowings under our bank credit facility, which has variable interest rates tied to LIBOR or an alternate base rate, at our option. At December 31, 2021, we had borrowings outstanding under the credit facility totaling $230.0 million that carried a weighted average interest rate of 2.7% including the impact of the interest rate swaps described below. A hypothetical 100 basis point change in the interest rate as of December 31, 2021 would have a $0.3 million effect on our pretax income on an annualized basis, including the effect of the interest rate swaps. At December 31, 2020, we had borrowings outstanding under the credit facility totaling $200.0 million that carried a weighted average interest rate of 2.5%, including the impact of the interest rate swaps. As of December 31, 2020, these variable rate borrowings were fully hedged against changes in interest rates by the interest rate swaps, which have a notional amount of $200.0 million. A hypothetical 100 basis point change in the interest rate would have no impact on our pretax income, on an annualized basis, including the effect of the interest rate swaps.</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 month LIBOR and we pay to the counterparty a fixed rate of 1.900%.</w:t>
      </w:r>
    </w:p>
    <w:p>
      <w:pPr>
        <w:spacing w:after="0" w:line="15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variable -rate borrowings. Under the terms of the interest rate swap agreement, we receive from the counterparty interest on the notional amount based on one month LIBOR and we pay to the counterparty a fixed rate of 1.500%.</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also have exposure to changes in interest rates associated with the promissory note assumed on June 30, 2017 in connection with our purchase of an aircraft, which has variable interest rates tied to LIBOR. At December 31, 2021, the outstanding principal amount of the promissory note was $2.8 million and carried an interest rate of 2.1%. A hypothetical 100 basis point change in this interest rate would not have a material effect on our pretax income. At December 31, 2020 the outstanding principal amount of the promissory note was $ 3.3 million and carried an interest rate of 2.1%. A hypothetical 100 basis point change in the interest rate as of December 31, 2020 would not have had a material effect on our pretax income. In the first quarter of 2022, we completed the sale of the aircraft to a third-party and used a portion of the sale proceeds to pay the remaining principal and unpaid interest on the promissory note. As a result of the sale, we no longer own any aircraft.</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2017, the Financial Conduct Authority (FCA) in the U.K. announced that it would phase out LIBOR as a benchmark rate by the end of 2021. In March 2021, the ICE Benchmark Administration Limited, the administrator of LIBOR, extended the transition dates of certain LIBOR tenors (including all U.S. Dollar LIBOR tenors other than one-week and two-month U.S. Dollar LIBOR tenors) to June 30, 2023, after which LIBOR reference rates will cease to be provided. Our Amended Credit Agreement and interest rate swap agreements provide for any transitions away from LIBOR to a successor rate to be based on prevailing or equivalent standards.</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concluded that we do not have material market risk exposure.</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As of December 31, 2021, the fair value of the investment was $ 65.9 million, with a total cost basis of $40.9 million. At December 31, 2020, the fair value of the investment was $64.4 million, with a total cost basis of $40.9 million.</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a preferred stock investment in Medically Home Group, Inc. (“Medically Home”),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December 31, 2021 and 2020, the carrying value of the investment was $6.7 million, with a total cost basis of $5.0 million. Following our purchase, we have not identified any impairment of our investment.</w:t>
      </w:r>
    </w:p>
    <w:p>
      <w:pPr>
        <w:spacing w:after="0" w:line="17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Financial Statements and supplementary data begin on page F-1 of this Annual Report on Form 10-K.</w:t>
      </w:r>
    </w:p>
    <w:p>
      <w:pPr>
        <w:spacing w:after="0" w:line="19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December 31, 2021. Based on this evaluation, our Chief Executive Officer and Chief Financial Officer have concluded that, as of December 31, 2021,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for the Company.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51" w:lineRule="exact"/>
        <w:rPr>
          <w:sz w:val="20"/>
          <w:szCs w:val="20"/>
          <w:color w:val="auto"/>
        </w:rPr>
      </w:pPr>
    </w:p>
    <w:p>
      <w:pPr>
        <w:ind w:left="660" w:right="240" w:hanging="328"/>
        <w:spacing w:after="0" w:line="261"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43" w:lineRule="exact"/>
        <w:rPr>
          <w:rFonts w:ascii="Arial" w:cs="Arial" w:eastAsia="Arial" w:hAnsi="Arial"/>
          <w:sz w:val="18"/>
          <w:szCs w:val="18"/>
          <w:color w:val="auto"/>
        </w:rPr>
      </w:pPr>
    </w:p>
    <w:p>
      <w:pPr>
        <w:ind w:left="660" w:right="180" w:hanging="328"/>
        <w:spacing w:after="0" w:line="256" w:lineRule="auto"/>
        <w:tabs>
          <w:tab w:leader="none" w:pos="6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147" w:lineRule="exact"/>
        <w:rPr>
          <w:rFonts w:ascii="Arial" w:cs="Arial" w:eastAsia="Arial" w:hAnsi="Arial"/>
          <w:sz w:val="18"/>
          <w:szCs w:val="18"/>
          <w:color w:val="auto"/>
        </w:rPr>
      </w:pPr>
    </w:p>
    <w:p>
      <w:pPr>
        <w:ind w:left="660" w:right="660" w:hanging="328"/>
        <w:spacing w:after="0" w:line="261" w:lineRule="auto"/>
        <w:tabs>
          <w:tab w:leader="none" w:pos="6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4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2021 using the criteria set forth by the Committee of Sponsoring Organizations of the Treadway Commission (“COSO”)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(2013)</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that evaluation, management concluded that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 as of December 31, 2021.</w:t>
      </w:r>
    </w:p>
    <w:p>
      <w:pPr>
        <w:spacing w:after="0" w:line="151"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PricewaterhouseCoopers LLP, an independent registered public accounting firm, as stated in their report appearing on page F-2 of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December 31, 2021 that has materially affected, or is reasonably likely to materially affect, our internal control over financial reporting.</w:t>
      </w:r>
    </w:p>
    <w:p>
      <w:pPr>
        <w:spacing w:after="0" w:line="166"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5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1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information required by this item is incorporated by reference from portions of our definitive proxy statement for our annual meeting of stockholders to be filed with the SEC pursuant to Regulation 14A by May 2, 2022 (the “Proxy Statement”) under “Nominees to Board of Directors,” “Directors Not Standing For Election” and “Executive Officers.”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19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“Delinquent Section 16(a) Reports.”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adopted a Code of Business Conduct and Ethics (the “Code”) that is applicable to all of our employees, officers and directors. The Code is available on the Corporate Governance page of our website at ir.huronconsultinggroup.com. If we make any amendments to or grant any waivers from the Code which are required to be disclosed pursuant to the Securities Exchange Act of 1934, we will make such disclosures on our website.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93"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“Board Meetings and Committees.”</w:t>
      </w:r>
    </w:p>
    <w:p>
      <w:pPr>
        <w:spacing w:after="0" w:line="16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“Executive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9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Interlocks and Insider Participation.”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9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Report.”</w:t>
      </w:r>
    </w:p>
    <w:p>
      <w:pPr>
        <w:spacing w:after="0" w:line="162" w:lineRule="exact"/>
        <w:rPr>
          <w:sz w:val="20"/>
          <w:szCs w:val="20"/>
          <w:color w:val="auto"/>
        </w:rPr>
      </w:pPr>
    </w:p>
    <w:p>
      <w:pPr>
        <w:ind w:left="1020" w:right="460" w:hanging="984"/>
        <w:spacing w:after="0"/>
        <w:tabs>
          <w:tab w:leader="none" w:pos="10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with respect to equity compensation plans approved by shareholders as of 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equity compensation plans that have not been approved by shareholders.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Shares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8"/>
              </w:rPr>
              <w:t>Remaining Available</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to be Issued Upon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Weighted Average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for Future Issuance</w:t>
            </w:r>
          </w:p>
        </w:tc>
      </w:t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Exercise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Exercise Price of</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(excluding shares in</w:t>
            </w:r>
          </w:p>
        </w:tc>
      </w:tr>
      <w:tr>
        <w:trPr>
          <w:trHeight w:val="228"/>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Outstanding Options</w:t>
            </w:r>
          </w:p>
        </w:tc>
        <w:tc>
          <w:tcPr>
            <w:tcW w:w="120" w:type="dxa"/>
            <w:vAlign w:val="bottom"/>
          </w:tcPr>
          <w:p>
            <w:pPr>
              <w:spacing w:after="0"/>
              <w:rPr>
                <w:sz w:val="19"/>
                <w:szCs w:val="19"/>
                <w:color w:val="auto"/>
              </w:rPr>
            </w:pPr>
          </w:p>
        </w:tc>
        <w:tc>
          <w:tcPr>
            <w:tcW w:w="2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Outstanding Options</w:t>
            </w:r>
          </w:p>
        </w:tc>
        <w:tc>
          <w:tcPr>
            <w:tcW w:w="1940" w:type="dxa"/>
            <w:vAlign w:val="bottom"/>
          </w:tcPr>
          <w:p>
            <w:pPr>
              <w:jc w:val="center"/>
              <w:spacing w:after="0" w:line="228" w:lineRule="exact"/>
              <w:rPr>
                <w:sz w:val="20"/>
                <w:szCs w:val="20"/>
                <w:color w:val="auto"/>
              </w:rPr>
            </w:pPr>
            <w:r>
              <w:rPr>
                <w:rFonts w:ascii="Arial" w:cs="Arial" w:eastAsia="Arial" w:hAnsi="Arial"/>
                <w:sz w:val="18"/>
                <w:szCs w:val="18"/>
                <w:b w:val="1"/>
                <w:bCs w:val="1"/>
                <w:color w:val="auto"/>
                <w:w w:val="95"/>
              </w:rPr>
              <w:t>1</w:t>
            </w:r>
            <w:r>
              <w:rPr>
                <w:rFonts w:ascii="Arial" w:cs="Arial" w:eastAsia="Arial" w:hAnsi="Arial"/>
                <w:sz w:val="23"/>
                <w:szCs w:val="23"/>
                <w:b w:val="1"/>
                <w:bCs w:val="1"/>
                <w:color w:val="auto"/>
                <w:w w:val="95"/>
                <w:vertAlign w:val="superscript"/>
              </w:rPr>
              <w:t>st</w:t>
            </w:r>
            <w:r>
              <w:rPr>
                <w:rFonts w:ascii="Arial" w:cs="Arial" w:eastAsia="Arial" w:hAnsi="Arial"/>
                <w:sz w:val="18"/>
                <w:szCs w:val="18"/>
                <w:b w:val="1"/>
                <w:bCs w:val="1"/>
                <w:color w:val="auto"/>
                <w:w w:val="95"/>
              </w:rPr>
              <w:t xml:space="preserve"> column)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340"/>
              <w:spacing w:after="0" w:line="230" w:lineRule="exact"/>
              <w:rPr>
                <w:sz w:val="20"/>
                <w:szCs w:val="20"/>
                <w:color w:val="auto"/>
              </w:rPr>
            </w:pPr>
            <w:r>
              <w:rPr>
                <w:rFonts w:ascii="Arial" w:cs="Arial" w:eastAsia="Arial" w:hAnsi="Arial"/>
                <w:sz w:val="18"/>
                <w:szCs w:val="18"/>
                <w:color w:val="auto"/>
              </w:rPr>
              <w:t xml:space="preserve">2004 Omnibus Stock Plan </w:t>
            </w:r>
            <w:r>
              <w:rPr>
                <w:rFonts w:ascii="Arial" w:cs="Arial" w:eastAsia="Arial" w:hAnsi="Arial"/>
                <w:sz w:val="23"/>
                <w:szCs w:val="23"/>
                <w:color w:val="auto"/>
                <w:vertAlign w:val="superscript"/>
              </w:rPr>
              <w:t>(1)</w:t>
            </w:r>
          </w:p>
        </w:tc>
        <w:tc>
          <w:tcPr>
            <w:tcW w:w="1920" w:type="dxa"/>
            <w:vAlign w:val="bottom"/>
          </w:tcPr>
          <w:p>
            <w:pPr>
              <w:jc w:val="right"/>
              <w:spacing w:after="0"/>
              <w:rPr>
                <w:sz w:val="20"/>
                <w:szCs w:val="20"/>
                <w:color w:val="auto"/>
              </w:rPr>
            </w:pPr>
            <w:r>
              <w:rPr>
                <w:rFonts w:ascii="Arial" w:cs="Arial" w:eastAsia="Arial" w:hAnsi="Arial"/>
                <w:sz w:val="18"/>
                <w:szCs w:val="18"/>
                <w:color w:val="auto"/>
              </w:rPr>
              <w:t>10,805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38.18</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2012 Omnibus Incentive Plan </w:t>
            </w:r>
            <w:r>
              <w:rPr>
                <w:rFonts w:ascii="Arial" w:cs="Arial" w:eastAsia="Arial" w:hAnsi="Arial"/>
                <w:sz w:val="23"/>
                <w:szCs w:val="23"/>
                <w:color w:val="auto"/>
                <w:vertAlign w:val="superscript"/>
              </w:rPr>
              <w:t>(2)</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1,180,121</w:t>
            </w:r>
          </w:p>
        </w:tc>
      </w:tr>
      <w:tr>
        <w:trPr>
          <w:trHeight w:val="229"/>
        </w:trPr>
        <w:tc>
          <w:tcPr>
            <w:tcW w:w="20" w:type="dxa"/>
            <w:vAlign w:val="bottom"/>
          </w:tcPr>
          <w:p>
            <w:pPr>
              <w:spacing w:after="0"/>
              <w:rPr>
                <w:sz w:val="19"/>
                <w:szCs w:val="19"/>
                <w:color w:val="auto"/>
              </w:rPr>
            </w:pPr>
          </w:p>
        </w:tc>
        <w:tc>
          <w:tcPr>
            <w:tcW w:w="4800" w:type="dxa"/>
            <w:vAlign w:val="bottom"/>
            <w:gridSpan w:val="2"/>
          </w:tcPr>
          <w:p>
            <w:pPr>
              <w:ind w:left="340"/>
              <w:spacing w:after="0" w:line="230" w:lineRule="exact"/>
              <w:rPr>
                <w:sz w:val="20"/>
                <w:szCs w:val="20"/>
                <w:color w:val="auto"/>
              </w:rPr>
            </w:pPr>
            <w:r>
              <w:rPr>
                <w:rFonts w:ascii="Arial" w:cs="Arial" w:eastAsia="Arial" w:hAnsi="Arial"/>
                <w:sz w:val="18"/>
                <w:szCs w:val="18"/>
                <w:color w:val="auto"/>
              </w:rPr>
              <w:t xml:space="preserve">Stock Ownership Participation Program </w:t>
            </w:r>
            <w:r>
              <w:rPr>
                <w:rFonts w:ascii="Arial" w:cs="Arial" w:eastAsia="Arial" w:hAnsi="Arial"/>
                <w:sz w:val="23"/>
                <w:szCs w:val="23"/>
                <w:color w:val="auto"/>
                <w:vertAlign w:val="superscript"/>
              </w:rPr>
              <w:t>(3)</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ind w:left="1480"/>
              <w:spacing w:after="0"/>
              <w:rPr>
                <w:sz w:val="20"/>
                <w:szCs w:val="20"/>
                <w:color w:val="auto"/>
              </w:rPr>
            </w:pPr>
            <w:r>
              <w:rPr>
                <w:rFonts w:ascii="Arial" w:cs="Arial" w:eastAsia="Arial" w:hAnsi="Arial"/>
                <w:sz w:val="18"/>
                <w:szCs w:val="18"/>
                <w:color w:val="auto"/>
              </w:rPr>
              <w:t>N/A</w:t>
            </w:r>
          </w:p>
        </w:tc>
        <w:tc>
          <w:tcPr>
            <w:tcW w:w="1940" w:type="dxa"/>
            <w:vAlign w:val="bottom"/>
          </w:tcPr>
          <w:p>
            <w:pPr>
              <w:jc w:val="right"/>
              <w:spacing w:after="0"/>
              <w:rPr>
                <w:sz w:val="20"/>
                <w:szCs w:val="20"/>
                <w:color w:val="auto"/>
              </w:rPr>
            </w:pPr>
            <w:r>
              <w:rPr>
                <w:rFonts w:ascii="Arial" w:cs="Arial" w:eastAsia="Arial" w:hAnsi="Arial"/>
                <w:sz w:val="18"/>
                <w:szCs w:val="18"/>
                <w:color w:val="auto"/>
              </w:rPr>
              <w:t>283,206</w:t>
            </w: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1,463,327</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20" w:right="120" w:hanging="412"/>
        <w:spacing w:after="0" w:line="256" w:lineRule="auto"/>
        <w:tabs>
          <w:tab w:leader="none" w:pos="45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2004 Omnibus Stock Plan was approved by the existing shareholders prior to our initial public offering. Upon adoption of the 2012 Omnibus Incentive Plan, we terminated the 2004 Omnibus Stock Plan with respect to future awards and no further awards will be granted under this plan.</w:t>
      </w:r>
    </w:p>
    <w:p>
      <w:pPr>
        <w:spacing w:after="0" w:line="147" w:lineRule="exact"/>
        <w:rPr>
          <w:rFonts w:ascii="Arial" w:cs="Arial" w:eastAsia="Arial" w:hAnsi="Arial"/>
          <w:sz w:val="18"/>
          <w:szCs w:val="18"/>
          <w:color w:val="auto"/>
        </w:rPr>
      </w:pPr>
    </w:p>
    <w:p>
      <w:pPr>
        <w:ind w:left="420" w:right="140" w:hanging="412"/>
        <w:spacing w:after="0" w:line="256" w:lineRule="auto"/>
        <w:tabs>
          <w:tab w:leader="none" w:pos="45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2012 Omnibus Incentive Plan was approved by our shareholders at our annual meeting held on May 1, 2012. Subsequent to the initial approval and through December 31, 2021, our shareholders have approved amendments to the 2012 Omnibus Incentive Plan to increase the number of shares authorized for issuance to 4.6 million shares, in the aggregate.</w:t>
      </w:r>
    </w:p>
    <w:p>
      <w:pPr>
        <w:spacing w:after="0" w:line="147" w:lineRule="exact"/>
        <w:rPr>
          <w:rFonts w:ascii="Arial" w:cs="Arial" w:eastAsia="Arial" w:hAnsi="Arial"/>
          <w:sz w:val="18"/>
          <w:szCs w:val="18"/>
          <w:color w:val="auto"/>
        </w:rPr>
      </w:pPr>
    </w:p>
    <w:p>
      <w:pPr>
        <w:ind w:left="420" w:right="480" w:hanging="412"/>
        <w:spacing w:after="0" w:line="278" w:lineRule="auto"/>
        <w:tabs>
          <w:tab w:leader="none" w:pos="451"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Stock Ownership Participation Program was approved by our shareholders at our annual meeting held on May 1, 2015. Subsequent to the initial approval and through December 31, 2021, our shareholders have approved amendments to the Stock Ownership Participation Program to increase the number of shares authorized for issuance to 0.7 million shares, in the aggregate.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“Stock Ownership of Certain Beneficial Owners and Management.”</w:t>
      </w:r>
    </w:p>
    <w:p>
      <w:pPr>
        <w:spacing w:after="0" w:line="162" w:lineRule="exact"/>
        <w:rPr>
          <w:sz w:val="20"/>
          <w:szCs w:val="20"/>
          <w:color w:val="auto"/>
        </w:rPr>
      </w:pPr>
    </w:p>
    <w:p>
      <w:pPr>
        <w:ind w:right="1960" w:firstLine="18"/>
        <w:spacing w:after="0" w:line="451"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Certain Relationships and Related Transactions</w:t>
      </w:r>
    </w:p>
    <w:p>
      <w:pPr>
        <w:ind w:right="14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“Certain Relationships and Related Transactions.”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portions of the Proxy Statement under “Nominees to Board of Directors,” “Directors Not Standing For Election,” and “Board Meetings and Committees.”</w:t>
      </w:r>
    </w:p>
    <w:p>
      <w:pPr>
        <w:spacing w:after="0" w:line="16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“Audit and Non-Audit Fees.”</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 w:right="51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Annual Report on Form 10-K.</w:t>
      </w:r>
    </w:p>
    <w:p>
      <w:pPr>
        <w:spacing w:after="0" w:line="193" w:lineRule="exact"/>
        <w:rPr>
          <w:sz w:val="20"/>
          <w:szCs w:val="20"/>
          <w:color w:val="auto"/>
        </w:rPr>
      </w:pPr>
    </w:p>
    <w:p>
      <w:pPr>
        <w:ind w:left="820" w:right="120" w:hanging="812"/>
        <w:spacing w:after="0" w:line="261" w:lineRule="auto"/>
        <w:tabs>
          <w:tab w:leader="none" w:pos="8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Statements—Our independent registered public accounting firm’s report and our Consolidated Financial Statements are listed below and begin on page F-1 of this Form 10-K.</w:t>
      </w:r>
    </w:p>
    <w:p>
      <w:pPr>
        <w:spacing w:after="0" w:line="6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Operations and Other Comprehensive Income (Loss)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820" w:right="740" w:hanging="812"/>
        <w:spacing w:after="0" w:line="261" w:lineRule="auto"/>
        <w:tabs>
          <w:tab w:leader="none" w:pos="8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Statement Schedules—The financial statement schedules required by this item are included in the Consolidated Financial Statements and accompanying notes.</w:t>
      </w:r>
    </w:p>
    <w:p>
      <w:pPr>
        <w:spacing w:after="0" w:line="143" w:lineRule="exact"/>
        <w:rPr>
          <w:rFonts w:ascii="Arial" w:cs="Arial" w:eastAsia="Arial" w:hAnsi="Arial"/>
          <w:sz w:val="18"/>
          <w:szCs w:val="18"/>
          <w:color w:val="auto"/>
        </w:rPr>
      </w:pPr>
    </w:p>
    <w:p>
      <w:pPr>
        <w:ind w:left="840" w:hanging="832"/>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180" w:type="dxa"/>
            <w:vAlign w:val="bottom"/>
            <w:tcBorders>
              <w:bottom w:val="single" w:sz="8" w:color="auto"/>
            </w:tcBorders>
            <w:gridSpan w:val="4"/>
          </w:tcPr>
          <w:p>
            <w:pPr>
              <w:ind w:left="96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Exhibit</w:t>
            </w:r>
          </w:p>
        </w:tc>
        <w:tc>
          <w:tcPr>
            <w:tcW w:w="4260" w:type="dxa"/>
            <w:vAlign w:val="bottom"/>
            <w:gridSpan w:val="23"/>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9"/>
              </w:rPr>
              <w:t>Filed</w:t>
            </w:r>
          </w:p>
        </w:tc>
        <w:tc>
          <w:tcPr>
            <w:tcW w:w="9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8"/>
              </w:rPr>
              <w:t>Furnished</w:t>
            </w: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Form</w:t>
            </w:r>
          </w:p>
        </w:tc>
        <w:tc>
          <w:tcPr>
            <w:tcW w:w="108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Period</w:t>
            </w:r>
          </w:p>
        </w:tc>
        <w:tc>
          <w:tcPr>
            <w:tcW w:w="8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Exhibit</w:t>
            </w:r>
          </w:p>
        </w:tc>
        <w:tc>
          <w:tcPr>
            <w:tcW w:w="10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30"/>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4260" w:type="dxa"/>
            <w:vAlign w:val="bottom"/>
            <w:tcBorders>
              <w:bottom w:val="single" w:sz="8" w:color="auto"/>
            </w:tcBorders>
            <w:gridSpan w:val="23"/>
            <w:vMerge w:val="continue"/>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2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Ending</w:t>
            </w:r>
          </w:p>
        </w:tc>
        <w:tc>
          <w:tcPr>
            <w:tcW w:w="82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4260" w:type="dxa"/>
            <w:vAlign w:val="bottom"/>
            <w:gridSpan w:val="23"/>
          </w:tcPr>
          <w:p>
            <w:pPr>
              <w:spacing w:after="0" w:line="182" w:lineRule="exact"/>
              <w:rPr>
                <w:rFonts w:ascii="Arial" w:cs="Arial" w:eastAsia="Arial" w:hAnsi="Arial"/>
                <w:sz w:val="18"/>
                <w:szCs w:val="18"/>
                <w:color w:val="0000FF"/>
              </w:rPr>
            </w:pPr>
            <w:hyperlink r:id="rId58">
              <w:r>
                <w:rPr>
                  <w:rFonts w:ascii="Arial" w:cs="Arial" w:eastAsia="Arial" w:hAnsi="Arial"/>
                  <w:sz w:val="18"/>
                  <w:szCs w:val="18"/>
                  <w:color w:val="0000FF"/>
                </w:rPr>
                <w:t>Third Amended and Restated Certificate of</w:t>
              </w:r>
            </w:hyperlink>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12/31/2004</w:t>
            </w:r>
          </w:p>
        </w:tc>
        <w:tc>
          <w:tcPr>
            <w:tcW w:w="82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080" w:type="dxa"/>
            <w:vAlign w:val="bottom"/>
          </w:tcPr>
          <w:p>
            <w:pPr>
              <w:jc w:val="center"/>
              <w:spacing w:after="0" w:line="182" w:lineRule="exact"/>
              <w:rPr>
                <w:sz w:val="20"/>
                <w:szCs w:val="20"/>
                <w:color w:val="auto"/>
              </w:rPr>
            </w:pPr>
            <w:r>
              <w:rPr>
                <w:rFonts w:ascii="Arial" w:cs="Arial" w:eastAsia="Arial" w:hAnsi="Arial"/>
                <w:sz w:val="18"/>
                <w:szCs w:val="18"/>
                <w:color w:val="auto"/>
                <w:w w:val="99"/>
              </w:rPr>
              <w:t>2/16/2005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3580" w:type="dxa"/>
            <w:vAlign w:val="bottom"/>
            <w:tcBorders>
              <w:bottom w:val="single" w:sz="8" w:color="0000FF"/>
            </w:tcBorders>
            <w:gridSpan w:val="10"/>
          </w:tcPr>
          <w:p>
            <w:pPr>
              <w:spacing w:after="0" w:line="156"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Incorporation of Huron Consulting Group Inc.</w:t>
              </w:r>
            </w:hyperlink>
          </w:p>
        </w:tc>
        <w:tc>
          <w:tcPr>
            <w:tcW w:w="680" w:type="dxa"/>
            <w:vAlign w:val="bottom"/>
            <w:gridSpan w:val="13"/>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3.2</w:t>
            </w:r>
          </w:p>
        </w:tc>
        <w:tc>
          <w:tcPr>
            <w:tcW w:w="4260" w:type="dxa"/>
            <w:vAlign w:val="bottom"/>
            <w:gridSpan w:val="23"/>
          </w:tcPr>
          <w:p>
            <w:pPr>
              <w:spacing w:after="0"/>
              <w:rPr>
                <w:rFonts w:ascii="Arial" w:cs="Arial" w:eastAsia="Arial" w:hAnsi="Arial"/>
                <w:sz w:val="18"/>
                <w:szCs w:val="18"/>
                <w:color w:val="0000FF"/>
              </w:rPr>
            </w:pPr>
            <w:hyperlink r:id="rId59">
              <w:r>
                <w:rPr>
                  <w:rFonts w:ascii="Arial" w:cs="Arial" w:eastAsia="Arial" w:hAnsi="Arial"/>
                  <w:sz w:val="18"/>
                  <w:szCs w:val="18"/>
                  <w:color w:val="0000FF"/>
                </w:rPr>
                <w:t>Amended and Restated Bylaws of Huron Consulting</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9"/>
              </w:rPr>
              <w:t>10/28/2015</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7"/>
              </w:rPr>
            </w:pPr>
            <w:hyperlink r:id="rId59">
              <w:r>
                <w:rPr>
                  <w:rFonts w:ascii="Arial" w:cs="Arial" w:eastAsia="Arial" w:hAnsi="Arial"/>
                  <w:sz w:val="18"/>
                  <w:szCs w:val="18"/>
                  <w:color w:val="0000FF"/>
                  <w:w w:val="97"/>
                </w:rPr>
                <w:t>Group Inc.</w:t>
              </w:r>
            </w:hyperlink>
          </w:p>
        </w:tc>
        <w:tc>
          <w:tcPr>
            <w:tcW w:w="33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4260" w:type="dxa"/>
            <w:vAlign w:val="bottom"/>
            <w:gridSpan w:val="23"/>
          </w:tcPr>
          <w:p>
            <w:pPr>
              <w:spacing w:after="0"/>
              <w:rPr>
                <w:rFonts w:ascii="Arial" w:cs="Arial" w:eastAsia="Arial" w:hAnsi="Arial"/>
                <w:sz w:val="18"/>
                <w:szCs w:val="18"/>
                <w:color w:val="0000FF"/>
              </w:rPr>
            </w:pPr>
            <w:hyperlink r:id="rId60">
              <w:r>
                <w:rPr>
                  <w:rFonts w:ascii="Arial" w:cs="Arial" w:eastAsia="Arial" w:hAnsi="Arial"/>
                  <w:sz w:val="18"/>
                  <w:szCs w:val="18"/>
                  <w:color w:val="0000FF"/>
                </w:rPr>
                <w:t>Specimen Stock Certificate.</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0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10/5/2004</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jc w:val="center"/>
              <w:spacing w:after="0" w:line="156" w:lineRule="exact"/>
              <w:rPr>
                <w:sz w:val="20"/>
                <w:szCs w:val="20"/>
                <w:color w:val="auto"/>
              </w:rPr>
            </w:pPr>
            <w:r>
              <w:rPr>
                <w:rFonts w:ascii="Arial" w:cs="Arial" w:eastAsia="Arial" w:hAnsi="Arial"/>
                <w:sz w:val="18"/>
                <w:szCs w:val="18"/>
                <w:color w:val="auto"/>
                <w:w w:val="99"/>
              </w:rPr>
              <w:t>(File No. 333-</w:t>
            </w: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115434)</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4260" w:type="dxa"/>
            <w:vAlign w:val="bottom"/>
            <w:gridSpan w:val="23"/>
          </w:tcPr>
          <w:p>
            <w:pPr>
              <w:spacing w:after="0" w:line="189" w:lineRule="exact"/>
              <w:rPr>
                <w:rFonts w:ascii="Arial" w:cs="Arial" w:eastAsia="Arial" w:hAnsi="Arial"/>
                <w:sz w:val="18"/>
                <w:szCs w:val="18"/>
                <w:color w:val="0000FF"/>
              </w:rPr>
            </w:pPr>
            <w:hyperlink r:id="rId61">
              <w:r>
                <w:rPr>
                  <w:rFonts w:ascii="Arial" w:cs="Arial" w:eastAsia="Arial" w:hAnsi="Arial"/>
                  <w:sz w:val="18"/>
                  <w:szCs w:val="18"/>
                  <w:color w:val="0000FF"/>
                </w:rPr>
                <w:t>Description of Securities.</w:t>
              </w:r>
            </w:hyperlink>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12/31/2019</w:t>
            </w: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5"/>
              </w:rPr>
              <w:t>4.2</w:t>
            </w:r>
          </w:p>
        </w:tc>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9"/>
              </w:rPr>
              <w:t>2/26/2020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4260" w:type="dxa"/>
            <w:vAlign w:val="bottom"/>
            <w:gridSpan w:val="23"/>
          </w:tcPr>
          <w:p>
            <w:pPr>
              <w:spacing w:after="0"/>
              <w:rPr>
                <w:rFonts w:ascii="Arial" w:cs="Arial" w:eastAsia="Arial" w:hAnsi="Arial"/>
                <w:sz w:val="18"/>
                <w:szCs w:val="18"/>
                <w:color w:val="0000FF"/>
              </w:rPr>
            </w:pPr>
            <w:hyperlink r:id="rId62">
              <w:r>
                <w:rPr>
                  <w:rFonts w:ascii="Arial" w:cs="Arial" w:eastAsia="Arial" w:hAnsi="Arial"/>
                  <w:sz w:val="18"/>
                  <w:szCs w:val="18"/>
                  <w:color w:val="0000FF"/>
                </w:rPr>
                <w:t>Office Lease, dated December 2003, between Union</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0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10/5/2004</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1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Tower, LLC and Huron Consulting Services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jc w:val="center"/>
              <w:spacing w:after="0" w:line="156" w:lineRule="exact"/>
              <w:rPr>
                <w:sz w:val="20"/>
                <w:szCs w:val="20"/>
                <w:color w:val="auto"/>
              </w:rPr>
            </w:pPr>
            <w:r>
              <w:rPr>
                <w:rFonts w:ascii="Arial" w:cs="Arial" w:eastAsia="Arial" w:hAnsi="Arial"/>
                <w:sz w:val="18"/>
                <w:szCs w:val="18"/>
                <w:color w:val="auto"/>
                <w:w w:val="99"/>
              </w:rPr>
              <w:t>(File No. 333-</w:t>
            </w: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9"/>
              </w:rPr>
              <w:t>115434)</w:t>
            </w: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4020" w:type="dxa"/>
            <w:vAlign w:val="bottom"/>
            <w:tcBorders>
              <w:bottom w:val="single" w:sz="8" w:color="0000FF"/>
            </w:tcBorders>
            <w:gridSpan w:val="16"/>
          </w:tcPr>
          <w:p>
            <w:pPr>
              <w:spacing w:after="0" w:line="157"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(formerly known as Huron Consulting Group LLC).</w:t>
              </w:r>
            </w:hyperlink>
          </w:p>
        </w:tc>
        <w:tc>
          <w:tcPr>
            <w:tcW w:w="240" w:type="dxa"/>
            <w:vAlign w:val="bottom"/>
            <w:gridSpan w:val="7"/>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10.2*</w:t>
            </w:r>
          </w:p>
        </w:tc>
        <w:tc>
          <w:tcPr>
            <w:tcW w:w="4260" w:type="dxa"/>
            <w:vAlign w:val="bottom"/>
            <w:gridSpan w:val="23"/>
          </w:tcPr>
          <w:p>
            <w:pPr>
              <w:spacing w:after="0"/>
              <w:rPr>
                <w:rFonts w:ascii="Arial" w:cs="Arial" w:eastAsia="Arial" w:hAnsi="Arial"/>
                <w:sz w:val="18"/>
                <w:szCs w:val="18"/>
                <w:color w:val="0000FF"/>
              </w:rPr>
            </w:pPr>
            <w:hyperlink r:id="rId63">
              <w:r>
                <w:rPr>
                  <w:rFonts w:ascii="Arial" w:cs="Arial" w:eastAsia="Arial" w:hAnsi="Arial"/>
                  <w:sz w:val="18"/>
                  <w:szCs w:val="18"/>
                  <w:color w:val="0000FF"/>
                </w:rPr>
                <w:t>Amended and Restated Huron Consulting Group Inc.</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S-8</w:t>
            </w:r>
          </w:p>
        </w:tc>
        <w:tc>
          <w:tcPr>
            <w:tcW w:w="10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10.1</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9"/>
              </w:rPr>
              <w:t>5/5/2010</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2004 Omnibus Stock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10.3*</w:t>
            </w:r>
          </w:p>
        </w:tc>
        <w:tc>
          <w:tcPr>
            <w:tcW w:w="4260" w:type="dxa"/>
            <w:vAlign w:val="bottom"/>
            <w:tcBorders>
              <w:bottom w:val="single" w:sz="8" w:color="0000FF"/>
            </w:tcBorders>
            <w:gridSpan w:val="23"/>
          </w:tcPr>
          <w:p>
            <w:pPr>
              <w:spacing w:after="0"/>
              <w:rPr>
                <w:rFonts w:ascii="Arial" w:cs="Arial" w:eastAsia="Arial" w:hAnsi="Arial"/>
                <w:sz w:val="18"/>
                <w:szCs w:val="18"/>
                <w:color w:val="0000FF"/>
                <w:w w:val="99"/>
              </w:rPr>
            </w:pPr>
            <w:hyperlink r:id="rId64">
              <w:r>
                <w:rPr>
                  <w:rFonts w:ascii="Arial" w:cs="Arial" w:eastAsia="Arial" w:hAnsi="Arial"/>
                  <w:sz w:val="18"/>
                  <w:szCs w:val="18"/>
                  <w:color w:val="0000FF"/>
                  <w:w w:val="99"/>
                </w:rPr>
                <w:t>Huron Consulting Group Inc. Deferred Compensation</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12/31/2008</w:t>
            </w: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10.12</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2/24/2009</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60" w:type="dxa"/>
            <w:vAlign w:val="bottom"/>
            <w:gridSpan w:val="23"/>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Plan as Amended and Restated effective January 1,</w:t>
              </w:r>
            </w:hyperlink>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64">
              <w:r>
                <w:rPr>
                  <w:rFonts w:ascii="Arial" w:cs="Arial" w:eastAsia="Arial" w:hAnsi="Arial"/>
                  <w:sz w:val="18"/>
                  <w:szCs w:val="18"/>
                  <w:color w:val="0000FF"/>
                  <w:w w:val="93"/>
                </w:rPr>
                <w:t>2009.</w:t>
              </w:r>
            </w:hyperlink>
          </w:p>
        </w:tc>
        <w:tc>
          <w:tcPr>
            <w:tcW w:w="4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4260" w:type="dxa"/>
            <w:vAlign w:val="bottom"/>
            <w:gridSpan w:val="23"/>
          </w:tcPr>
          <w:p>
            <w:pPr>
              <w:spacing w:after="0"/>
              <w:rPr>
                <w:rFonts w:ascii="Arial" w:cs="Arial" w:eastAsia="Arial" w:hAnsi="Arial"/>
                <w:sz w:val="18"/>
                <w:szCs w:val="18"/>
                <w:color w:val="0000FF"/>
              </w:rPr>
            </w:pPr>
            <w:hyperlink r:id="rId65">
              <w:r>
                <w:rPr>
                  <w:rFonts w:ascii="Arial" w:cs="Arial" w:eastAsia="Arial" w:hAnsi="Arial"/>
                  <w:sz w:val="18"/>
                  <w:szCs w:val="18"/>
                  <w:color w:val="0000FF"/>
                </w:rPr>
                <w:t>Senior Management Agreement by and between</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10.1</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9"/>
              </w:rPr>
              <w:t>1/6/2017</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65">
              <w:r>
                <w:rPr>
                  <w:rFonts w:ascii="Arial" w:cs="Arial" w:eastAsia="Arial" w:hAnsi="Arial"/>
                  <w:sz w:val="18"/>
                  <w:szCs w:val="18"/>
                  <w:color w:val="0000FF"/>
                  <w:w w:val="99"/>
                </w:rPr>
                <w:t>Huron Consulting Group Inc. and John D. Kelly.</w:t>
              </w:r>
            </w:hyperlink>
          </w:p>
        </w:tc>
        <w:tc>
          <w:tcPr>
            <w:tcW w:w="6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10.5*</w:t>
            </w:r>
          </w:p>
        </w:tc>
        <w:tc>
          <w:tcPr>
            <w:tcW w:w="4260" w:type="dxa"/>
            <w:vAlign w:val="bottom"/>
            <w:gridSpan w:val="23"/>
          </w:tcPr>
          <w:p>
            <w:pPr>
              <w:spacing w:after="0"/>
              <w:rPr>
                <w:rFonts w:ascii="Arial" w:cs="Arial" w:eastAsia="Arial" w:hAnsi="Arial"/>
                <w:sz w:val="18"/>
                <w:szCs w:val="18"/>
                <w:color w:val="0000FF"/>
              </w:rPr>
            </w:pPr>
            <w:hyperlink r:id="rId66">
              <w:r>
                <w:rPr>
                  <w:rFonts w:ascii="Arial" w:cs="Arial" w:eastAsia="Arial" w:hAnsi="Arial"/>
                  <w:sz w:val="18"/>
                  <w:szCs w:val="18"/>
                  <w:color w:val="0000FF"/>
                </w:rPr>
                <w:t>Amended and Restated Senior Management</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10.2</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9"/>
              </w:rPr>
              <w:t>1/6/2017</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560" w:type="dxa"/>
            <w:vAlign w:val="bottom"/>
            <w:tcBorders>
              <w:top w:val="single" w:sz="8" w:color="0000FF"/>
            </w:tcBorders>
            <w:gridSpan w:val="9"/>
          </w:tcPr>
          <w:p>
            <w:pPr>
              <w:spacing w:after="0" w:line="157" w:lineRule="exact"/>
              <w:rPr>
                <w:rFonts w:ascii="Arial" w:cs="Arial" w:eastAsia="Arial" w:hAnsi="Arial"/>
                <w:sz w:val="18"/>
                <w:szCs w:val="18"/>
                <w:color w:val="0000FF"/>
                <w:w w:val="97"/>
              </w:rPr>
            </w:pPr>
            <w:hyperlink r:id="rId66">
              <w:r>
                <w:rPr>
                  <w:rFonts w:ascii="Arial" w:cs="Arial" w:eastAsia="Arial" w:hAnsi="Arial"/>
                  <w:sz w:val="18"/>
                  <w:szCs w:val="18"/>
                  <w:color w:val="0000FF"/>
                  <w:w w:val="97"/>
                </w:rPr>
                <w:t>Agreement by and between Huron Consulting</w:t>
              </w:r>
            </w:hyperlink>
          </w:p>
        </w:tc>
        <w:tc>
          <w:tcPr>
            <w:tcW w:w="700" w:type="dxa"/>
            <w:vAlign w:val="bottom"/>
            <w:gridSpan w:val="14"/>
          </w:tcPr>
          <w:p>
            <w:pPr>
              <w:ind w:left="120"/>
              <w:spacing w:after="0" w:line="157" w:lineRule="exact"/>
              <w:rPr>
                <w:rFonts w:ascii="Arial" w:cs="Arial" w:eastAsia="Arial" w:hAnsi="Arial"/>
                <w:sz w:val="18"/>
                <w:szCs w:val="18"/>
                <w:color w:val="0000FF"/>
              </w:rPr>
            </w:pPr>
            <w:hyperlink r:id="rId66">
              <w:r>
                <w:rPr>
                  <w:rFonts w:ascii="Arial" w:cs="Arial" w:eastAsia="Arial" w:hAnsi="Arial"/>
                  <w:sz w:val="18"/>
                  <w:szCs w:val="18"/>
                  <w:color w:val="0000FF"/>
                </w:rPr>
                <w:t>Group</w:t>
              </w:r>
            </w:hyperlink>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Inc. and James H. Roth.</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10.6*</w:t>
            </w:r>
          </w:p>
        </w:tc>
        <w:tc>
          <w:tcPr>
            <w:tcW w:w="4260" w:type="dxa"/>
            <w:vAlign w:val="bottom"/>
            <w:gridSpan w:val="23"/>
          </w:tcPr>
          <w:p>
            <w:pPr>
              <w:spacing w:after="0"/>
              <w:rPr>
                <w:rFonts w:ascii="Arial" w:cs="Arial" w:eastAsia="Arial" w:hAnsi="Arial"/>
                <w:sz w:val="18"/>
                <w:szCs w:val="18"/>
                <w:color w:val="0000FF"/>
              </w:rPr>
            </w:pPr>
            <w:hyperlink r:id="rId67">
              <w:r>
                <w:rPr>
                  <w:rFonts w:ascii="Arial" w:cs="Arial" w:eastAsia="Arial" w:hAnsi="Arial"/>
                  <w:sz w:val="18"/>
                  <w:szCs w:val="18"/>
                  <w:color w:val="0000FF"/>
                </w:rPr>
                <w:t>Senior Management Agreement by and between</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10.3</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9"/>
              </w:rPr>
              <w:t>1/6/2017</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5"/>
              </w:rPr>
            </w:pPr>
            <w:hyperlink r:id="rId67">
              <w:r>
                <w:rPr>
                  <w:rFonts w:ascii="Arial" w:cs="Arial" w:eastAsia="Arial" w:hAnsi="Arial"/>
                  <w:sz w:val="18"/>
                  <w:szCs w:val="18"/>
                  <w:color w:val="0000FF"/>
                  <w:w w:val="95"/>
                </w:rPr>
                <w:t>Huron Consulting Group Inc. and C. Mark Hussey.</w:t>
              </w:r>
            </w:hyperlink>
          </w:p>
        </w:tc>
        <w:tc>
          <w:tcPr>
            <w:tcW w:w="10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10.7</w:t>
            </w:r>
          </w:p>
        </w:tc>
        <w:tc>
          <w:tcPr>
            <w:tcW w:w="4260" w:type="dxa"/>
            <w:vAlign w:val="bottom"/>
            <w:gridSpan w:val="23"/>
          </w:tcPr>
          <w:p>
            <w:pPr>
              <w:spacing w:after="0"/>
              <w:rPr>
                <w:rFonts w:ascii="Arial" w:cs="Arial" w:eastAsia="Arial" w:hAnsi="Arial"/>
                <w:sz w:val="18"/>
                <w:szCs w:val="18"/>
                <w:color w:val="0000FF"/>
              </w:rPr>
            </w:pPr>
            <w:hyperlink r:id="rId68">
              <w:r>
                <w:rPr>
                  <w:rFonts w:ascii="Arial" w:cs="Arial" w:eastAsia="Arial" w:hAnsi="Arial"/>
                  <w:sz w:val="18"/>
                  <w:szCs w:val="18"/>
                  <w:color w:val="0000FF"/>
                </w:rPr>
                <w:t>First Amendment to Lease by and between Huron</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12/31/2012</w:t>
            </w: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2/21/2013</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9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Consulting Services LLC and Union Tower, LLC,</w:t>
              </w:r>
            </w:hyperlink>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dated August 23, 2004.</w:t>
              </w:r>
            </w:hyperlink>
          </w:p>
        </w:tc>
        <w:tc>
          <w:tcPr>
            <w:tcW w:w="1920" w:type="dxa"/>
            <w:vAlign w:val="bottom"/>
            <w:tcBorders>
              <w:top w:val="single" w:sz="8" w:color="0000FF"/>
            </w:tcBorders>
            <w:gridSpan w:val="7"/>
          </w:tcPr>
          <w:p>
            <w:pPr>
              <w:spacing w:after="0"/>
              <w:rPr>
                <w:sz w:val="13"/>
                <w:szCs w:val="13"/>
                <w:color w:val="auto"/>
              </w:rPr>
            </w:pPr>
          </w:p>
        </w:tc>
        <w:tc>
          <w:tcPr>
            <w:tcW w:w="180" w:type="dxa"/>
            <w:vAlign w:val="bottom"/>
            <w:gridSpan w:val="4"/>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10.8</w:t>
            </w:r>
          </w:p>
        </w:tc>
        <w:tc>
          <w:tcPr>
            <w:tcW w:w="4260" w:type="dxa"/>
            <w:vAlign w:val="bottom"/>
            <w:gridSpan w:val="23"/>
          </w:tcPr>
          <w:p>
            <w:pPr>
              <w:spacing w:after="0"/>
              <w:rPr>
                <w:rFonts w:ascii="Arial" w:cs="Arial" w:eastAsia="Arial" w:hAnsi="Arial"/>
                <w:sz w:val="18"/>
                <w:szCs w:val="18"/>
                <w:color w:val="0000FF"/>
              </w:rPr>
            </w:pPr>
            <w:hyperlink r:id="rId69">
              <w:r>
                <w:rPr>
                  <w:rFonts w:ascii="Arial" w:cs="Arial" w:eastAsia="Arial" w:hAnsi="Arial"/>
                  <w:sz w:val="18"/>
                  <w:szCs w:val="18"/>
                  <w:color w:val="0000FF"/>
                </w:rPr>
                <w:t>Second Amendment to Lease by and between Huron</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12/31/2012</w:t>
            </w: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10.18</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2/21/2013</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Consulting Services LLC and Union Tower, LLC,</w:t>
              </w:r>
            </w:hyperlink>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8"/>
              </w:rPr>
            </w:pPr>
            <w:hyperlink r:id="rId69">
              <w:r>
                <w:rPr>
                  <w:rFonts w:ascii="Arial" w:cs="Arial" w:eastAsia="Arial" w:hAnsi="Arial"/>
                  <w:sz w:val="18"/>
                  <w:szCs w:val="18"/>
                  <w:color w:val="0000FF"/>
                  <w:w w:val="98"/>
                </w:rPr>
                <w:t>dated March 14, 2007.</w:t>
              </w:r>
            </w:hyperlink>
          </w:p>
        </w:tc>
        <w:tc>
          <w:tcPr>
            <w:tcW w:w="2040" w:type="dxa"/>
            <w:vAlign w:val="bottom"/>
            <w:tcBorders>
              <w:top w:val="single" w:sz="8" w:color="0000FF"/>
            </w:tcBorders>
            <w:gridSpan w:val="8"/>
          </w:tcPr>
          <w:p>
            <w:pPr>
              <w:spacing w:after="0"/>
              <w:rPr>
                <w:sz w:val="13"/>
                <w:szCs w:val="13"/>
                <w:color w:val="auto"/>
              </w:rPr>
            </w:pPr>
          </w:p>
        </w:tc>
        <w:tc>
          <w:tcPr>
            <w:tcW w:w="180" w:type="dxa"/>
            <w:vAlign w:val="bottom"/>
            <w:gridSpan w:val="4"/>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10.9</w:t>
            </w:r>
          </w:p>
        </w:tc>
        <w:tc>
          <w:tcPr>
            <w:tcW w:w="4260" w:type="dxa"/>
            <w:vAlign w:val="bottom"/>
            <w:gridSpan w:val="23"/>
          </w:tcPr>
          <w:p>
            <w:pPr>
              <w:spacing w:after="0"/>
              <w:rPr>
                <w:rFonts w:ascii="Arial" w:cs="Arial" w:eastAsia="Arial" w:hAnsi="Arial"/>
                <w:sz w:val="18"/>
                <w:szCs w:val="18"/>
                <w:color w:val="0000FF"/>
              </w:rPr>
            </w:pPr>
            <w:hyperlink r:id="rId70">
              <w:r>
                <w:rPr>
                  <w:rFonts w:ascii="Arial" w:cs="Arial" w:eastAsia="Arial" w:hAnsi="Arial"/>
                  <w:sz w:val="18"/>
                  <w:szCs w:val="18"/>
                  <w:color w:val="0000FF"/>
                </w:rPr>
                <w:t>Third Amendment to Lease by and between Huron</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12/31/2012</w:t>
            </w: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10.19</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2/21/2013</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0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Consulting Services LLC and Union Tower, LLC,</w:t>
              </w:r>
            </w:hyperlink>
          </w:p>
        </w:tc>
        <w:tc>
          <w:tcPr>
            <w:tcW w:w="1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r:id="rId70">
              <w:r>
                <w:rPr>
                  <w:rFonts w:ascii="Arial" w:cs="Arial" w:eastAsia="Arial" w:hAnsi="Arial"/>
                  <w:sz w:val="18"/>
                  <w:szCs w:val="18"/>
                  <w:color w:val="0000FF"/>
                  <w:w w:val="98"/>
                </w:rPr>
                <w:t>dated April 2, 2010.</w:t>
              </w:r>
            </w:hyperlink>
          </w:p>
        </w:tc>
        <w:tc>
          <w:tcPr>
            <w:tcW w:w="2280" w:type="dxa"/>
            <w:vAlign w:val="bottom"/>
            <w:tcBorders>
              <w:top w:val="single" w:sz="8" w:color="0000FF"/>
            </w:tcBorders>
            <w:gridSpan w:val="9"/>
          </w:tcPr>
          <w:p>
            <w:pPr>
              <w:spacing w:after="0"/>
              <w:rPr>
                <w:sz w:val="13"/>
                <w:szCs w:val="13"/>
                <w:color w:val="auto"/>
              </w:rPr>
            </w:pPr>
          </w:p>
        </w:tc>
        <w:tc>
          <w:tcPr>
            <w:tcW w:w="3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10.10</w:t>
            </w:r>
          </w:p>
        </w:tc>
        <w:tc>
          <w:tcPr>
            <w:tcW w:w="4260" w:type="dxa"/>
            <w:vAlign w:val="bottom"/>
            <w:gridSpan w:val="23"/>
          </w:tcPr>
          <w:p>
            <w:pPr>
              <w:spacing w:after="0"/>
              <w:rPr>
                <w:rFonts w:ascii="Arial" w:cs="Arial" w:eastAsia="Arial" w:hAnsi="Arial"/>
                <w:sz w:val="18"/>
                <w:szCs w:val="18"/>
                <w:color w:val="0000FF"/>
              </w:rPr>
            </w:pPr>
            <w:hyperlink r:id="rId71">
              <w:r>
                <w:rPr>
                  <w:rFonts w:ascii="Arial" w:cs="Arial" w:eastAsia="Arial" w:hAnsi="Arial"/>
                  <w:sz w:val="18"/>
                  <w:szCs w:val="18"/>
                  <w:color w:val="0000FF"/>
                </w:rPr>
                <w:t>Fourth Amendment to Lease by and between Huron</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10.1</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9"/>
              </w:rPr>
              <w:t>1/4/2013</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1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Consulting Services LLC and Union Tower, LLC,</w:t>
              </w:r>
            </w:hyperlink>
          </w:p>
        </w:tc>
        <w:tc>
          <w:tcPr>
            <w:tcW w:w="120" w:type="dxa"/>
            <w:vAlign w:val="bottom"/>
            <w:gridSpan w:val="6"/>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dated December 31, 2012.</w:t>
              </w:r>
            </w:hyperlink>
          </w:p>
        </w:tc>
        <w:tc>
          <w:tcPr>
            <w:tcW w:w="420" w:type="dxa"/>
            <w:vAlign w:val="bottom"/>
            <w:gridSpan w:val="11"/>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5280" w:type="dxa"/>
            <w:vAlign w:val="bottom"/>
            <w:gridSpan w:val="4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10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Exhibit</w:t>
            </w:r>
          </w:p>
        </w:tc>
        <w:tc>
          <w:tcPr>
            <w:tcW w:w="4280" w:type="dxa"/>
            <w:vAlign w:val="bottom"/>
            <w:gridSpan w:val="41"/>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82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9"/>
              </w:rPr>
              <w:t>Filed</w:t>
            </w:r>
          </w:p>
        </w:tc>
        <w:tc>
          <w:tcPr>
            <w:tcW w:w="9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8"/>
              </w:rPr>
              <w:t>Furnished</w:t>
            </w:r>
          </w:p>
        </w:tc>
        <w:tc>
          <w:tcPr>
            <w:tcW w:w="880" w:type="dxa"/>
            <w:vAlign w:val="bottom"/>
            <w:vMerge w:val="restart"/>
          </w:tcPr>
          <w:p>
            <w:pPr>
              <w:jc w:val="center"/>
              <w:ind w:left="230"/>
              <w:spacing w:after="0"/>
              <w:rPr>
                <w:sz w:val="20"/>
                <w:szCs w:val="20"/>
                <w:color w:val="auto"/>
              </w:rPr>
            </w:pPr>
            <w:r>
              <w:rPr>
                <w:rFonts w:ascii="Arial" w:cs="Arial" w:eastAsia="Arial" w:hAnsi="Arial"/>
                <w:sz w:val="18"/>
                <w:szCs w:val="18"/>
                <w:b w:val="1"/>
                <w:bCs w:val="1"/>
                <w:color w:val="auto"/>
                <w:w w:val="97"/>
              </w:rPr>
              <w:t>Form</w:t>
            </w:r>
          </w:p>
        </w:tc>
        <w:tc>
          <w:tcPr>
            <w:tcW w:w="140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Period</w:t>
            </w:r>
          </w:p>
        </w:tc>
        <w:tc>
          <w:tcPr>
            <w:tcW w:w="8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Exhibit</w:t>
            </w:r>
          </w:p>
        </w:tc>
        <w:tc>
          <w:tcPr>
            <w:tcW w:w="10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29"/>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4280" w:type="dxa"/>
            <w:vAlign w:val="bottom"/>
            <w:tcBorders>
              <w:bottom w:val="single" w:sz="8" w:color="auto"/>
            </w:tcBorders>
            <w:gridSpan w:val="41"/>
            <w:vMerge w:val="continue"/>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88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Ending</w:t>
            </w:r>
          </w:p>
        </w:tc>
        <w:tc>
          <w:tcPr>
            <w:tcW w:w="82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line="183" w:lineRule="exact"/>
              <w:rPr>
                <w:sz w:val="20"/>
                <w:szCs w:val="20"/>
                <w:color w:val="auto"/>
              </w:rPr>
            </w:pPr>
            <w:r>
              <w:rPr>
                <w:rFonts w:ascii="Arial" w:cs="Arial" w:eastAsia="Arial" w:hAnsi="Arial"/>
                <w:sz w:val="17"/>
                <w:szCs w:val="17"/>
                <w:color w:val="auto"/>
              </w:rPr>
              <w:t>10.11</w:t>
            </w:r>
            <w:r>
              <w:rPr>
                <w:rFonts w:ascii="Arial" w:cs="Arial" w:eastAsia="Arial" w:hAnsi="Arial"/>
                <w:sz w:val="21"/>
                <w:szCs w:val="21"/>
                <w:color w:val="auto"/>
                <w:vertAlign w:val="superscript"/>
              </w:rPr>
              <w:t>†</w:t>
            </w:r>
          </w:p>
        </w:tc>
        <w:tc>
          <w:tcPr>
            <w:tcW w:w="4280" w:type="dxa"/>
            <w:vAlign w:val="bottom"/>
            <w:gridSpan w:val="41"/>
          </w:tcPr>
          <w:p>
            <w:pPr>
              <w:spacing w:after="0" w:line="182" w:lineRule="exact"/>
              <w:rPr>
                <w:rFonts w:ascii="Arial" w:cs="Arial" w:eastAsia="Arial" w:hAnsi="Arial"/>
                <w:sz w:val="18"/>
                <w:szCs w:val="18"/>
                <w:color w:val="0000FF"/>
              </w:rPr>
            </w:pPr>
            <w:hyperlink r:id="rId73">
              <w:r>
                <w:rPr>
                  <w:rFonts w:ascii="Arial" w:cs="Arial" w:eastAsia="Arial" w:hAnsi="Arial"/>
                  <w:sz w:val="18"/>
                  <w:szCs w:val="18"/>
                  <w:color w:val="0000FF"/>
                </w:rPr>
                <w:t>Fifth Amendment to Lease by and between Huron</w:t>
              </w:r>
            </w:hyperlink>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jc w:val="center"/>
              <w:ind w:left="210"/>
              <w:spacing w:after="0" w:line="182" w:lineRule="exact"/>
              <w:rPr>
                <w:sz w:val="20"/>
                <w:szCs w:val="20"/>
                <w:color w:val="auto"/>
              </w:rPr>
            </w:pPr>
            <w:r>
              <w:rPr>
                <w:rFonts w:ascii="Arial" w:cs="Arial" w:eastAsia="Arial" w:hAnsi="Arial"/>
                <w:sz w:val="18"/>
                <w:szCs w:val="18"/>
                <w:color w:val="auto"/>
                <w:w w:val="99"/>
              </w:rPr>
              <w:t>10-K</w:t>
            </w:r>
          </w:p>
        </w:tc>
        <w:tc>
          <w:tcPr>
            <w:tcW w:w="14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12/31/2019</w:t>
            </w:r>
          </w:p>
        </w:tc>
        <w:tc>
          <w:tcPr>
            <w:tcW w:w="820" w:type="dxa"/>
            <w:vAlign w:val="bottom"/>
          </w:tcPr>
          <w:p>
            <w:pPr>
              <w:jc w:val="center"/>
              <w:spacing w:after="0" w:line="182" w:lineRule="exact"/>
              <w:rPr>
                <w:sz w:val="20"/>
                <w:szCs w:val="20"/>
                <w:color w:val="auto"/>
              </w:rPr>
            </w:pPr>
            <w:r>
              <w:rPr>
                <w:rFonts w:ascii="Arial" w:cs="Arial" w:eastAsia="Arial" w:hAnsi="Arial"/>
                <w:sz w:val="18"/>
                <w:szCs w:val="18"/>
                <w:color w:val="auto"/>
                <w:w w:val="97"/>
              </w:rPr>
              <w:t>10.13</w:t>
            </w:r>
          </w:p>
        </w:tc>
        <w:tc>
          <w:tcPr>
            <w:tcW w:w="1080" w:type="dxa"/>
            <w:vAlign w:val="bottom"/>
          </w:tcPr>
          <w:p>
            <w:pPr>
              <w:jc w:val="center"/>
              <w:spacing w:after="0" w:line="182" w:lineRule="exact"/>
              <w:rPr>
                <w:sz w:val="20"/>
                <w:szCs w:val="20"/>
                <w:color w:val="auto"/>
              </w:rPr>
            </w:pPr>
            <w:r>
              <w:rPr>
                <w:rFonts w:ascii="Arial" w:cs="Arial" w:eastAsia="Arial" w:hAnsi="Arial"/>
                <w:sz w:val="18"/>
                <w:szCs w:val="18"/>
                <w:color w:val="auto"/>
                <w:w w:val="99"/>
              </w:rPr>
              <w:t>2/26/2020</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9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Consulting Services LLC and Union Tower,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dated December 1, 2013.</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10.12</w:t>
            </w:r>
          </w:p>
        </w:tc>
        <w:tc>
          <w:tcPr>
            <w:tcW w:w="4280" w:type="dxa"/>
            <w:vAlign w:val="bottom"/>
            <w:gridSpan w:val="41"/>
          </w:tcPr>
          <w:p>
            <w:pPr>
              <w:spacing w:after="0"/>
              <w:rPr>
                <w:rFonts w:ascii="Arial" w:cs="Arial" w:eastAsia="Arial" w:hAnsi="Arial"/>
                <w:sz w:val="18"/>
                <w:szCs w:val="18"/>
                <w:color w:val="0000FF"/>
              </w:rPr>
            </w:pPr>
            <w:hyperlink r:id="rId74">
              <w:r>
                <w:rPr>
                  <w:rFonts w:ascii="Arial" w:cs="Arial" w:eastAsia="Arial" w:hAnsi="Arial"/>
                  <w:sz w:val="18"/>
                  <w:szCs w:val="18"/>
                  <w:color w:val="0000FF"/>
                </w:rPr>
                <w:t>Sixth Amendment to Lease by and between Huron</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8-K</w:t>
            </w:r>
          </w:p>
        </w:tc>
        <w:tc>
          <w:tcPr>
            <w:tcW w:w="14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10.1</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9"/>
              </w:rPr>
              <w:t>10/16/2019</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0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Consulting Services LLC and Onni Van Buren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9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74">
              <w:r>
                <w:rPr>
                  <w:rFonts w:ascii="Arial" w:cs="Arial" w:eastAsia="Arial" w:hAnsi="Arial"/>
                  <w:sz w:val="18"/>
                  <w:szCs w:val="18"/>
                  <w:color w:val="0000FF"/>
                  <w:w w:val="99"/>
                </w:rPr>
                <w:t>Chicago LLC, dated October 3, 2019.</w:t>
              </w:r>
            </w:hyperlink>
          </w:p>
        </w:tc>
        <w:tc>
          <w:tcPr>
            <w:tcW w:w="6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10.13*</w:t>
            </w:r>
          </w:p>
        </w:tc>
        <w:tc>
          <w:tcPr>
            <w:tcW w:w="3700" w:type="dxa"/>
            <w:vAlign w:val="bottom"/>
            <w:tcBorders>
              <w:bottom w:val="single" w:sz="8" w:color="0000FF"/>
            </w:tcBorders>
            <w:gridSpan w:val="19"/>
          </w:tcPr>
          <w:p>
            <w:pPr>
              <w:spacing w:after="0"/>
              <w:rPr>
                <w:rFonts w:ascii="Arial" w:cs="Arial" w:eastAsia="Arial" w:hAnsi="Arial"/>
                <w:sz w:val="18"/>
                <w:szCs w:val="18"/>
                <w:color w:val="0000FF"/>
                <w:w w:val="99"/>
              </w:rPr>
            </w:pPr>
            <w:hyperlink r:id="rId75">
              <w:r>
                <w:rPr>
                  <w:rFonts w:ascii="Arial" w:cs="Arial" w:eastAsia="Arial" w:hAnsi="Arial"/>
                  <w:sz w:val="18"/>
                  <w:szCs w:val="18"/>
                  <w:color w:val="0000FF"/>
                  <w:w w:val="99"/>
                </w:rPr>
                <w:t>Form of the Huron Consulting Group Inc. 2012</w:t>
              </w:r>
            </w:hyperlink>
          </w:p>
        </w:tc>
        <w:tc>
          <w:tcPr>
            <w:tcW w:w="58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center"/>
              <w:ind w:left="210"/>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12/31/2012</w:t>
            </w: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10.20</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2/21/2013</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40" w:type="dxa"/>
            <w:vAlign w:val="bottom"/>
            <w:tcBorders>
              <w:bottom w:val="single" w:sz="8" w:color="0000FF"/>
            </w:tcBorders>
            <w:gridSpan w:val="39"/>
          </w:tcPr>
          <w:p>
            <w:pPr>
              <w:spacing w:after="0" w:line="156"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Omnibus Incentive Plan Restricted Stock Agreement.</w:t>
              </w:r>
            </w:hyperlink>
          </w:p>
        </w:tc>
        <w:tc>
          <w:tcPr>
            <w:tcW w:w="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10.14*</w:t>
            </w:r>
          </w:p>
        </w:tc>
        <w:tc>
          <w:tcPr>
            <w:tcW w:w="3700" w:type="dxa"/>
            <w:vAlign w:val="bottom"/>
            <w:tcBorders>
              <w:bottom w:val="single" w:sz="8" w:color="0000FF"/>
            </w:tcBorders>
            <w:gridSpan w:val="19"/>
          </w:tcPr>
          <w:p>
            <w:pPr>
              <w:spacing w:after="0"/>
              <w:rPr>
                <w:rFonts w:ascii="Arial" w:cs="Arial" w:eastAsia="Arial" w:hAnsi="Arial"/>
                <w:sz w:val="18"/>
                <w:szCs w:val="18"/>
                <w:color w:val="0000FF"/>
                <w:w w:val="99"/>
              </w:rPr>
            </w:pPr>
            <w:hyperlink r:id="rId76">
              <w:r>
                <w:rPr>
                  <w:rFonts w:ascii="Arial" w:cs="Arial" w:eastAsia="Arial" w:hAnsi="Arial"/>
                  <w:sz w:val="18"/>
                  <w:szCs w:val="18"/>
                  <w:color w:val="0000FF"/>
                  <w:w w:val="99"/>
                </w:rPr>
                <w:t>Form of the Huron Consulting Group Inc. 2012</w:t>
              </w:r>
            </w:hyperlink>
          </w:p>
        </w:tc>
        <w:tc>
          <w:tcPr>
            <w:tcW w:w="58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center"/>
              <w:ind w:left="210"/>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12/31/2014</w:t>
            </w: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10.32</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2/24/2015</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80" w:type="dxa"/>
            <w:vAlign w:val="bottom"/>
            <w:gridSpan w:val="41"/>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Omnibus Incentive Plan Performance Stock Unit</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Agreement.</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10.15*</w:t>
            </w:r>
          </w:p>
        </w:tc>
        <w:tc>
          <w:tcPr>
            <w:tcW w:w="3700" w:type="dxa"/>
            <w:vAlign w:val="bottom"/>
            <w:tcBorders>
              <w:bottom w:val="single" w:sz="8" w:color="0000FF"/>
            </w:tcBorders>
            <w:gridSpan w:val="19"/>
          </w:tcPr>
          <w:p>
            <w:pPr>
              <w:spacing w:after="0"/>
              <w:rPr>
                <w:rFonts w:ascii="Arial" w:cs="Arial" w:eastAsia="Arial" w:hAnsi="Arial"/>
                <w:sz w:val="18"/>
                <w:szCs w:val="18"/>
                <w:color w:val="0000FF"/>
                <w:w w:val="99"/>
              </w:rPr>
            </w:pPr>
            <w:hyperlink r:id="rId77">
              <w:r>
                <w:rPr>
                  <w:rFonts w:ascii="Arial" w:cs="Arial" w:eastAsia="Arial" w:hAnsi="Arial"/>
                  <w:sz w:val="18"/>
                  <w:szCs w:val="18"/>
                  <w:color w:val="0000FF"/>
                  <w:w w:val="99"/>
                </w:rPr>
                <w:t>Form of the Huron Consulting Group Inc. 2012</w:t>
              </w:r>
            </w:hyperlink>
          </w:p>
        </w:tc>
        <w:tc>
          <w:tcPr>
            <w:tcW w:w="58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center"/>
              <w:ind w:left="210"/>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12/31/2014</w:t>
            </w: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10.33</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2/24/2015</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960" w:type="dxa"/>
            <w:vAlign w:val="bottom"/>
            <w:tcBorders>
              <w:bottom w:val="single" w:sz="8" w:color="0000FF"/>
            </w:tcBorders>
            <w:gridSpan w:val="25"/>
          </w:tcPr>
          <w:p>
            <w:pPr>
              <w:spacing w:after="0" w:line="156" w:lineRule="exact"/>
              <w:rPr>
                <w:rFonts w:ascii="Arial" w:cs="Arial" w:eastAsia="Arial" w:hAnsi="Arial"/>
                <w:sz w:val="18"/>
                <w:szCs w:val="18"/>
                <w:color w:val="0000FF"/>
                <w:w w:val="99"/>
              </w:rPr>
            </w:pPr>
            <w:hyperlink r:id="rId77">
              <w:r>
                <w:rPr>
                  <w:rFonts w:ascii="Arial" w:cs="Arial" w:eastAsia="Arial" w:hAnsi="Arial"/>
                  <w:sz w:val="18"/>
                  <w:szCs w:val="18"/>
                  <w:color w:val="0000FF"/>
                  <w:w w:val="99"/>
                </w:rPr>
                <w:t>Omnibus Incentive Plan Stock Option Agreement.</w:t>
              </w:r>
            </w:hyperlink>
          </w:p>
        </w:tc>
        <w:tc>
          <w:tcPr>
            <w:tcW w:w="320" w:type="dxa"/>
            <w:vAlign w:val="bottom"/>
            <w:gridSpan w:val="16"/>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10.16*</w:t>
            </w:r>
          </w:p>
        </w:tc>
        <w:tc>
          <w:tcPr>
            <w:tcW w:w="3700" w:type="dxa"/>
            <w:vAlign w:val="bottom"/>
            <w:tcBorders>
              <w:bottom w:val="single" w:sz="8" w:color="0000FF"/>
            </w:tcBorders>
            <w:gridSpan w:val="19"/>
          </w:tcPr>
          <w:p>
            <w:pPr>
              <w:spacing w:after="0"/>
              <w:rPr>
                <w:rFonts w:ascii="Arial" w:cs="Arial" w:eastAsia="Arial" w:hAnsi="Arial"/>
                <w:sz w:val="18"/>
                <w:szCs w:val="18"/>
                <w:color w:val="0000FF"/>
                <w:w w:val="99"/>
              </w:rPr>
            </w:pPr>
            <w:hyperlink r:id="rId78">
              <w:r>
                <w:rPr>
                  <w:rFonts w:ascii="Arial" w:cs="Arial" w:eastAsia="Arial" w:hAnsi="Arial"/>
                  <w:sz w:val="18"/>
                  <w:szCs w:val="18"/>
                  <w:color w:val="0000FF"/>
                  <w:w w:val="99"/>
                </w:rPr>
                <w:t>Form of the Huron Consulting Group Inc. 2012</w:t>
              </w:r>
            </w:hyperlink>
          </w:p>
        </w:tc>
        <w:tc>
          <w:tcPr>
            <w:tcW w:w="58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center"/>
              <w:ind w:left="210"/>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12/31/2014</w:t>
            </w: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10.34</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2/24/2015</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80" w:type="dxa"/>
            <w:vAlign w:val="bottom"/>
            <w:gridSpan w:val="41"/>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Omnibus Incentive Plan NEO Performance Stock</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8"/>
              </w:rPr>
            </w:pPr>
            <w:hyperlink r:id="rId78">
              <w:r>
                <w:rPr>
                  <w:rFonts w:ascii="Arial" w:cs="Arial" w:eastAsia="Arial" w:hAnsi="Arial"/>
                  <w:sz w:val="18"/>
                  <w:szCs w:val="18"/>
                  <w:color w:val="0000FF"/>
                  <w:w w:val="98"/>
                </w:rPr>
                <w:t>Unit Agreement.</w:t>
              </w:r>
            </w:hyperlink>
          </w:p>
        </w:tc>
        <w:tc>
          <w:tcPr>
            <w:tcW w:w="26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10.17</w:t>
            </w:r>
          </w:p>
        </w:tc>
        <w:tc>
          <w:tcPr>
            <w:tcW w:w="4280" w:type="dxa"/>
            <w:vAlign w:val="bottom"/>
            <w:gridSpan w:val="41"/>
          </w:tcPr>
          <w:p>
            <w:pPr>
              <w:spacing w:after="0"/>
              <w:rPr>
                <w:rFonts w:ascii="Arial" w:cs="Arial" w:eastAsia="Arial" w:hAnsi="Arial"/>
                <w:sz w:val="18"/>
                <w:szCs w:val="18"/>
                <w:color w:val="0000FF"/>
              </w:rPr>
            </w:pPr>
            <w:hyperlink r:id="rId79">
              <w:r>
                <w:rPr>
                  <w:rFonts w:ascii="Arial" w:cs="Arial" w:eastAsia="Arial" w:hAnsi="Arial"/>
                  <w:sz w:val="18"/>
                  <w:szCs w:val="18"/>
                  <w:color w:val="0000FF"/>
                </w:rPr>
                <w:t>Second Amended and Restated Credit Agreement,</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8-K</w:t>
            </w:r>
          </w:p>
        </w:tc>
        <w:tc>
          <w:tcPr>
            <w:tcW w:w="14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10.1</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9"/>
              </w:rPr>
              <w:t>4/2/2015</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0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dated as of March 31, 2015, among Huron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7"/>
              </w:rPr>
            </w:pPr>
            <w:hyperlink r:id="rId79">
              <w:r>
                <w:rPr>
                  <w:rFonts w:ascii="Arial" w:cs="Arial" w:eastAsia="Arial" w:hAnsi="Arial"/>
                  <w:sz w:val="18"/>
                  <w:szCs w:val="18"/>
                  <w:color w:val="0000FF"/>
                  <w:w w:val="97"/>
                </w:rPr>
                <w:t>Consulting Group Inc., as Borrower, certain</w:t>
              </w:r>
            </w:hyperlink>
          </w:p>
        </w:tc>
        <w:tc>
          <w:tcPr>
            <w:tcW w:w="4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80" w:type="dxa"/>
            <w:vAlign w:val="bottom"/>
            <w:tcBorders>
              <w:bottom w:val="single" w:sz="8" w:color="0000FF"/>
            </w:tcBorders>
            <w:gridSpan w:val="41"/>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subsidiaries as Guarantors, the Lenders Party Hereto</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80" w:type="dxa"/>
            <w:vAlign w:val="bottom"/>
            <w:gridSpan w:val="41"/>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and Bank of America, N.A., as Administrative Agent</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1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and Collateral Agent, JPMorgan Chase Bank, N.A.,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9"/>
              </w:rPr>
            </w:pPr>
            <w:hyperlink r:id="rId79">
              <w:r>
                <w:rPr>
                  <w:rFonts w:ascii="Arial" w:cs="Arial" w:eastAsia="Arial" w:hAnsi="Arial"/>
                  <w:sz w:val="18"/>
                  <w:szCs w:val="18"/>
                  <w:color w:val="0000FF"/>
                  <w:w w:val="99"/>
                </w:rPr>
                <w:t>as Syndication Agent, PNC Bank, Bank of Montreal</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100" w:type="dxa"/>
            <w:vAlign w:val="bottom"/>
            <w:gridSpan w:val="32"/>
          </w:tcPr>
          <w:p>
            <w:pPr>
              <w:spacing w:after="0" w:line="154" w:lineRule="exact"/>
              <w:rPr>
                <w:rFonts w:ascii="Arial" w:cs="Arial" w:eastAsia="Arial" w:hAnsi="Arial"/>
                <w:sz w:val="17"/>
                <w:szCs w:val="17"/>
                <w:color w:val="0000FF"/>
              </w:rPr>
            </w:pPr>
            <w:hyperlink r:id="rId79">
              <w:r>
                <w:rPr>
                  <w:rFonts w:ascii="Arial" w:cs="Arial" w:eastAsia="Arial" w:hAnsi="Arial"/>
                  <w:sz w:val="17"/>
                  <w:szCs w:val="17"/>
                  <w:color w:val="0000FF"/>
                </w:rPr>
                <w:t>and Key Bank National Association as Co-</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380" w:type="dxa"/>
            <w:vAlign w:val="bottom"/>
            <w:tcBorders>
              <w:top w:val="single" w:sz="8" w:color="0000FF"/>
            </w:tcBorders>
            <w:gridSpan w:val="11"/>
          </w:tcPr>
          <w:p>
            <w:pPr>
              <w:spacing w:after="0" w:line="157" w:lineRule="exact"/>
              <w:rPr>
                <w:rFonts w:ascii="Arial" w:cs="Arial" w:eastAsia="Arial" w:hAnsi="Arial"/>
                <w:sz w:val="18"/>
                <w:szCs w:val="18"/>
                <w:color w:val="0000FF"/>
              </w:rPr>
            </w:pPr>
            <w:hyperlink r:id="rId79">
              <w:r>
                <w:rPr>
                  <w:rFonts w:ascii="Arial" w:cs="Arial" w:eastAsia="Arial" w:hAnsi="Arial"/>
                  <w:sz w:val="18"/>
                  <w:szCs w:val="18"/>
                  <w:color w:val="0000FF"/>
                </w:rPr>
                <w:t>Documentation Agents, and Merrill Lynch,</w:t>
              </w:r>
            </w:hyperlink>
          </w:p>
        </w:tc>
        <w:tc>
          <w:tcPr>
            <w:tcW w:w="900" w:type="dxa"/>
            <w:vAlign w:val="bottom"/>
            <w:gridSpan w:val="30"/>
          </w:tcPr>
          <w:p>
            <w:pPr>
              <w:spacing w:after="0" w:line="157" w:lineRule="exact"/>
              <w:rPr>
                <w:rFonts w:ascii="Arial" w:cs="Arial" w:eastAsia="Arial" w:hAnsi="Arial"/>
                <w:sz w:val="18"/>
                <w:szCs w:val="18"/>
                <w:color w:val="0000FF"/>
              </w:rPr>
            </w:pPr>
            <w:hyperlink r:id="rId79">
              <w:r>
                <w:rPr>
                  <w:rFonts w:ascii="Arial" w:cs="Arial" w:eastAsia="Arial" w:hAnsi="Arial"/>
                  <w:sz w:val="18"/>
                  <w:szCs w:val="18"/>
                  <w:color w:val="0000FF"/>
                </w:rPr>
                <w:t>Pierce,</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940" w:type="dxa"/>
            <w:vAlign w:val="bottom"/>
            <w:tcBorders>
              <w:top w:val="single" w:sz="8" w:color="0000FF"/>
            </w:tcBorders>
            <w:gridSpan w:val="24"/>
          </w:tcPr>
          <w:p>
            <w:pPr>
              <w:spacing w:after="0" w:line="154" w:lineRule="exact"/>
              <w:rPr>
                <w:rFonts w:ascii="Arial" w:cs="Arial" w:eastAsia="Arial" w:hAnsi="Arial"/>
                <w:sz w:val="17"/>
                <w:szCs w:val="17"/>
                <w:color w:val="0000FF"/>
              </w:rPr>
            </w:pPr>
            <w:hyperlink r:id="rId79">
              <w:r>
                <w:rPr>
                  <w:rFonts w:ascii="Arial" w:cs="Arial" w:eastAsia="Arial" w:hAnsi="Arial"/>
                  <w:sz w:val="17"/>
                  <w:szCs w:val="17"/>
                  <w:color w:val="0000FF"/>
                </w:rPr>
                <w:t>Fenner &amp; Smith Incorporated and J.P. Morgan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660" w:type="dxa"/>
            <w:vAlign w:val="bottom"/>
            <w:tcBorders>
              <w:top w:val="single" w:sz="8" w:color="0000FF"/>
            </w:tcBorders>
            <w:gridSpan w:val="17"/>
          </w:tcPr>
          <w:p>
            <w:pPr>
              <w:spacing w:after="0" w:line="157" w:lineRule="exact"/>
              <w:rPr>
                <w:rFonts w:ascii="Arial" w:cs="Arial" w:eastAsia="Arial" w:hAnsi="Arial"/>
                <w:sz w:val="18"/>
                <w:szCs w:val="18"/>
                <w:color w:val="0000FF"/>
              </w:rPr>
            </w:pPr>
            <w:hyperlink r:id="rId79">
              <w:r>
                <w:rPr>
                  <w:rFonts w:ascii="Arial" w:cs="Arial" w:eastAsia="Arial" w:hAnsi="Arial"/>
                  <w:sz w:val="18"/>
                  <w:szCs w:val="18"/>
                  <w:color w:val="0000FF"/>
                </w:rPr>
                <w:t>Securities LLC, as Joint Lead Arrangers and</w:t>
              </w:r>
            </w:hyperlink>
          </w:p>
        </w:tc>
        <w:tc>
          <w:tcPr>
            <w:tcW w:w="620" w:type="dxa"/>
            <w:vAlign w:val="bottom"/>
            <w:gridSpan w:val="24"/>
          </w:tcPr>
          <w:p>
            <w:pPr>
              <w:spacing w:after="0" w:line="157" w:lineRule="exact"/>
              <w:rPr>
                <w:rFonts w:ascii="Arial" w:cs="Arial" w:eastAsia="Arial" w:hAnsi="Arial"/>
                <w:sz w:val="18"/>
                <w:szCs w:val="18"/>
                <w:color w:val="0000FF"/>
              </w:rPr>
            </w:pPr>
            <w:hyperlink r:id="rId79">
              <w:r>
                <w:rPr>
                  <w:rFonts w:ascii="Arial" w:cs="Arial" w:eastAsia="Arial" w:hAnsi="Arial"/>
                  <w:sz w:val="18"/>
                  <w:szCs w:val="18"/>
                  <w:color w:val="0000FF"/>
                </w:rPr>
                <w:t>Joint</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9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Book Managers</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10.18</w:t>
            </w:r>
          </w:p>
        </w:tc>
        <w:tc>
          <w:tcPr>
            <w:tcW w:w="4280" w:type="dxa"/>
            <w:vAlign w:val="bottom"/>
            <w:gridSpan w:val="41"/>
          </w:tcPr>
          <w:p>
            <w:pPr>
              <w:spacing w:after="0"/>
              <w:rPr>
                <w:rFonts w:ascii="Arial" w:cs="Arial" w:eastAsia="Arial" w:hAnsi="Arial"/>
                <w:sz w:val="18"/>
                <w:szCs w:val="18"/>
                <w:color w:val="0000FF"/>
              </w:rPr>
            </w:pPr>
            <w:hyperlink r:id="rId80">
              <w:r>
                <w:rPr>
                  <w:rFonts w:ascii="Arial" w:cs="Arial" w:eastAsia="Arial" w:hAnsi="Arial"/>
                  <w:sz w:val="18"/>
                  <w:szCs w:val="18"/>
                  <w:color w:val="0000FF"/>
                </w:rPr>
                <w:t>Second Amended and Restated Security Agreement,</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8-K</w:t>
            </w:r>
          </w:p>
        </w:tc>
        <w:tc>
          <w:tcPr>
            <w:tcW w:w="14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10.2</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9"/>
              </w:rPr>
              <w:t>4/2/2015</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80">
              <w:r>
                <w:rPr>
                  <w:rFonts w:ascii="Arial" w:cs="Arial" w:eastAsia="Arial" w:hAnsi="Arial"/>
                  <w:sz w:val="18"/>
                  <w:szCs w:val="18"/>
                  <w:color w:val="0000FF"/>
                  <w:w w:val="99"/>
                </w:rPr>
                <w:t>dated as of March 31, 2015.</w:t>
              </w:r>
            </w:hyperlink>
          </w:p>
        </w:tc>
        <w:tc>
          <w:tcPr>
            <w:tcW w:w="1980" w:type="dxa"/>
            <w:vAlign w:val="bottom"/>
            <w:tcBorders>
              <w:top w:val="single" w:sz="8" w:color="0000FF"/>
            </w:tcBorders>
            <w:gridSpan w:val="3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10.19</w:t>
            </w:r>
          </w:p>
        </w:tc>
        <w:tc>
          <w:tcPr>
            <w:tcW w:w="4280" w:type="dxa"/>
            <w:vAlign w:val="bottom"/>
            <w:gridSpan w:val="41"/>
          </w:tcPr>
          <w:p>
            <w:pPr>
              <w:spacing w:after="0"/>
              <w:rPr>
                <w:rFonts w:ascii="Arial" w:cs="Arial" w:eastAsia="Arial" w:hAnsi="Arial"/>
                <w:sz w:val="18"/>
                <w:szCs w:val="18"/>
                <w:color w:val="0000FF"/>
              </w:rPr>
            </w:pPr>
            <w:hyperlink r:id="rId81">
              <w:r>
                <w:rPr>
                  <w:rFonts w:ascii="Arial" w:cs="Arial" w:eastAsia="Arial" w:hAnsi="Arial"/>
                  <w:sz w:val="18"/>
                  <w:szCs w:val="18"/>
                  <w:color w:val="0000FF"/>
                </w:rPr>
                <w:t>Second Amended and Restated Pledge Agreement,</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8-K</w:t>
            </w:r>
          </w:p>
        </w:tc>
        <w:tc>
          <w:tcPr>
            <w:tcW w:w="14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10.3</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9"/>
              </w:rPr>
              <w:t>4/2/2015</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dated as of March 31, 2015.</w:t>
              </w:r>
            </w:hyperlink>
          </w:p>
        </w:tc>
        <w:tc>
          <w:tcPr>
            <w:tcW w:w="19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10.20*</w:t>
            </w:r>
          </w:p>
        </w:tc>
        <w:tc>
          <w:tcPr>
            <w:tcW w:w="4280" w:type="dxa"/>
            <w:vAlign w:val="bottom"/>
            <w:gridSpan w:val="41"/>
          </w:tcPr>
          <w:p>
            <w:pPr>
              <w:spacing w:after="0"/>
              <w:rPr>
                <w:rFonts w:ascii="Arial" w:cs="Arial" w:eastAsia="Arial" w:hAnsi="Arial"/>
                <w:sz w:val="18"/>
                <w:szCs w:val="18"/>
                <w:color w:val="0000FF"/>
              </w:rPr>
            </w:pPr>
            <w:hyperlink r:id="rId82">
              <w:r>
                <w:rPr>
                  <w:rFonts w:ascii="Arial" w:cs="Arial" w:eastAsia="Arial" w:hAnsi="Arial"/>
                  <w:sz w:val="18"/>
                  <w:szCs w:val="18"/>
                  <w:color w:val="0000FF"/>
                </w:rPr>
                <w:t>Huron Consulting Group Inc. Stock Ownership</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center"/>
              <w:ind w:left="210"/>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99"/>
              </w:rPr>
              <w:t>12/31/2020</w:t>
            </w: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10.23</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2/23/2021</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6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Participation Program, as amended effective</w:t>
              </w:r>
            </w:hyperlink>
          </w:p>
        </w:tc>
        <w:tc>
          <w:tcPr>
            <w:tcW w:w="100" w:type="dxa"/>
            <w:vAlign w:val="bottom"/>
            <w:gridSpan w:val="2"/>
          </w:tcPr>
          <w:p>
            <w:pPr>
              <w:spacing w:after="0"/>
              <w:rPr>
                <w:sz w:val="13"/>
                <w:szCs w:val="13"/>
                <w:color w:val="auto"/>
              </w:rPr>
            </w:pPr>
          </w:p>
        </w:tc>
        <w:tc>
          <w:tcPr>
            <w:tcW w:w="2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December 1, 2020.</w:t>
              </w:r>
            </w:hyperlink>
          </w:p>
        </w:tc>
        <w:tc>
          <w:tcPr>
            <w:tcW w:w="2000" w:type="dxa"/>
            <w:vAlign w:val="bottom"/>
            <w:tcBorders>
              <w:top w:val="single" w:sz="8" w:color="0000FF"/>
            </w:tcBorders>
            <w:gridSpan w:val="9"/>
          </w:tcPr>
          <w:p>
            <w:pPr>
              <w:spacing w:after="0"/>
              <w:rPr>
                <w:sz w:val="13"/>
                <w:szCs w:val="13"/>
                <w:color w:val="auto"/>
              </w:rPr>
            </w:pPr>
          </w:p>
        </w:tc>
        <w:tc>
          <w:tcPr>
            <w:tcW w:w="240" w:type="dxa"/>
            <w:vAlign w:val="bottom"/>
            <w:gridSpan w:val="5"/>
          </w:tcPr>
          <w:p>
            <w:pPr>
              <w:spacing w:after="0"/>
              <w:rPr>
                <w:sz w:val="13"/>
                <w:szCs w:val="13"/>
                <w:color w:val="auto"/>
              </w:rPr>
            </w:pPr>
          </w:p>
        </w:tc>
        <w:tc>
          <w:tcPr>
            <w:tcW w:w="2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10.21*</w:t>
            </w:r>
          </w:p>
        </w:tc>
        <w:tc>
          <w:tcPr>
            <w:tcW w:w="3500" w:type="dxa"/>
            <w:vAlign w:val="bottom"/>
            <w:tcBorders>
              <w:bottom w:val="single" w:sz="8" w:color="0000FF"/>
            </w:tcBorders>
            <w:gridSpan w:val="14"/>
          </w:tcPr>
          <w:p>
            <w:pPr>
              <w:spacing w:after="0"/>
              <w:rPr>
                <w:rFonts w:ascii="Arial" w:cs="Arial" w:eastAsia="Arial" w:hAnsi="Arial"/>
                <w:sz w:val="18"/>
                <w:szCs w:val="18"/>
                <w:color w:val="0000FF"/>
                <w:w w:val="99"/>
              </w:rPr>
            </w:pPr>
            <w:hyperlink r:id="rId83">
              <w:r>
                <w:rPr>
                  <w:rFonts w:ascii="Arial" w:cs="Arial" w:eastAsia="Arial" w:hAnsi="Arial"/>
                  <w:sz w:val="18"/>
                  <w:szCs w:val="18"/>
                  <w:color w:val="0000FF"/>
                  <w:w w:val="99"/>
                </w:rPr>
                <w:t>Huron Consulting Group Inc. 2012 Omnibus</w:t>
              </w:r>
            </w:hyperlink>
          </w:p>
        </w:tc>
        <w:tc>
          <w:tcPr>
            <w:tcW w:w="780" w:type="dxa"/>
            <w:vAlign w:val="bottom"/>
            <w:gridSpan w:val="27"/>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center"/>
              <w:ind w:left="210"/>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99"/>
              </w:rPr>
              <w:t>12/31/2019</w:t>
            </w: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10.34</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2/26/2020</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80" w:type="dxa"/>
            <w:vAlign w:val="bottom"/>
            <w:gridSpan w:val="41"/>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Incentive Plan, as amended and restated effective</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8"/>
              </w:rPr>
            </w:pPr>
            <w:hyperlink r:id="rId83">
              <w:r>
                <w:rPr>
                  <w:rFonts w:ascii="Arial" w:cs="Arial" w:eastAsia="Arial" w:hAnsi="Arial"/>
                  <w:sz w:val="18"/>
                  <w:szCs w:val="18"/>
                  <w:color w:val="0000FF"/>
                  <w:w w:val="98"/>
                </w:rPr>
                <w:t>February 13, 2020.</w:t>
              </w:r>
            </w:hyperlink>
          </w:p>
        </w:tc>
        <w:tc>
          <w:tcPr>
            <w:tcW w:w="24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10.22</w:t>
            </w:r>
          </w:p>
        </w:tc>
        <w:tc>
          <w:tcPr>
            <w:tcW w:w="4280" w:type="dxa"/>
            <w:vAlign w:val="bottom"/>
            <w:gridSpan w:val="41"/>
          </w:tcPr>
          <w:p>
            <w:pPr>
              <w:spacing w:after="0"/>
              <w:rPr>
                <w:rFonts w:ascii="Arial" w:cs="Arial" w:eastAsia="Arial" w:hAnsi="Arial"/>
                <w:sz w:val="18"/>
                <w:szCs w:val="18"/>
                <w:color w:val="0000FF"/>
              </w:rPr>
            </w:pPr>
            <w:hyperlink r:id="rId84">
              <w:r>
                <w:rPr>
                  <w:rFonts w:ascii="Arial" w:cs="Arial" w:eastAsia="Arial" w:hAnsi="Arial"/>
                  <w:sz w:val="18"/>
                  <w:szCs w:val="18"/>
                  <w:color w:val="0000FF"/>
                </w:rPr>
                <w:t>Amendment No. 1 of the Second Amended and</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8-K</w:t>
            </w:r>
          </w:p>
        </w:tc>
        <w:tc>
          <w:tcPr>
            <w:tcW w:w="14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10.1</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9"/>
              </w:rPr>
              <w:t>3/6/2017</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780" w:type="dxa"/>
            <w:vAlign w:val="bottom"/>
            <w:tcBorders>
              <w:top w:val="single" w:sz="8" w:color="0000FF"/>
            </w:tcBorders>
            <w:gridSpan w:val="20"/>
          </w:tcPr>
          <w:p>
            <w:pPr>
              <w:spacing w:after="0" w:line="157" w:lineRule="exact"/>
              <w:rPr>
                <w:rFonts w:ascii="Arial" w:cs="Arial" w:eastAsia="Arial" w:hAnsi="Arial"/>
                <w:sz w:val="18"/>
                <w:szCs w:val="18"/>
                <w:color w:val="0000FF"/>
                <w:w w:val="95"/>
              </w:rPr>
            </w:pPr>
            <w:hyperlink r:id="rId84">
              <w:r>
                <w:rPr>
                  <w:rFonts w:ascii="Arial" w:cs="Arial" w:eastAsia="Arial" w:hAnsi="Arial"/>
                  <w:sz w:val="18"/>
                  <w:szCs w:val="18"/>
                  <w:color w:val="0000FF"/>
                  <w:w w:val="95"/>
                </w:rPr>
                <w:t>Restated Credit Agreement, dated as of February</w:t>
              </w:r>
            </w:hyperlink>
          </w:p>
        </w:tc>
        <w:tc>
          <w:tcPr>
            <w:tcW w:w="500" w:type="dxa"/>
            <w:vAlign w:val="bottom"/>
            <w:gridSpan w:val="21"/>
          </w:tcPr>
          <w:p>
            <w:pPr>
              <w:jc w:val="right"/>
              <w:ind w:right="40"/>
              <w:spacing w:after="0" w:line="157" w:lineRule="exact"/>
              <w:rPr>
                <w:rFonts w:ascii="Arial" w:cs="Arial" w:eastAsia="Arial" w:hAnsi="Arial"/>
                <w:sz w:val="18"/>
                <w:szCs w:val="18"/>
                <w:color w:val="0000FF"/>
              </w:rPr>
            </w:pPr>
            <w:hyperlink r:id="rId84">
              <w:r>
                <w:rPr>
                  <w:rFonts w:ascii="Arial" w:cs="Arial" w:eastAsia="Arial" w:hAnsi="Arial"/>
                  <w:sz w:val="18"/>
                  <w:szCs w:val="18"/>
                  <w:color w:val="0000FF"/>
                </w:rPr>
                <w:t>28,</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2017, by and among Huron Consulting Group Inc.,</w:t>
              </w:r>
            </w:hyperlink>
          </w:p>
        </w:tc>
        <w:tc>
          <w:tcPr>
            <w:tcW w:w="2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80" w:type="dxa"/>
            <w:vAlign w:val="bottom"/>
            <w:gridSpan w:val="41"/>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as Borrower, certain subsidiaries, as Guarantors, and</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4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Bank of America, N.A., as Administrative Agent for</w:t>
              </w:r>
            </w:hyperlink>
          </w:p>
        </w:tc>
        <w:tc>
          <w:tcPr>
            <w:tcW w:w="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and on behalf of the Lenders.</w:t>
              </w:r>
            </w:hyperlink>
          </w:p>
        </w:tc>
        <w:tc>
          <w:tcPr>
            <w:tcW w:w="1680" w:type="dxa"/>
            <w:vAlign w:val="bottom"/>
            <w:tcBorders>
              <w:top w:val="single" w:sz="8" w:color="0000FF"/>
            </w:tcBorders>
            <w:gridSpan w:val="19"/>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10.23</w:t>
            </w:r>
          </w:p>
        </w:tc>
        <w:tc>
          <w:tcPr>
            <w:tcW w:w="4280" w:type="dxa"/>
            <w:vAlign w:val="bottom"/>
            <w:gridSpan w:val="41"/>
          </w:tcPr>
          <w:p>
            <w:pPr>
              <w:spacing w:after="0"/>
              <w:rPr>
                <w:rFonts w:ascii="Arial" w:cs="Arial" w:eastAsia="Arial" w:hAnsi="Arial"/>
                <w:sz w:val="18"/>
                <w:szCs w:val="18"/>
                <w:color w:val="0000FF"/>
              </w:rPr>
            </w:pPr>
            <w:hyperlink r:id="rId85">
              <w:r>
                <w:rPr>
                  <w:rFonts w:ascii="Arial" w:cs="Arial" w:eastAsia="Arial" w:hAnsi="Arial"/>
                  <w:sz w:val="18"/>
                  <w:szCs w:val="18"/>
                  <w:color w:val="0000FF"/>
                </w:rPr>
                <w:t>Amendment No. 2 of the Second Amended and</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10-Q</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99"/>
              </w:rPr>
              <w:t>9/30/2017</w:t>
            </w:r>
          </w:p>
        </w:tc>
        <w:tc>
          <w:tcPr>
            <w:tcW w:w="820" w:type="dxa"/>
            <w:vAlign w:val="bottom"/>
          </w:tcPr>
          <w:p>
            <w:pPr>
              <w:jc w:val="center"/>
              <w:spacing w:after="0"/>
              <w:rPr>
                <w:sz w:val="20"/>
                <w:szCs w:val="20"/>
                <w:color w:val="auto"/>
              </w:rPr>
            </w:pPr>
            <w:r>
              <w:rPr>
                <w:rFonts w:ascii="Arial" w:cs="Arial" w:eastAsia="Arial" w:hAnsi="Arial"/>
                <w:sz w:val="18"/>
                <w:szCs w:val="18"/>
                <w:color w:val="auto"/>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11/1/2017</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780" w:type="dxa"/>
            <w:vAlign w:val="bottom"/>
            <w:tcBorders>
              <w:top w:val="single" w:sz="8" w:color="0000FF"/>
            </w:tcBorders>
            <w:gridSpan w:val="20"/>
          </w:tcPr>
          <w:p>
            <w:pPr>
              <w:spacing w:after="0" w:line="157" w:lineRule="exact"/>
              <w:rPr>
                <w:rFonts w:ascii="Arial" w:cs="Arial" w:eastAsia="Arial" w:hAnsi="Arial"/>
                <w:sz w:val="18"/>
                <w:szCs w:val="18"/>
                <w:color w:val="0000FF"/>
                <w:w w:val="97"/>
              </w:rPr>
            </w:pPr>
            <w:hyperlink r:id="rId85">
              <w:r>
                <w:rPr>
                  <w:rFonts w:ascii="Arial" w:cs="Arial" w:eastAsia="Arial" w:hAnsi="Arial"/>
                  <w:sz w:val="18"/>
                  <w:szCs w:val="18"/>
                  <w:color w:val="0000FF"/>
                  <w:w w:val="97"/>
                </w:rPr>
                <w:t>Restated Credit Agreement, dated as of October</w:t>
              </w:r>
            </w:hyperlink>
          </w:p>
        </w:tc>
        <w:tc>
          <w:tcPr>
            <w:tcW w:w="420" w:type="dxa"/>
            <w:vAlign w:val="bottom"/>
            <w:gridSpan w:val="17"/>
          </w:tcPr>
          <w:p>
            <w:pPr>
              <w:jc w:val="right"/>
              <w:ind w:right="40"/>
              <w:spacing w:after="0" w:line="157" w:lineRule="exact"/>
              <w:rPr>
                <w:rFonts w:ascii="Arial" w:cs="Arial" w:eastAsia="Arial" w:hAnsi="Arial"/>
                <w:sz w:val="18"/>
                <w:szCs w:val="18"/>
                <w:color w:val="0000FF"/>
              </w:rPr>
            </w:pPr>
            <w:hyperlink r:id="rId85">
              <w:r>
                <w:rPr>
                  <w:rFonts w:ascii="Arial" w:cs="Arial" w:eastAsia="Arial" w:hAnsi="Arial"/>
                  <w:sz w:val="18"/>
                  <w:szCs w:val="18"/>
                  <w:color w:val="0000FF"/>
                </w:rPr>
                <w:t>24,</w:t>
              </w:r>
            </w:hyperlink>
          </w:p>
        </w:tc>
        <w:tc>
          <w:tcPr>
            <w:tcW w:w="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2017, by and among Huron Consulting Group Inc.,</w:t>
              </w:r>
            </w:hyperlink>
          </w:p>
        </w:tc>
        <w:tc>
          <w:tcPr>
            <w:tcW w:w="1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80" w:type="dxa"/>
            <w:vAlign w:val="bottom"/>
            <w:gridSpan w:val="41"/>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as Borrower, certain subsidiaries, as Guarantors, and</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4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Bank of America, N.A., as Administrative Agent for</w:t>
              </w:r>
            </w:hyperlink>
          </w:p>
        </w:tc>
        <w:tc>
          <w:tcPr>
            <w:tcW w:w="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and on behalf of the Lenders.</w:t>
              </w:r>
            </w:hyperlink>
          </w:p>
        </w:tc>
        <w:tc>
          <w:tcPr>
            <w:tcW w:w="1680" w:type="dxa"/>
            <w:vAlign w:val="bottom"/>
            <w:tcBorders>
              <w:top w:val="single" w:sz="8" w:color="0000FF"/>
            </w:tcBorders>
            <w:gridSpan w:val="19"/>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10.24</w:t>
            </w:r>
          </w:p>
        </w:tc>
        <w:tc>
          <w:tcPr>
            <w:tcW w:w="4280" w:type="dxa"/>
            <w:vAlign w:val="bottom"/>
            <w:gridSpan w:val="41"/>
          </w:tcPr>
          <w:p>
            <w:pPr>
              <w:spacing w:after="0"/>
              <w:rPr>
                <w:rFonts w:ascii="Arial" w:cs="Arial" w:eastAsia="Arial" w:hAnsi="Arial"/>
                <w:sz w:val="18"/>
                <w:szCs w:val="18"/>
                <w:color w:val="0000FF"/>
              </w:rPr>
            </w:pPr>
            <w:hyperlink r:id="rId86">
              <w:r>
                <w:rPr>
                  <w:rFonts w:ascii="Arial" w:cs="Arial" w:eastAsia="Arial" w:hAnsi="Arial"/>
                  <w:sz w:val="18"/>
                  <w:szCs w:val="18"/>
                  <w:color w:val="0000FF"/>
                </w:rPr>
                <w:t>Amendment No. 3 of the Credit Agreement, dated as</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8-K</w:t>
            </w:r>
          </w:p>
        </w:tc>
        <w:tc>
          <w:tcPr>
            <w:tcW w:w="14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3/29/2018</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0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of March 23, 2018, by and among Huron Consulting</w:t>
              </w:r>
            </w:hyperlink>
          </w:p>
        </w:tc>
        <w:tc>
          <w:tcPr>
            <w:tcW w:w="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140" w:type="dxa"/>
            <w:vAlign w:val="bottom"/>
            <w:tcBorders>
              <w:top w:val="single" w:sz="8" w:color="0000FF"/>
            </w:tcBorders>
            <w:gridSpan w:val="34"/>
          </w:tcPr>
          <w:p>
            <w:pPr>
              <w:spacing w:after="0" w:line="154" w:lineRule="exact"/>
              <w:rPr>
                <w:rFonts w:ascii="Arial" w:cs="Arial" w:eastAsia="Arial" w:hAnsi="Arial"/>
                <w:sz w:val="17"/>
                <w:szCs w:val="17"/>
                <w:u w:val="single" w:color="auto"/>
                <w:color w:val="0000FF"/>
              </w:rPr>
            </w:pPr>
            <w:hyperlink r:id="rId86">
              <w:r>
                <w:rPr>
                  <w:rFonts w:ascii="Arial" w:cs="Arial" w:eastAsia="Arial" w:hAnsi="Arial"/>
                  <w:sz w:val="17"/>
                  <w:szCs w:val="17"/>
                  <w:u w:val="single" w:color="auto"/>
                  <w:color w:val="0000FF"/>
                </w:rPr>
                <w:t>Group Inc., as Borrower, certain subsidiaries, as</w:t>
              </w:r>
            </w:hyperlink>
          </w:p>
        </w:tc>
        <w:tc>
          <w:tcPr>
            <w:tcW w:w="140" w:type="dxa"/>
            <w:vAlign w:val="bottom"/>
            <w:gridSpan w:val="7"/>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000"/>
        <w:spacing w:after="0" w:line="203" w:lineRule="auto"/>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Guarantors, and Bank of America, N.A., as</w:t>
        </w:r>
      </w:hyperlink>
    </w:p>
    <w:p>
      <w:pPr>
        <w:ind w:left="1000"/>
        <w:spacing w:after="0" w:line="203" w:lineRule="auto"/>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Administrative Agent for and on behalf of the</w:t>
        </w:r>
      </w:hyperlink>
    </w:p>
    <w:p>
      <w:pPr>
        <w:spacing w:after="0" w:line="1" w:lineRule="exact"/>
        <w:rPr>
          <w:sz w:val="20"/>
          <w:szCs w:val="20"/>
          <w:color w:val="auto"/>
        </w:rPr>
      </w:pPr>
    </w:p>
    <w:p>
      <w:pPr>
        <w:ind w:left="1000"/>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Lenders.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5280" w:type="dxa"/>
            <w:vAlign w:val="bottom"/>
            <w:gridSpan w:val="25"/>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10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80" w:type="dxa"/>
            <w:vAlign w:val="bottom"/>
            <w:tcBorders>
              <w:bottom w:val="single" w:sz="8" w:color="auto"/>
            </w:tcBorders>
            <w:gridSpan w:val="4"/>
          </w:tcPr>
          <w:p>
            <w:pPr>
              <w:ind w:left="96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Exhibit</w:t>
            </w:r>
          </w:p>
        </w:tc>
        <w:tc>
          <w:tcPr>
            <w:tcW w:w="428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82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9"/>
              </w:rPr>
              <w:t>Filed</w:t>
            </w:r>
          </w:p>
        </w:tc>
        <w:tc>
          <w:tcPr>
            <w:tcW w:w="9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8"/>
              </w:rPr>
              <w:t>Furnished</w:t>
            </w: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Form</w:t>
            </w:r>
          </w:p>
        </w:tc>
        <w:tc>
          <w:tcPr>
            <w:tcW w:w="104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9"/>
              </w:rPr>
              <w:t>Period</w:t>
            </w: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0" w:type="dxa"/>
            <w:vAlign w:val="bottom"/>
          </w:tcPr>
          <w:p>
            <w:pPr>
              <w:spacing w:after="0"/>
              <w:rPr>
                <w:sz w:val="1"/>
                <w:szCs w:val="1"/>
                <w:color w:val="auto"/>
              </w:rPr>
            </w:pPr>
          </w:p>
        </w:tc>
      </w:tr>
      <w:tr>
        <w:trPr>
          <w:trHeight w:val="229"/>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4280" w:type="dxa"/>
            <w:vAlign w:val="bottom"/>
            <w:tcBorders>
              <w:bottom w:val="single" w:sz="8" w:color="auto"/>
            </w:tcBorders>
            <w:gridSpan w:val="24"/>
            <w:vMerge w:val="continue"/>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1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Ending</w:t>
            </w:r>
          </w:p>
        </w:tc>
        <w:tc>
          <w:tcPr>
            <w:tcW w:w="102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000" w:type="dxa"/>
            <w:vAlign w:val="bottom"/>
          </w:tcPr>
          <w:p>
            <w:pPr>
              <w:ind w:left="20"/>
              <w:spacing w:after="0" w:line="182" w:lineRule="exact"/>
              <w:rPr>
                <w:sz w:val="20"/>
                <w:szCs w:val="20"/>
                <w:color w:val="auto"/>
              </w:rPr>
            </w:pPr>
            <w:r>
              <w:rPr>
                <w:rFonts w:ascii="Arial" w:cs="Arial" w:eastAsia="Arial" w:hAnsi="Arial"/>
                <w:sz w:val="18"/>
                <w:szCs w:val="18"/>
                <w:color w:val="auto"/>
              </w:rPr>
              <w:t>10.25</w:t>
            </w:r>
          </w:p>
        </w:tc>
        <w:tc>
          <w:tcPr>
            <w:tcW w:w="4280" w:type="dxa"/>
            <w:vAlign w:val="bottom"/>
            <w:gridSpan w:val="24"/>
          </w:tcPr>
          <w:p>
            <w:pPr>
              <w:spacing w:after="0" w:line="182" w:lineRule="exact"/>
              <w:rPr>
                <w:rFonts w:ascii="Arial" w:cs="Arial" w:eastAsia="Arial" w:hAnsi="Arial"/>
                <w:sz w:val="18"/>
                <w:szCs w:val="18"/>
                <w:color w:val="0000FF"/>
              </w:rPr>
            </w:pPr>
            <w:hyperlink r:id="rId88">
              <w:r>
                <w:rPr>
                  <w:rFonts w:ascii="Arial" w:cs="Arial" w:eastAsia="Arial" w:hAnsi="Arial"/>
                  <w:sz w:val="18"/>
                  <w:szCs w:val="18"/>
                  <w:color w:val="0000FF"/>
                </w:rPr>
                <w:t>Amendment No. 4 of the Credit Agreement, the</w:t>
              </w:r>
            </w:hyperlink>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rPr>
              <w:t>10.1</w:t>
            </w:r>
          </w:p>
        </w:tc>
        <w:tc>
          <w:tcPr>
            <w:tcW w:w="1000" w:type="dxa"/>
            <w:vAlign w:val="bottom"/>
          </w:tcPr>
          <w:p>
            <w:pPr>
              <w:jc w:val="center"/>
              <w:spacing w:after="0" w:line="182" w:lineRule="exact"/>
              <w:rPr>
                <w:sz w:val="20"/>
                <w:szCs w:val="20"/>
                <w:color w:val="auto"/>
              </w:rPr>
            </w:pPr>
            <w:r>
              <w:rPr>
                <w:rFonts w:ascii="Arial" w:cs="Arial" w:eastAsia="Arial" w:hAnsi="Arial"/>
                <w:sz w:val="18"/>
                <w:szCs w:val="18"/>
                <w:color w:val="auto"/>
                <w:w w:val="99"/>
              </w:rPr>
              <w:t>10/3/2019</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7"/>
              </w:rPr>
            </w:pPr>
            <w:hyperlink r:id="rId88">
              <w:r>
                <w:rPr>
                  <w:rFonts w:ascii="Arial" w:cs="Arial" w:eastAsia="Arial" w:hAnsi="Arial"/>
                  <w:sz w:val="18"/>
                  <w:szCs w:val="18"/>
                  <w:color w:val="0000FF"/>
                  <w:w w:val="97"/>
                </w:rPr>
                <w:t>Pledge Agreement and the Security Agreement,</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20" w:type="dxa"/>
            <w:vAlign w:val="bottom"/>
            <w:tcBorders>
              <w:bottom w:val="single" w:sz="8" w:color="0000FF"/>
            </w:tcBorders>
            <w:gridSpan w:val="12"/>
          </w:tcPr>
          <w:p>
            <w:pPr>
              <w:spacing w:after="0" w:line="156" w:lineRule="exact"/>
              <w:rPr>
                <w:rFonts w:ascii="Arial" w:cs="Arial" w:eastAsia="Arial" w:hAnsi="Arial"/>
                <w:sz w:val="18"/>
                <w:szCs w:val="18"/>
                <w:color w:val="0000FF"/>
                <w:w w:val="99"/>
              </w:rPr>
            </w:pPr>
            <w:hyperlink r:id="rId88">
              <w:r>
                <w:rPr>
                  <w:rFonts w:ascii="Arial" w:cs="Arial" w:eastAsia="Arial" w:hAnsi="Arial"/>
                  <w:sz w:val="18"/>
                  <w:szCs w:val="18"/>
                  <w:color w:val="0000FF"/>
                  <w:w w:val="99"/>
                </w:rPr>
                <w:t>dated as of September 27, 2019, by and among</w:t>
              </w:r>
            </w:hyperlink>
          </w:p>
        </w:tc>
        <w:tc>
          <w:tcPr>
            <w:tcW w:w="4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80" w:type="dxa"/>
            <w:vAlign w:val="bottom"/>
            <w:gridSpan w:val="24"/>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Huron Consulting Group Inc., as Borrower, certain</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8"/>
              </w:rPr>
            </w:pPr>
            <w:hyperlink r:id="rId88">
              <w:r>
                <w:rPr>
                  <w:rFonts w:ascii="Arial" w:cs="Arial" w:eastAsia="Arial" w:hAnsi="Arial"/>
                  <w:sz w:val="18"/>
                  <w:szCs w:val="18"/>
                  <w:color w:val="0000FF"/>
                  <w:w w:val="98"/>
                </w:rPr>
                <w:t>subsidiaries, as Guarantors, and Bank of America,</w:t>
              </w:r>
            </w:hyperlink>
          </w:p>
        </w:tc>
        <w:tc>
          <w:tcPr>
            <w:tcW w:w="20" w:type="dxa"/>
            <w:vAlign w:val="bottom"/>
            <w:tcBorders>
              <w:bottom w:val="single" w:sz="8" w:color="0000FF"/>
            </w:tcBorders>
          </w:tcPr>
          <w:p>
            <w:pPr>
              <w:spacing w:after="0"/>
              <w:rPr>
                <w:sz w:val="13"/>
                <w:szCs w:val="13"/>
                <w:color w:val="auto"/>
              </w:rPr>
            </w:pPr>
          </w:p>
        </w:tc>
        <w:tc>
          <w:tcPr>
            <w:tcW w:w="280" w:type="dxa"/>
            <w:vAlign w:val="bottom"/>
            <w:gridSpan w:val="8"/>
            <w:vMerge w:val="restart"/>
          </w:tcPr>
          <w:p>
            <w:pPr>
              <w:spacing w:after="0"/>
              <w:rPr>
                <w:rFonts w:ascii="Arial" w:cs="Arial" w:eastAsia="Arial" w:hAnsi="Arial"/>
                <w:sz w:val="18"/>
                <w:szCs w:val="18"/>
                <w:color w:val="0000FF"/>
              </w:rPr>
            </w:pPr>
            <w:hyperlink r:id="rId88">
              <w:r>
                <w:rPr>
                  <w:rFonts w:ascii="Arial" w:cs="Arial" w:eastAsia="Arial" w:hAnsi="Arial"/>
                  <w:sz w:val="18"/>
                  <w:szCs w:val="18"/>
                  <w:color w:val="0000FF"/>
                </w:rPr>
                <w:t>the</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000" w:type="dxa"/>
            <w:vAlign w:val="bottom"/>
            <w:gridSpan w:val="16"/>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N.A., as Administrative Agent for and on behalf of</w:t>
              </w:r>
            </w:hyperlink>
          </w:p>
        </w:tc>
        <w:tc>
          <w:tcPr>
            <w:tcW w:w="280" w:type="dxa"/>
            <w:vAlign w:val="bottom"/>
            <w:gridSpan w:val="8"/>
            <w:vMerge w:val="continue"/>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7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7"/>
              </w:rPr>
            </w:pPr>
            <w:hyperlink r:id="rId88">
              <w:r>
                <w:rPr>
                  <w:rFonts w:ascii="Arial" w:cs="Arial" w:eastAsia="Arial" w:hAnsi="Arial"/>
                  <w:sz w:val="18"/>
                  <w:szCs w:val="18"/>
                  <w:color w:val="0000FF"/>
                  <w:w w:val="97"/>
                </w:rPr>
                <w:t>Lenders.</w:t>
              </w:r>
            </w:hyperlink>
          </w:p>
        </w:tc>
        <w:tc>
          <w:tcPr>
            <w:tcW w:w="35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10.26*</w:t>
            </w:r>
          </w:p>
        </w:tc>
        <w:tc>
          <w:tcPr>
            <w:tcW w:w="4280" w:type="dxa"/>
            <w:vAlign w:val="bottom"/>
            <w:gridSpan w:val="24"/>
          </w:tcPr>
          <w:p>
            <w:pPr>
              <w:spacing w:after="0"/>
              <w:rPr>
                <w:rFonts w:ascii="Arial" w:cs="Arial" w:eastAsia="Arial" w:hAnsi="Arial"/>
                <w:sz w:val="18"/>
                <w:szCs w:val="18"/>
                <w:color w:val="0000FF"/>
              </w:rPr>
            </w:pPr>
            <w:hyperlink r:id="rId89">
              <w:r>
                <w:rPr>
                  <w:rFonts w:ascii="Arial" w:cs="Arial" w:eastAsia="Arial" w:hAnsi="Arial"/>
                  <w:sz w:val="18"/>
                  <w:szCs w:val="18"/>
                  <w:color w:val="0000FF"/>
                </w:rPr>
                <w:t>Senior Management Agreement by and between</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3/31/2020</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4/30/2020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4280" w:type="dxa"/>
            <w:vAlign w:val="bottom"/>
            <w:gridSpan w:val="24"/>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Huron Consulting Group Inc. and Ernest W. Torain,</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0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Jr.</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10.27*</w:t>
            </w:r>
          </w:p>
        </w:tc>
        <w:tc>
          <w:tcPr>
            <w:tcW w:w="4280" w:type="dxa"/>
            <w:vAlign w:val="bottom"/>
            <w:gridSpan w:val="24"/>
          </w:tcPr>
          <w:p>
            <w:pPr>
              <w:spacing w:after="0"/>
              <w:rPr>
                <w:rFonts w:ascii="Arial" w:cs="Arial" w:eastAsia="Arial" w:hAnsi="Arial"/>
                <w:sz w:val="18"/>
                <w:szCs w:val="18"/>
                <w:color w:val="0000FF"/>
              </w:rPr>
            </w:pPr>
            <w:hyperlink r:id="rId90">
              <w:r>
                <w:rPr>
                  <w:rFonts w:ascii="Arial" w:cs="Arial" w:eastAsia="Arial" w:hAnsi="Arial"/>
                  <w:sz w:val="18"/>
                  <w:szCs w:val="18"/>
                  <w:color w:val="0000FF"/>
                </w:rPr>
                <w:t>Amendment to the Huron Consulting Group Inc. 2012</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DEF 14A</w:t>
            </w:r>
          </w:p>
        </w:tc>
        <w:tc>
          <w:tcPr>
            <w:tcW w:w="10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Appendix A</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3/26/2020</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Omnibus Incentive Plan.</w:t>
              </w:r>
            </w:hyperlink>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10.28*</w:t>
            </w:r>
          </w:p>
        </w:tc>
        <w:tc>
          <w:tcPr>
            <w:tcW w:w="4280" w:type="dxa"/>
            <w:vAlign w:val="bottom"/>
            <w:gridSpan w:val="24"/>
          </w:tcPr>
          <w:p>
            <w:pPr>
              <w:spacing w:after="0"/>
              <w:rPr>
                <w:rFonts w:ascii="Arial" w:cs="Arial" w:eastAsia="Arial" w:hAnsi="Arial"/>
                <w:sz w:val="18"/>
                <w:szCs w:val="18"/>
                <w:color w:val="0000FF"/>
              </w:rPr>
            </w:pPr>
            <w:hyperlink r:id="rId91">
              <w:r>
                <w:rPr>
                  <w:rFonts w:ascii="Arial" w:cs="Arial" w:eastAsia="Arial" w:hAnsi="Arial"/>
                  <w:sz w:val="18"/>
                  <w:szCs w:val="18"/>
                  <w:color w:val="0000FF"/>
                </w:rPr>
                <w:t>Form of Retention Bonus Agreement</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4/14/2021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10.29*</w:t>
            </w:r>
          </w:p>
        </w:tc>
        <w:tc>
          <w:tcPr>
            <w:tcW w:w="4280" w:type="dxa"/>
            <w:vAlign w:val="bottom"/>
            <w:gridSpan w:val="24"/>
          </w:tcPr>
          <w:p>
            <w:pPr>
              <w:spacing w:after="0"/>
              <w:rPr>
                <w:rFonts w:ascii="Arial" w:cs="Arial" w:eastAsia="Arial" w:hAnsi="Arial"/>
                <w:sz w:val="18"/>
                <w:szCs w:val="18"/>
                <w:color w:val="0000FF"/>
              </w:rPr>
            </w:pPr>
            <w:hyperlink r:id="rId92">
              <w:r>
                <w:rPr>
                  <w:rFonts w:ascii="Arial" w:cs="Arial" w:eastAsia="Arial" w:hAnsi="Arial"/>
                  <w:sz w:val="18"/>
                  <w:szCs w:val="18"/>
                  <w:color w:val="0000FF"/>
                </w:rPr>
                <w:t>Amendment to the Huron Consulting Group Inc. 2012</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DEF 14A</w:t>
            </w:r>
          </w:p>
        </w:tc>
        <w:tc>
          <w:tcPr>
            <w:tcW w:w="10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Appendix A</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3/26/2021</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Omnibus Incentive Plan.</w:t>
              </w:r>
            </w:hyperlink>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10.30*</w:t>
            </w:r>
          </w:p>
        </w:tc>
        <w:tc>
          <w:tcPr>
            <w:tcW w:w="4280" w:type="dxa"/>
            <w:vAlign w:val="bottom"/>
            <w:gridSpan w:val="24"/>
          </w:tcPr>
          <w:p>
            <w:pPr>
              <w:spacing w:after="0"/>
              <w:rPr>
                <w:rFonts w:ascii="Arial" w:cs="Arial" w:eastAsia="Arial" w:hAnsi="Arial"/>
                <w:sz w:val="18"/>
                <w:szCs w:val="18"/>
                <w:color w:val="0000FF"/>
              </w:rPr>
            </w:pPr>
            <w:hyperlink r:id="rId93">
              <w:r>
                <w:rPr>
                  <w:rFonts w:ascii="Arial" w:cs="Arial" w:eastAsia="Arial" w:hAnsi="Arial"/>
                  <w:sz w:val="18"/>
                  <w:szCs w:val="18"/>
                  <w:color w:val="0000FF"/>
                </w:rPr>
                <w:t>Form of the Huron Consulting Group Inc. 2012</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9/30/2021</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11/2/2021</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7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Omnibus Incentive Plan Restricted Stock Unit</w:t>
              </w:r>
            </w:hyperlink>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8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7"/>
              </w:rPr>
            </w:pPr>
            <w:hyperlink r:id="rId93">
              <w:r>
                <w:rPr>
                  <w:rFonts w:ascii="Arial" w:cs="Arial" w:eastAsia="Arial" w:hAnsi="Arial"/>
                  <w:sz w:val="18"/>
                  <w:szCs w:val="18"/>
                  <w:color w:val="0000FF"/>
                  <w:w w:val="97"/>
                </w:rPr>
                <w:t>Agreement</w:t>
              </w:r>
            </w:hyperlink>
          </w:p>
        </w:tc>
        <w:tc>
          <w:tcPr>
            <w:tcW w:w="2740" w:type="dxa"/>
            <w:vAlign w:val="bottom"/>
            <w:tcBorders>
              <w:top w:val="single" w:sz="8" w:color="0000FF"/>
            </w:tcBorders>
            <w:gridSpan w:val="4"/>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21.1</w:t>
            </w:r>
          </w:p>
        </w:tc>
        <w:tc>
          <w:tcPr>
            <w:tcW w:w="4040" w:type="dxa"/>
            <w:vAlign w:val="bottom"/>
            <w:tcBorders>
              <w:bottom w:val="single" w:sz="8" w:color="0000FF"/>
            </w:tcBorders>
            <w:gridSpan w:val="18"/>
          </w:tcPr>
          <w:p>
            <w:pPr>
              <w:spacing w:after="0"/>
              <w:rPr>
                <w:rFonts w:ascii="Arial" w:cs="Arial" w:eastAsia="Arial" w:hAnsi="Arial"/>
                <w:sz w:val="18"/>
                <w:szCs w:val="18"/>
                <w:color w:val="0000FF"/>
                <w:w w:val="99"/>
              </w:rPr>
            </w:pPr>
            <w:hyperlink w:anchor="page92">
              <w:r>
                <w:rPr>
                  <w:rFonts w:ascii="Arial" w:cs="Arial" w:eastAsia="Arial" w:hAnsi="Arial"/>
                  <w:sz w:val="18"/>
                  <w:szCs w:val="18"/>
                  <w:color w:val="0000FF"/>
                  <w:w w:val="99"/>
                </w:rPr>
                <w:t>List of Subsidiaries of Huron Consulting Group Inc.</w:t>
              </w:r>
            </w:hyperlink>
          </w:p>
        </w:tc>
        <w:tc>
          <w:tcPr>
            <w:tcW w:w="240" w:type="dxa"/>
            <w:vAlign w:val="bottom"/>
            <w:gridSpan w:val="6"/>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23.1</w:t>
            </w:r>
          </w:p>
        </w:tc>
        <w:tc>
          <w:tcPr>
            <w:tcW w:w="3340" w:type="dxa"/>
            <w:vAlign w:val="bottom"/>
            <w:tcBorders>
              <w:bottom w:val="single" w:sz="8" w:color="0000FF"/>
            </w:tcBorders>
            <w:gridSpan w:val="7"/>
          </w:tcPr>
          <w:p>
            <w:pPr>
              <w:spacing w:after="0"/>
              <w:rPr>
                <w:rFonts w:ascii="Arial" w:cs="Arial" w:eastAsia="Arial" w:hAnsi="Arial"/>
                <w:sz w:val="18"/>
                <w:szCs w:val="18"/>
                <w:color w:val="0000FF"/>
                <w:w w:val="98"/>
              </w:rPr>
            </w:pPr>
            <w:hyperlink w:anchor="page93">
              <w:r>
                <w:rPr>
                  <w:rFonts w:ascii="Arial" w:cs="Arial" w:eastAsia="Arial" w:hAnsi="Arial"/>
                  <w:sz w:val="18"/>
                  <w:szCs w:val="18"/>
                  <w:color w:val="0000FF"/>
                  <w:w w:val="98"/>
                </w:rPr>
                <w:t>Consent of PricewaterhouseCoopers LLP.</w:t>
              </w:r>
            </w:hyperlink>
          </w:p>
        </w:tc>
        <w:tc>
          <w:tcPr>
            <w:tcW w:w="940" w:type="dxa"/>
            <w:vAlign w:val="bottom"/>
            <w:gridSpan w:val="17"/>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4120" w:type="dxa"/>
            <w:vAlign w:val="bottom"/>
            <w:tcBorders>
              <w:bottom w:val="single" w:sz="8" w:color="0000FF"/>
            </w:tcBorders>
            <w:gridSpan w:val="20"/>
          </w:tcPr>
          <w:p>
            <w:pPr>
              <w:spacing w:after="0"/>
              <w:rPr>
                <w:rFonts w:ascii="Arial" w:cs="Arial" w:eastAsia="Arial" w:hAnsi="Arial"/>
                <w:sz w:val="18"/>
                <w:szCs w:val="18"/>
                <w:color w:val="0000FF"/>
                <w:w w:val="99"/>
              </w:rPr>
            </w:pPr>
            <w:hyperlink w:anchor="page94">
              <w:r>
                <w:rPr>
                  <w:rFonts w:ascii="Arial" w:cs="Arial" w:eastAsia="Arial" w:hAnsi="Arial"/>
                  <w:sz w:val="18"/>
                  <w:szCs w:val="18"/>
                  <w:color w:val="0000FF"/>
                  <w:w w:val="99"/>
                </w:rPr>
                <w:t>Certification of the Chief Executive Officer, pursuant</w:t>
              </w:r>
            </w:hyperlink>
          </w:p>
        </w:tc>
        <w:tc>
          <w:tcPr>
            <w:tcW w:w="160" w:type="dxa"/>
            <w:vAlign w:val="bottom"/>
            <w:gridSpan w:val="4"/>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80" w:type="dxa"/>
            <w:vAlign w:val="bottom"/>
            <w:gridSpan w:val="24"/>
          </w:tcPr>
          <w:p>
            <w:pPr>
              <w:spacing w:after="0" w:line="156" w:lineRule="exact"/>
              <w:rPr>
                <w:rFonts w:ascii="Arial" w:cs="Arial" w:eastAsia="Arial" w:hAnsi="Arial"/>
                <w:sz w:val="18"/>
                <w:szCs w:val="18"/>
                <w:color w:val="0000FF"/>
              </w:rPr>
            </w:pPr>
            <w:hyperlink w:anchor="page94">
              <w:r>
                <w:rPr>
                  <w:rFonts w:ascii="Arial" w:cs="Arial" w:eastAsia="Arial" w:hAnsi="Arial"/>
                  <w:sz w:val="18"/>
                  <w:szCs w:val="18"/>
                  <w:color w:val="0000FF"/>
                </w:rPr>
                <w:t>to Rule 13a-14(a)/15d-14(a), as adopted pursuant to</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rPr>
            </w:pPr>
            <w:hyperlink w:anchor="page94">
              <w:r>
                <w:rPr>
                  <w:rFonts w:ascii="Arial" w:cs="Arial" w:eastAsia="Arial" w:hAnsi="Arial"/>
                  <w:sz w:val="18"/>
                  <w:szCs w:val="18"/>
                  <w:color w:val="0000FF"/>
                </w:rPr>
                <w:t>Section 302 of the Sarbanes-Oxley Act of 2002.</w:t>
              </w:r>
            </w:hyperlink>
          </w:p>
        </w:tc>
        <w:tc>
          <w:tcPr>
            <w:tcW w:w="300" w:type="dxa"/>
            <w:vAlign w:val="bottom"/>
            <w:tcBorders>
              <w:top w:val="single" w:sz="8" w:color="0000FF"/>
            </w:tcBorders>
            <w:gridSpan w:val="8"/>
          </w:tcPr>
          <w:p>
            <w:pPr>
              <w:spacing w:after="0"/>
              <w:rPr>
                <w:sz w:val="13"/>
                <w:szCs w:val="13"/>
                <w:color w:val="auto"/>
              </w:rPr>
            </w:pPr>
          </w:p>
        </w:tc>
        <w:tc>
          <w:tcPr>
            <w:tcW w:w="12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4280" w:type="dxa"/>
            <w:vAlign w:val="bottom"/>
            <w:tcBorders>
              <w:bottom w:val="single" w:sz="8" w:color="0000FF"/>
            </w:tcBorders>
            <w:gridSpan w:val="24"/>
          </w:tcPr>
          <w:p>
            <w:pPr>
              <w:spacing w:after="0"/>
              <w:rPr>
                <w:rFonts w:ascii="Arial" w:cs="Arial" w:eastAsia="Arial" w:hAnsi="Arial"/>
                <w:sz w:val="18"/>
                <w:szCs w:val="18"/>
                <w:color w:val="0000FF"/>
                <w:w w:val="99"/>
              </w:rPr>
            </w:pPr>
            <w:hyperlink w:anchor="page95">
              <w:r>
                <w:rPr>
                  <w:rFonts w:ascii="Arial" w:cs="Arial" w:eastAsia="Arial" w:hAnsi="Arial"/>
                  <w:sz w:val="18"/>
                  <w:szCs w:val="18"/>
                  <w:color w:val="0000FF"/>
                  <w:w w:val="99"/>
                </w:rPr>
                <w:t>Certification of the Chief Financial Officer, pursuant to</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80" w:type="dxa"/>
            <w:vAlign w:val="bottom"/>
            <w:gridSpan w:val="24"/>
          </w:tcPr>
          <w:p>
            <w:pPr>
              <w:spacing w:after="0" w:line="156" w:lineRule="exact"/>
              <w:rPr>
                <w:rFonts w:ascii="Arial" w:cs="Arial" w:eastAsia="Arial" w:hAnsi="Arial"/>
                <w:sz w:val="18"/>
                <w:szCs w:val="18"/>
                <w:color w:val="0000FF"/>
              </w:rPr>
            </w:pPr>
            <w:hyperlink w:anchor="page95">
              <w:r>
                <w:rPr>
                  <w:rFonts w:ascii="Arial" w:cs="Arial" w:eastAsia="Arial" w:hAnsi="Arial"/>
                  <w:sz w:val="18"/>
                  <w:szCs w:val="18"/>
                  <w:color w:val="0000FF"/>
                </w:rPr>
                <w:t>Rule 13a-14(a)/15d-14(a), as adopted pursuant to</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rPr>
            </w:pPr>
            <w:hyperlink w:anchor="page95">
              <w:r>
                <w:rPr>
                  <w:rFonts w:ascii="Arial" w:cs="Arial" w:eastAsia="Arial" w:hAnsi="Arial"/>
                  <w:sz w:val="18"/>
                  <w:szCs w:val="18"/>
                  <w:color w:val="0000FF"/>
                </w:rPr>
                <w:t>Section 302 of the Sarbanes-Oxley Act of 2002.</w:t>
              </w:r>
            </w:hyperlink>
          </w:p>
        </w:tc>
        <w:tc>
          <w:tcPr>
            <w:tcW w:w="100" w:type="dxa"/>
            <w:vAlign w:val="bottom"/>
            <w:tcBorders>
              <w:top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7"/>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4280" w:type="dxa"/>
            <w:vAlign w:val="bottom"/>
            <w:gridSpan w:val="24"/>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Certification of the Chief Executive Officer, pursuant</w:t>
              </w:r>
            </w:hyperlink>
          </w:p>
        </w:tc>
        <w:tc>
          <w:tcPr>
            <w:tcW w:w="8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1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96">
              <w:r>
                <w:rPr>
                  <w:rFonts w:ascii="Arial" w:cs="Arial" w:eastAsia="Arial" w:hAnsi="Arial"/>
                  <w:sz w:val="18"/>
                  <w:szCs w:val="18"/>
                  <w:color w:val="0000FF"/>
                </w:rPr>
                <w:t>to 18 U.S.C. Section 1350, as adopted pursuant to</w:t>
              </w:r>
            </w:hyperlink>
          </w:p>
        </w:tc>
        <w:tc>
          <w:tcPr>
            <w:tcW w:w="16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rPr>
            </w:pPr>
            <w:hyperlink w:anchor="page96">
              <w:r>
                <w:rPr>
                  <w:rFonts w:ascii="Arial" w:cs="Arial" w:eastAsia="Arial" w:hAnsi="Arial"/>
                  <w:sz w:val="18"/>
                  <w:szCs w:val="18"/>
                  <w:color w:val="0000FF"/>
                </w:rPr>
                <w:t>Section 906 of the Sarbanes-Oxley Act of 2002.</w:t>
              </w:r>
            </w:hyperlink>
          </w:p>
        </w:tc>
        <w:tc>
          <w:tcPr>
            <w:tcW w:w="160" w:type="dxa"/>
            <w:vAlign w:val="bottom"/>
            <w:tcBorders>
              <w:top w:val="single" w:sz="8" w:color="0000FF"/>
            </w:tcBorders>
            <w:gridSpan w:val="4"/>
          </w:tcPr>
          <w:p>
            <w:pPr>
              <w:spacing w:after="0"/>
              <w:rPr>
                <w:sz w:val="13"/>
                <w:szCs w:val="13"/>
                <w:color w:val="auto"/>
              </w:rPr>
            </w:pPr>
          </w:p>
        </w:tc>
        <w:tc>
          <w:tcPr>
            <w:tcW w:w="260" w:type="dxa"/>
            <w:vAlign w:val="bottom"/>
            <w:gridSpan w:val="7"/>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32.2</w:t>
            </w:r>
          </w:p>
        </w:tc>
        <w:tc>
          <w:tcPr>
            <w:tcW w:w="4280" w:type="dxa"/>
            <w:vAlign w:val="bottom"/>
            <w:tcBorders>
              <w:bottom w:val="single" w:sz="8" w:color="0000FF"/>
            </w:tcBorders>
            <w:gridSpan w:val="24"/>
          </w:tcPr>
          <w:p>
            <w:pPr>
              <w:spacing w:after="0"/>
              <w:rPr>
                <w:rFonts w:ascii="Arial" w:cs="Arial" w:eastAsia="Arial" w:hAnsi="Arial"/>
                <w:sz w:val="18"/>
                <w:szCs w:val="18"/>
                <w:color w:val="0000FF"/>
                <w:w w:val="99"/>
              </w:rPr>
            </w:pPr>
            <w:hyperlink w:anchor="page97">
              <w:r>
                <w:rPr>
                  <w:rFonts w:ascii="Arial" w:cs="Arial" w:eastAsia="Arial" w:hAnsi="Arial"/>
                  <w:sz w:val="18"/>
                  <w:szCs w:val="18"/>
                  <w:color w:val="0000FF"/>
                  <w:w w:val="99"/>
                </w:rPr>
                <w:t>Certification of the Chief Financial Officer, pursuant to</w:t>
              </w:r>
            </w:hyperlink>
          </w:p>
        </w:tc>
        <w:tc>
          <w:tcPr>
            <w:tcW w:w="8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80" w:type="dxa"/>
            <w:vAlign w:val="bottom"/>
            <w:gridSpan w:val="24"/>
          </w:tcPr>
          <w:p>
            <w:pPr>
              <w:spacing w:after="0" w:line="156" w:lineRule="exact"/>
              <w:rPr>
                <w:rFonts w:ascii="Arial" w:cs="Arial" w:eastAsia="Arial" w:hAnsi="Arial"/>
                <w:sz w:val="18"/>
                <w:szCs w:val="18"/>
                <w:color w:val="0000FF"/>
              </w:rPr>
            </w:pPr>
            <w:hyperlink w:anchor="page97">
              <w:r>
                <w:rPr>
                  <w:rFonts w:ascii="Arial" w:cs="Arial" w:eastAsia="Arial" w:hAnsi="Arial"/>
                  <w:sz w:val="18"/>
                  <w:szCs w:val="18"/>
                  <w:color w:val="0000FF"/>
                </w:rPr>
                <w:t>18 U.S.C. Section 1350, as adopted pursuant to</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w:anchor="page97">
              <w:r>
                <w:rPr>
                  <w:rFonts w:ascii="Arial" w:cs="Arial" w:eastAsia="Arial" w:hAnsi="Arial"/>
                  <w:sz w:val="18"/>
                  <w:szCs w:val="18"/>
                  <w:color w:val="0000FF"/>
                  <w:w w:val="99"/>
                </w:rPr>
                <w:t>Section 906 of the Sarbanes-Oxley Act of 2002.</w:t>
              </w:r>
            </w:hyperlink>
          </w:p>
        </w:tc>
        <w:tc>
          <w:tcPr>
            <w:tcW w:w="60" w:type="dxa"/>
            <w:vAlign w:val="bottom"/>
            <w:tcBorders>
              <w:top w:val="single" w:sz="8" w:color="0000FF"/>
            </w:tcBorders>
            <w:gridSpan w:val="2"/>
          </w:tcPr>
          <w:p>
            <w:pPr>
              <w:spacing w:after="0"/>
              <w:rPr>
                <w:sz w:val="13"/>
                <w:szCs w:val="13"/>
                <w:color w:val="auto"/>
              </w:rPr>
            </w:pPr>
          </w:p>
        </w:tc>
        <w:tc>
          <w:tcPr>
            <w:tcW w:w="420" w:type="dxa"/>
            <w:vAlign w:val="bottom"/>
            <w:gridSpan w:val="11"/>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4280" w:type="dxa"/>
            <w:vAlign w:val="bottom"/>
            <w:gridSpan w:val="24"/>
          </w:tcPr>
          <w:p>
            <w:pPr>
              <w:spacing w:after="0"/>
              <w:rPr>
                <w:sz w:val="20"/>
                <w:szCs w:val="20"/>
                <w:color w:val="auto"/>
              </w:rPr>
            </w:pPr>
            <w:r>
              <w:rPr>
                <w:rFonts w:ascii="Arial" w:cs="Arial" w:eastAsia="Arial" w:hAnsi="Arial"/>
                <w:sz w:val="18"/>
                <w:szCs w:val="18"/>
                <w:color w:val="auto"/>
              </w:rPr>
              <w:t>Inline XBRL Instance Document - the instance</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4280" w:type="dxa"/>
            <w:vAlign w:val="bottom"/>
            <w:gridSpan w:val="24"/>
          </w:tcPr>
          <w:p>
            <w:pPr>
              <w:spacing w:after="0" w:line="176" w:lineRule="exact"/>
              <w:rPr>
                <w:sz w:val="20"/>
                <w:szCs w:val="20"/>
                <w:color w:val="auto"/>
              </w:rPr>
            </w:pPr>
            <w:r>
              <w:rPr>
                <w:rFonts w:ascii="Arial" w:cs="Arial" w:eastAsia="Arial" w:hAnsi="Arial"/>
                <w:sz w:val="18"/>
                <w:szCs w:val="18"/>
                <w:color w:val="auto"/>
              </w:rPr>
              <w:t>document does not appear in the Interactive Data</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4280" w:type="dxa"/>
            <w:vAlign w:val="bottom"/>
            <w:gridSpan w:val="24"/>
          </w:tcPr>
          <w:p>
            <w:pPr>
              <w:spacing w:after="0" w:line="176" w:lineRule="exact"/>
              <w:rPr>
                <w:sz w:val="20"/>
                <w:szCs w:val="20"/>
                <w:color w:val="auto"/>
              </w:rPr>
            </w:pPr>
            <w:r>
              <w:rPr>
                <w:rFonts w:ascii="Arial" w:cs="Arial" w:eastAsia="Arial" w:hAnsi="Arial"/>
                <w:sz w:val="18"/>
                <w:szCs w:val="18"/>
                <w:color w:val="auto"/>
              </w:rPr>
              <w:t>File because its XBRL tags are embedded within the</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24"/>
          </w:tcPr>
          <w:p>
            <w:pPr>
              <w:spacing w:after="0"/>
              <w:rPr>
                <w:sz w:val="20"/>
                <w:szCs w:val="20"/>
                <w:color w:val="auto"/>
              </w:rPr>
            </w:pPr>
            <w:r>
              <w:rPr>
                <w:rFonts w:ascii="Arial" w:cs="Arial" w:eastAsia="Arial" w:hAnsi="Arial"/>
                <w:sz w:val="18"/>
                <w:szCs w:val="18"/>
                <w:color w:val="auto"/>
              </w:rPr>
              <w:t>Inline XBRL document.</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4280" w:type="dxa"/>
            <w:vAlign w:val="bottom"/>
            <w:gridSpan w:val="24"/>
          </w:tcPr>
          <w:p>
            <w:pPr>
              <w:spacing w:after="0"/>
              <w:rPr>
                <w:sz w:val="20"/>
                <w:szCs w:val="20"/>
                <w:color w:val="auto"/>
              </w:rPr>
            </w:pPr>
            <w:r>
              <w:rPr>
                <w:rFonts w:ascii="Arial" w:cs="Arial" w:eastAsia="Arial" w:hAnsi="Arial"/>
                <w:sz w:val="18"/>
                <w:szCs w:val="18"/>
                <w:color w:val="auto"/>
                <w:w w:val="99"/>
              </w:rPr>
              <w:t>Inline XBRL Taxonomy Extension Schema Document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4280" w:type="dxa"/>
            <w:vAlign w:val="bottom"/>
            <w:gridSpan w:val="24"/>
          </w:tcPr>
          <w:p>
            <w:pPr>
              <w:spacing w:after="0" w:line="189" w:lineRule="exact"/>
              <w:rPr>
                <w:sz w:val="20"/>
                <w:szCs w:val="20"/>
                <w:color w:val="auto"/>
              </w:rPr>
            </w:pPr>
            <w:r>
              <w:rPr>
                <w:rFonts w:ascii="Arial" w:cs="Arial" w:eastAsia="Arial" w:hAnsi="Arial"/>
                <w:sz w:val="18"/>
                <w:szCs w:val="18"/>
                <w:color w:val="auto"/>
              </w:rPr>
              <w:t>Inline XBRL Taxonomy Extension Calculation</w:t>
            </w: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24"/>
          </w:tcPr>
          <w:p>
            <w:pPr>
              <w:spacing w:after="0"/>
              <w:rPr>
                <w:sz w:val="20"/>
                <w:szCs w:val="20"/>
                <w:color w:val="auto"/>
              </w:rPr>
            </w:pPr>
            <w:r>
              <w:rPr>
                <w:rFonts w:ascii="Arial" w:cs="Arial" w:eastAsia="Arial" w:hAnsi="Arial"/>
                <w:sz w:val="18"/>
                <w:szCs w:val="18"/>
                <w:color w:val="auto"/>
              </w:rPr>
              <w:t>Linkbase Document</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101.LAB</w:t>
            </w:r>
          </w:p>
        </w:tc>
        <w:tc>
          <w:tcPr>
            <w:tcW w:w="4280" w:type="dxa"/>
            <w:vAlign w:val="bottom"/>
            <w:gridSpan w:val="24"/>
          </w:tcPr>
          <w:p>
            <w:pPr>
              <w:spacing w:after="0" w:line="189" w:lineRule="exact"/>
              <w:rPr>
                <w:sz w:val="20"/>
                <w:szCs w:val="20"/>
                <w:color w:val="auto"/>
              </w:rPr>
            </w:pPr>
            <w:r>
              <w:rPr>
                <w:rFonts w:ascii="Arial" w:cs="Arial" w:eastAsia="Arial" w:hAnsi="Arial"/>
                <w:sz w:val="18"/>
                <w:szCs w:val="18"/>
                <w:color w:val="auto"/>
              </w:rPr>
              <w:t>Inline XBRL Taxonomy Extension Label Linkbase</w:t>
            </w: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24"/>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101.PRE</w:t>
            </w:r>
          </w:p>
        </w:tc>
        <w:tc>
          <w:tcPr>
            <w:tcW w:w="4280" w:type="dxa"/>
            <w:vAlign w:val="bottom"/>
            <w:gridSpan w:val="24"/>
          </w:tcPr>
          <w:p>
            <w:pPr>
              <w:spacing w:after="0" w:line="189" w:lineRule="exact"/>
              <w:rPr>
                <w:sz w:val="20"/>
                <w:szCs w:val="20"/>
                <w:color w:val="auto"/>
              </w:rPr>
            </w:pPr>
            <w:r>
              <w:rPr>
                <w:rFonts w:ascii="Arial" w:cs="Arial" w:eastAsia="Arial" w:hAnsi="Arial"/>
                <w:sz w:val="18"/>
                <w:szCs w:val="18"/>
                <w:color w:val="auto"/>
              </w:rPr>
              <w:t>Inline XBRL Taxonomy Extension Presentation</w:t>
            </w: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24"/>
          </w:tcPr>
          <w:p>
            <w:pPr>
              <w:spacing w:after="0"/>
              <w:rPr>
                <w:sz w:val="20"/>
                <w:szCs w:val="20"/>
                <w:color w:val="auto"/>
              </w:rPr>
            </w:pPr>
            <w:r>
              <w:rPr>
                <w:rFonts w:ascii="Arial" w:cs="Arial" w:eastAsia="Arial" w:hAnsi="Arial"/>
                <w:sz w:val="18"/>
                <w:szCs w:val="18"/>
                <w:color w:val="auto"/>
              </w:rPr>
              <w:t>Linkbase Document</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4280" w:type="dxa"/>
            <w:vAlign w:val="bottom"/>
            <w:gridSpan w:val="24"/>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24"/>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4280" w:type="dxa"/>
            <w:vAlign w:val="bottom"/>
            <w:gridSpan w:val="24"/>
          </w:tcPr>
          <w:p>
            <w:pPr>
              <w:spacing w:after="0" w:line="189" w:lineRule="exact"/>
              <w:rPr>
                <w:sz w:val="20"/>
                <w:szCs w:val="20"/>
                <w:color w:val="auto"/>
              </w:rPr>
            </w:pPr>
            <w:r>
              <w:rPr>
                <w:rFonts w:ascii="Arial" w:cs="Arial" w:eastAsia="Arial" w:hAnsi="Arial"/>
                <w:sz w:val="18"/>
                <w:szCs w:val="18"/>
                <w:color w:val="auto"/>
              </w:rPr>
              <w:t>Cover Page Interactive Data File (formatted as inline</w:t>
            </w: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24"/>
          </w:tcPr>
          <w:p>
            <w:pPr>
              <w:spacing w:after="0"/>
              <w:rPr>
                <w:sz w:val="20"/>
                <w:szCs w:val="20"/>
                <w:color w:val="auto"/>
              </w:rPr>
            </w:pPr>
            <w:r>
              <w:rPr>
                <w:rFonts w:ascii="Arial" w:cs="Arial" w:eastAsia="Arial" w:hAnsi="Arial"/>
                <w:sz w:val="18"/>
                <w:szCs w:val="18"/>
                <w:color w:val="auto"/>
              </w:rPr>
              <w:t>XBRL and contained in Exhibit 101)</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8"/>
          <w:szCs w:val="18"/>
          <w:color w:val="auto"/>
        </w:rPr>
        <w:t>*</w:t>
        <w:tab/>
        <w:t>Indicates the exhibit is a management contract or compensatory plan or arrangement.</w:t>
      </w:r>
    </w:p>
    <w:p>
      <w:pPr>
        <w:spacing w:after="0" w:line="131" w:lineRule="exact"/>
        <w:rPr>
          <w:sz w:val="20"/>
          <w:szCs w:val="20"/>
          <w:color w:val="auto"/>
        </w:rPr>
      </w:pPr>
    </w:p>
    <w:p>
      <w:pPr>
        <w:ind w:left="260" w:right="1080" w:hanging="234"/>
        <w:spacing w:after="0" w:line="199" w:lineRule="auto"/>
        <w:tabs>
          <w:tab w:leader="none" w:pos="260" w:val="left"/>
        </w:tabs>
        <w:numPr>
          <w:ilvl w:val="0"/>
          <w:numId w:val="22"/>
        </w:numPr>
        <w:rPr>
          <w:rFonts w:ascii="Arial" w:cs="Arial" w:eastAsia="Arial" w:hAnsi="Arial"/>
          <w:sz w:val="23"/>
          <w:szCs w:val="23"/>
          <w:color w:val="auto"/>
          <w:vertAlign w:val="subscript"/>
        </w:rPr>
      </w:pPr>
      <w:r>
        <w:rPr>
          <w:rFonts w:ascii="Arial" w:cs="Arial" w:eastAsia="Arial" w:hAnsi="Arial"/>
          <w:sz w:val="18"/>
          <w:szCs w:val="18"/>
          <w:color w:val="auto"/>
        </w:rPr>
        <w:t>Pursuant to Regulation S-K 601(b)(10)(iv), certain exhibits to this Exhibit have been omitted. The Company agrees to furnish supplementally to the Securities and Exchange Commission, upon its request, a copy of any or all omitted exhibits.</w:t>
      </w: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3056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(Registrant)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Signature</w:t>
            </w:r>
          </w:p>
        </w:tc>
        <w:tc>
          <w:tcPr>
            <w:tcW w:w="1400" w:type="dxa"/>
            <w:vAlign w:val="bottom"/>
          </w:tcPr>
          <w:p>
            <w:pPr>
              <w:spacing w:after="0"/>
              <w:rPr>
                <w:sz w:val="17"/>
                <w:szCs w:val="17"/>
                <w:color w:val="auto"/>
              </w:rPr>
            </w:pPr>
          </w:p>
        </w:tc>
        <w:tc>
          <w:tcPr>
            <w:tcW w:w="4680" w:type="dxa"/>
            <w:vAlign w:val="bottom"/>
            <w:gridSpan w:val="3"/>
          </w:tcPr>
          <w:p>
            <w:pPr>
              <w:ind w:left="2640"/>
              <w:spacing w:after="0"/>
              <w:rPr>
                <w:sz w:val="20"/>
                <w:szCs w:val="20"/>
                <w:color w:val="auto"/>
              </w:rPr>
            </w:pPr>
            <w:r>
              <w:rPr>
                <w:rFonts w:ascii="Arial" w:cs="Arial" w:eastAsia="Arial" w:hAnsi="Arial"/>
                <w:sz w:val="18"/>
                <w:szCs w:val="18"/>
                <w:b w:val="1"/>
                <w:bCs w:val="1"/>
                <w:color w:val="auto"/>
              </w:rPr>
              <w:t>Title</w:t>
            </w:r>
          </w:p>
        </w:tc>
        <w:tc>
          <w:tcPr>
            <w:tcW w:w="2320" w:type="dxa"/>
            <w:vAlign w:val="bottom"/>
            <w:gridSpan w:val="3"/>
          </w:tcPr>
          <w:p>
            <w:pPr>
              <w:jc w:val="center"/>
              <w:ind w:left="1450"/>
              <w:spacing w:after="0"/>
              <w:rPr>
                <w:sz w:val="20"/>
                <w:szCs w:val="20"/>
                <w:color w:val="auto"/>
              </w:rPr>
            </w:pPr>
            <w:r>
              <w:rPr>
                <w:rFonts w:ascii="Arial" w:cs="Arial" w:eastAsia="Arial" w:hAnsi="Arial"/>
                <w:sz w:val="18"/>
                <w:szCs w:val="18"/>
                <w:b w:val="1"/>
                <w:bCs w:val="1"/>
                <w:color w:val="auto"/>
                <w:w w:val="97"/>
              </w:rPr>
              <w:t>Date</w:t>
            </w:r>
          </w:p>
        </w:tc>
      </w:tr>
      <w:tr>
        <w:trPr>
          <w:trHeight w:val="20"/>
        </w:trPr>
        <w:tc>
          <w:tcPr>
            <w:tcW w:w="1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3640" w:type="dxa"/>
            <w:vAlign w:val="bottom"/>
            <w:gridSpan w:val="3"/>
          </w:tcPr>
          <w:p>
            <w:pPr>
              <w:jc w:val="center"/>
              <w:spacing w:after="0"/>
              <w:rPr>
                <w:sz w:val="20"/>
                <w:szCs w:val="20"/>
                <w:color w:val="auto"/>
              </w:rPr>
            </w:pPr>
            <w:r>
              <w:rPr>
                <w:rFonts w:ascii="Arial" w:cs="Arial" w:eastAsia="Arial" w:hAnsi="Arial"/>
                <w:sz w:val="18"/>
                <w:szCs w:val="18"/>
                <w:color w:val="auto"/>
              </w:rPr>
              <w:t>/s/  JAMES H. ROTH</w:t>
            </w:r>
          </w:p>
        </w:tc>
        <w:tc>
          <w:tcPr>
            <w:tcW w:w="4680" w:type="dxa"/>
            <w:vAlign w:val="bottom"/>
            <w:gridSpan w:val="3"/>
          </w:tcPr>
          <w:p>
            <w:pPr>
              <w:ind w:left="300"/>
              <w:spacing w:after="0"/>
              <w:rPr>
                <w:sz w:val="20"/>
                <w:szCs w:val="20"/>
                <w:color w:val="auto"/>
              </w:rPr>
            </w:pPr>
            <w:r>
              <w:rPr>
                <w:rFonts w:ascii="Arial" w:cs="Arial" w:eastAsia="Arial" w:hAnsi="Arial"/>
                <w:sz w:val="18"/>
                <w:szCs w:val="18"/>
                <w:color w:val="auto"/>
              </w:rPr>
              <w:t>Chief Executive Officer and Director</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2/24/2022</w:t>
            </w:r>
          </w:p>
        </w:tc>
      </w:tr>
      <w:tr>
        <w:trPr>
          <w:trHeight w:val="27"/>
        </w:trPr>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23"/>
        </w:trPr>
        <w:tc>
          <w:tcPr>
            <w:tcW w:w="3640" w:type="dxa"/>
            <w:vAlign w:val="bottom"/>
            <w:gridSpan w:val="3"/>
          </w:tcPr>
          <w:p>
            <w:pPr>
              <w:jc w:val="center"/>
              <w:spacing w:after="0"/>
              <w:rPr>
                <w:sz w:val="20"/>
                <w:szCs w:val="20"/>
                <w:color w:val="auto"/>
              </w:rPr>
            </w:pPr>
            <w:r>
              <w:rPr>
                <w:rFonts w:ascii="Arial" w:cs="Arial" w:eastAsia="Arial" w:hAnsi="Arial"/>
                <w:sz w:val="18"/>
                <w:szCs w:val="18"/>
                <w:color w:val="auto"/>
              </w:rPr>
              <w:t>James H. Roth</w:t>
            </w:r>
          </w:p>
        </w:tc>
        <w:tc>
          <w:tcPr>
            <w:tcW w:w="2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James H. Roth, John D. Kelly, and Ernest W. Torain, Jr., and each of them, his true and lawful attorneys-in-fact and agents, with full power of substitution and resubstitution, for him and in his name, place and stead, in any and all capacities, to sign any and all amendments to this report, and to file the same, with all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5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Signature</w:t>
            </w:r>
          </w:p>
        </w:tc>
        <w:tc>
          <w:tcPr>
            <w:tcW w:w="1400" w:type="dxa"/>
            <w:vAlign w:val="bottom"/>
          </w:tcPr>
          <w:p>
            <w:pPr>
              <w:spacing w:after="0"/>
              <w:rPr>
                <w:sz w:val="18"/>
                <w:szCs w:val="18"/>
                <w:color w:val="auto"/>
              </w:rPr>
            </w:pPr>
          </w:p>
        </w:tc>
        <w:tc>
          <w:tcPr>
            <w:tcW w:w="5760" w:type="dxa"/>
            <w:vAlign w:val="bottom"/>
            <w:gridSpan w:val="3"/>
          </w:tcPr>
          <w:p>
            <w:pPr>
              <w:ind w:left="2640"/>
              <w:spacing w:after="0"/>
              <w:rPr>
                <w:sz w:val="20"/>
                <w:szCs w:val="20"/>
                <w:color w:val="auto"/>
              </w:rPr>
            </w:pPr>
            <w:r>
              <w:rPr>
                <w:rFonts w:ascii="Arial" w:cs="Arial" w:eastAsia="Arial" w:hAnsi="Arial"/>
                <w:sz w:val="18"/>
                <w:szCs w:val="18"/>
                <w:b w:val="1"/>
                <w:bCs w:val="1"/>
                <w:color w:val="auto"/>
              </w:rPr>
              <w:t>Title</w:t>
            </w:r>
          </w:p>
        </w:tc>
        <w:tc>
          <w:tcPr>
            <w:tcW w:w="124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gridSpan w:val="2"/>
          </w:tcPr>
          <w:p>
            <w:pPr>
              <w:ind w:left="840"/>
              <w:spacing w:after="0"/>
              <w:rPr>
                <w:sz w:val="20"/>
                <w:szCs w:val="20"/>
                <w:color w:val="auto"/>
              </w:rPr>
            </w:pPr>
            <w:r>
              <w:rPr>
                <w:rFonts w:ascii="Arial" w:cs="Arial" w:eastAsia="Arial" w:hAnsi="Arial"/>
                <w:sz w:val="18"/>
                <w:szCs w:val="18"/>
                <w:color w:val="auto"/>
              </w:rPr>
              <w:t>/s/</w:t>
            </w:r>
          </w:p>
        </w:tc>
        <w:tc>
          <w:tcPr>
            <w:tcW w:w="2500" w:type="dxa"/>
            <w:vAlign w:val="bottom"/>
            <w:gridSpan w:val="3"/>
          </w:tcPr>
          <w:p>
            <w:pPr>
              <w:jc w:val="center"/>
              <w:ind w:right="940"/>
              <w:spacing w:after="0"/>
              <w:rPr>
                <w:sz w:val="20"/>
                <w:szCs w:val="20"/>
                <w:color w:val="auto"/>
              </w:rPr>
            </w:pPr>
            <w:r>
              <w:rPr>
                <w:rFonts w:ascii="Arial" w:cs="Arial" w:eastAsia="Arial" w:hAnsi="Arial"/>
                <w:sz w:val="18"/>
                <w:szCs w:val="18"/>
                <w:color w:val="auto"/>
              </w:rPr>
              <w:t>JAMES H. ROTH</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Chief Executive Officer and 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2/24/2022</w:t>
            </w:r>
          </w:p>
        </w:tc>
        <w:tc>
          <w:tcPr>
            <w:tcW w:w="0" w:type="dxa"/>
            <w:vAlign w:val="bottom"/>
          </w:tcPr>
          <w:p>
            <w:pPr>
              <w:spacing w:after="0"/>
              <w:rPr>
                <w:sz w:val="1"/>
                <w:szCs w:val="1"/>
                <w:color w:val="auto"/>
              </w:rPr>
            </w:pPr>
          </w:p>
        </w:tc>
      </w:tr>
      <w:tr>
        <w:trPr>
          <w:trHeight w:val="68"/>
        </w:trPr>
        <w:tc>
          <w:tcPr>
            <w:tcW w:w="8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760" w:type="dxa"/>
            <w:vAlign w:val="bottom"/>
            <w:gridSpan w:val="3"/>
            <w:vMerge w:val="restart"/>
          </w:tcPr>
          <w:p>
            <w:pPr>
              <w:ind w:left="300"/>
              <w:spacing w:after="0"/>
              <w:rPr>
                <w:sz w:val="20"/>
                <w:szCs w:val="20"/>
                <w:color w:val="auto"/>
              </w:rPr>
            </w:pPr>
            <w:r>
              <w:rPr>
                <w:rFonts w:ascii="Arial" w:cs="Arial" w:eastAsia="Arial" w:hAnsi="Arial"/>
                <w:sz w:val="18"/>
                <w:szCs w:val="18"/>
                <w:i w:val="1"/>
                <w:iCs w:val="1"/>
                <w:color w:val="auto"/>
              </w:rPr>
              <w:t>(Principal Executive Officer)</w:t>
            </w: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00" w:type="dxa"/>
            <w:vAlign w:val="bottom"/>
            <w:gridSpan w:val="3"/>
            <w:vMerge w:val="restart"/>
          </w:tcPr>
          <w:p>
            <w:pPr>
              <w:jc w:val="center"/>
              <w:ind w:right="940"/>
              <w:spacing w:after="0"/>
              <w:rPr>
                <w:sz w:val="20"/>
                <w:szCs w:val="20"/>
                <w:color w:val="auto"/>
              </w:rPr>
            </w:pPr>
            <w:r>
              <w:rPr>
                <w:rFonts w:ascii="Arial" w:cs="Arial" w:eastAsia="Arial" w:hAnsi="Arial"/>
                <w:sz w:val="18"/>
                <w:szCs w:val="18"/>
                <w:color w:val="auto"/>
              </w:rPr>
              <w:t>James H. Roth</w:t>
            </w:r>
          </w:p>
        </w:tc>
        <w:tc>
          <w:tcPr>
            <w:tcW w:w="576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500" w:type="dxa"/>
            <w:vAlign w:val="bottom"/>
            <w:gridSpan w:val="3"/>
            <w:vMerge w:val="continue"/>
          </w:tcPr>
          <w:p>
            <w:pPr>
              <w:spacing w:after="0"/>
              <w:rPr>
                <w:sz w:val="7"/>
                <w:szCs w:val="7"/>
                <w:color w:val="auto"/>
              </w:rPr>
            </w:pPr>
          </w:p>
        </w:tc>
        <w:tc>
          <w:tcPr>
            <w:tcW w:w="2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/s/</w:t>
            </w:r>
          </w:p>
        </w:tc>
        <w:tc>
          <w:tcPr>
            <w:tcW w:w="2800" w:type="dxa"/>
            <w:vAlign w:val="bottom"/>
            <w:tcBorders>
              <w:bottom w:val="single" w:sz="8" w:color="auto"/>
            </w:tcBorders>
            <w:gridSpan w:val="4"/>
          </w:tcPr>
          <w:p>
            <w:pPr>
              <w:jc w:val="center"/>
              <w:ind w:right="840"/>
              <w:spacing w:after="0"/>
              <w:rPr>
                <w:sz w:val="20"/>
                <w:szCs w:val="20"/>
                <w:color w:val="auto"/>
              </w:rPr>
            </w:pPr>
            <w:r>
              <w:rPr>
                <w:rFonts w:ascii="Arial" w:cs="Arial" w:eastAsia="Arial" w:hAnsi="Arial"/>
                <w:sz w:val="18"/>
                <w:szCs w:val="18"/>
                <w:color w:val="auto"/>
                <w:w w:val="99"/>
              </w:rPr>
              <w:t>JOHN F. MCCARTNEY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Non-Executive Chairman of the Board</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2/24/2022</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800" w:type="dxa"/>
            <w:vAlign w:val="bottom"/>
            <w:gridSpan w:val="4"/>
          </w:tcPr>
          <w:p>
            <w:pPr>
              <w:jc w:val="center"/>
              <w:ind w:right="820"/>
              <w:spacing w:after="0"/>
              <w:rPr>
                <w:sz w:val="20"/>
                <w:szCs w:val="20"/>
                <w:color w:val="auto"/>
              </w:rPr>
            </w:pPr>
            <w:r>
              <w:rPr>
                <w:rFonts w:ascii="Arial" w:cs="Arial" w:eastAsia="Arial" w:hAnsi="Arial"/>
                <w:sz w:val="18"/>
                <w:szCs w:val="18"/>
                <w:color w:val="auto"/>
                <w:w w:val="98"/>
              </w:rPr>
              <w:t>John F. McCartney</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4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/s/</w:t>
            </w:r>
          </w:p>
        </w:tc>
        <w:tc>
          <w:tcPr>
            <w:tcW w:w="2500" w:type="dxa"/>
            <w:vAlign w:val="bottom"/>
            <w:gridSpan w:val="3"/>
          </w:tcPr>
          <w:p>
            <w:pPr>
              <w:jc w:val="center"/>
              <w:ind w:right="840"/>
              <w:spacing w:after="0"/>
              <w:rPr>
                <w:sz w:val="20"/>
                <w:szCs w:val="20"/>
                <w:color w:val="auto"/>
              </w:rPr>
            </w:pPr>
            <w:r>
              <w:rPr>
                <w:rFonts w:ascii="Arial" w:cs="Arial" w:eastAsia="Arial" w:hAnsi="Arial"/>
                <w:sz w:val="18"/>
                <w:szCs w:val="18"/>
                <w:color w:val="auto"/>
                <w:w w:val="97"/>
              </w:rPr>
              <w:t>JOHN D. KELLY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Executive Vice President, Chief Financial Officer and Treasurer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2/24/2022</w:t>
            </w:r>
          </w:p>
        </w:tc>
        <w:tc>
          <w:tcPr>
            <w:tcW w:w="0" w:type="dxa"/>
            <w:vAlign w:val="bottom"/>
          </w:tcPr>
          <w:p>
            <w:pPr>
              <w:spacing w:after="0"/>
              <w:rPr>
                <w:sz w:val="1"/>
                <w:szCs w:val="1"/>
                <w:color w:val="auto"/>
              </w:rPr>
            </w:pPr>
          </w:p>
        </w:tc>
      </w:tr>
      <w:tr>
        <w:trPr>
          <w:trHeight w:val="82"/>
        </w:trPr>
        <w:tc>
          <w:tcPr>
            <w:tcW w:w="8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5760" w:type="dxa"/>
            <w:vAlign w:val="bottom"/>
            <w:gridSpan w:val="3"/>
            <w:vMerge w:val="restart"/>
          </w:tcPr>
          <w:p>
            <w:pPr>
              <w:ind w:left="300"/>
              <w:spacing w:after="0"/>
              <w:rPr>
                <w:sz w:val="20"/>
                <w:szCs w:val="20"/>
                <w:color w:val="auto"/>
              </w:rPr>
            </w:pPr>
            <w:r>
              <w:rPr>
                <w:rFonts w:ascii="Arial" w:cs="Arial" w:eastAsia="Arial" w:hAnsi="Arial"/>
                <w:sz w:val="18"/>
                <w:szCs w:val="18"/>
                <w:i w:val="1"/>
                <w:iCs w:val="1"/>
                <w:color w:val="auto"/>
              </w:rPr>
              <w:t>(Principal Financial and Accounting Officer)</w:t>
            </w: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00" w:type="dxa"/>
            <w:vAlign w:val="bottom"/>
            <w:gridSpan w:val="3"/>
            <w:vMerge w:val="restart"/>
          </w:tcPr>
          <w:p>
            <w:pPr>
              <w:jc w:val="center"/>
              <w:ind w:right="1120"/>
              <w:spacing w:after="0"/>
              <w:rPr>
                <w:sz w:val="20"/>
                <w:szCs w:val="20"/>
                <w:color w:val="auto"/>
              </w:rPr>
            </w:pPr>
            <w:r>
              <w:rPr>
                <w:rFonts w:ascii="Arial" w:cs="Arial" w:eastAsia="Arial" w:hAnsi="Arial"/>
                <w:sz w:val="18"/>
                <w:szCs w:val="18"/>
                <w:color w:val="auto"/>
                <w:w w:val="99"/>
              </w:rPr>
              <w:t>John D. Kelly</w:t>
            </w:r>
          </w:p>
        </w:tc>
        <w:tc>
          <w:tcPr>
            <w:tcW w:w="576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2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w:t>
            </w:r>
          </w:p>
        </w:tc>
        <w:tc>
          <w:tcPr>
            <w:tcW w:w="280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8"/>
                <w:szCs w:val="18"/>
                <w:color w:val="auto"/>
                <w:w w:val="99"/>
              </w:rPr>
              <w:t>H. EUGENE LOCKHART</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2/24/2022</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800" w:type="dxa"/>
            <w:vAlign w:val="bottom"/>
            <w:gridSpan w:val="4"/>
          </w:tcPr>
          <w:p>
            <w:pPr>
              <w:jc w:val="center"/>
              <w:ind w:right="840"/>
              <w:spacing w:after="0"/>
              <w:rPr>
                <w:sz w:val="20"/>
                <w:szCs w:val="20"/>
                <w:color w:val="auto"/>
              </w:rPr>
            </w:pPr>
            <w:r>
              <w:rPr>
                <w:rFonts w:ascii="Arial" w:cs="Arial" w:eastAsia="Arial" w:hAnsi="Arial"/>
                <w:sz w:val="18"/>
                <w:szCs w:val="18"/>
                <w:color w:val="auto"/>
              </w:rPr>
              <w:t>H. Eugene Lockhart</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50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8"/>
                <w:szCs w:val="18"/>
                <w:color w:val="auto"/>
                <w:w w:val="99"/>
              </w:rPr>
              <w:t>HUGH E. SAWYER</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2/24/2022</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3"/>
          </w:tcPr>
          <w:p>
            <w:pPr>
              <w:jc w:val="center"/>
              <w:ind w:right="1120"/>
              <w:spacing w:after="0"/>
              <w:rPr>
                <w:sz w:val="20"/>
                <w:szCs w:val="20"/>
                <w:color w:val="auto"/>
              </w:rPr>
            </w:pPr>
            <w:r>
              <w:rPr>
                <w:rFonts w:ascii="Arial" w:cs="Arial" w:eastAsia="Arial" w:hAnsi="Arial"/>
                <w:sz w:val="18"/>
                <w:szCs w:val="18"/>
                <w:color w:val="auto"/>
                <w:w w:val="99"/>
              </w:rPr>
              <w:t>Hugh E. Sawyer</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83"/>
              </w:rPr>
              <w:t>/s/</w:t>
            </w:r>
          </w:p>
        </w:tc>
        <w:tc>
          <w:tcPr>
            <w:tcW w:w="28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9"/>
              </w:rPr>
              <w:t>EKTA SINGH-BUSHELL</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2/24/2022</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2800" w:type="dxa"/>
            <w:vAlign w:val="bottom"/>
            <w:gridSpan w:val="4"/>
          </w:tcPr>
          <w:p>
            <w:pPr>
              <w:jc w:val="center"/>
              <w:ind w:right="840"/>
              <w:spacing w:after="0"/>
              <w:rPr>
                <w:sz w:val="20"/>
                <w:szCs w:val="20"/>
                <w:color w:val="auto"/>
              </w:rPr>
            </w:pPr>
            <w:r>
              <w:rPr>
                <w:rFonts w:ascii="Arial" w:cs="Arial" w:eastAsia="Arial" w:hAnsi="Arial"/>
                <w:sz w:val="18"/>
                <w:szCs w:val="18"/>
                <w:color w:val="auto"/>
                <w:w w:val="99"/>
              </w:rPr>
              <w:t>Ekta Singh-Bushell</w:t>
            </w:r>
          </w:p>
        </w:tc>
        <w:tc>
          <w:tcPr>
            <w:tcW w:w="2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50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8"/>
                <w:szCs w:val="18"/>
                <w:color w:val="auto"/>
                <w:w w:val="98"/>
              </w:rPr>
              <w:t>DEBRA ZUMWALT</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2/24/2022</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3"/>
          </w:tcPr>
          <w:p>
            <w:pPr>
              <w:jc w:val="center"/>
              <w:ind w:right="1120"/>
              <w:spacing w:after="0"/>
              <w:rPr>
                <w:sz w:val="20"/>
                <w:szCs w:val="20"/>
                <w:color w:val="auto"/>
              </w:rPr>
            </w:pPr>
            <w:r>
              <w:rPr>
                <w:rFonts w:ascii="Arial" w:cs="Arial" w:eastAsia="Arial" w:hAnsi="Arial"/>
                <w:sz w:val="18"/>
                <w:szCs w:val="18"/>
                <w:color w:val="auto"/>
                <w:w w:val="99"/>
              </w:rPr>
              <w:t>Debra Zumwalt</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HURON CONSULTING GROUP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109220</wp:posOffset>
            </wp:positionV>
            <wp:extent cx="36175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7">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INDEX</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4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Page</w:t>
            </w:r>
          </w:p>
        </w:tc>
      </w:tr>
      <w:tr>
        <w:trPr>
          <w:trHeight w:val="250"/>
        </w:trPr>
        <w:tc>
          <w:tcPr>
            <w:tcW w:w="1054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 (PCAOB ID 238)</w:t>
            </w:r>
          </w:p>
        </w:tc>
        <w:tc>
          <w:tcPr>
            <w:tcW w:w="240" w:type="dxa"/>
            <w:vAlign w:val="bottom"/>
          </w:tcPr>
          <w:p>
            <w:pPr>
              <w:spacing w:after="0"/>
              <w:rPr>
                <w:sz w:val="21"/>
                <w:szCs w:val="21"/>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F-2</w:t>
            </w:r>
          </w:p>
        </w:tc>
        <w:tc>
          <w:tcPr>
            <w:tcW w:w="40" w:type="dxa"/>
            <w:vAlign w:val="bottom"/>
          </w:tcPr>
          <w:p>
            <w:pPr>
              <w:spacing w:after="0"/>
              <w:rPr>
                <w:sz w:val="21"/>
                <w:szCs w:val="21"/>
                <w:color w:val="auto"/>
              </w:rPr>
            </w:pPr>
          </w:p>
        </w:tc>
      </w:tr>
      <w:tr>
        <w:trPr>
          <w:trHeight w:val="229"/>
        </w:trPr>
        <w:tc>
          <w:tcPr>
            <w:tcW w:w="10540" w:type="dxa"/>
            <w:vAlign w:val="bottom"/>
          </w:tcPr>
          <w:p>
            <w:pPr>
              <w:ind w:left="20"/>
              <w:spacing w:after="0"/>
              <w:rPr>
                <w:sz w:val="20"/>
                <w:szCs w:val="20"/>
                <w:color w:val="auto"/>
              </w:rPr>
            </w:pPr>
            <w:r>
              <w:rPr>
                <w:rFonts w:ascii="Arial" w:cs="Arial" w:eastAsia="Arial" w:hAnsi="Arial"/>
                <w:sz w:val="18"/>
                <w:szCs w:val="18"/>
                <w:color w:val="auto"/>
              </w:rPr>
              <w:t>Consolidated Balance Sheets at December 31, 2021 and 2020</w:t>
            </w:r>
          </w:p>
        </w:tc>
        <w:tc>
          <w:tcPr>
            <w:tcW w:w="2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F-4</w:t>
            </w:r>
          </w:p>
        </w:tc>
      </w:tr>
      <w:tr>
        <w:trPr>
          <w:trHeight w:val="188"/>
        </w:trPr>
        <w:tc>
          <w:tcPr>
            <w:tcW w:w="10540" w:type="dxa"/>
            <w:vAlign w:val="bottom"/>
          </w:tcPr>
          <w:p>
            <w:pPr>
              <w:ind w:left="20"/>
              <w:spacing w:after="0" w:line="189" w:lineRule="exact"/>
              <w:rPr>
                <w:sz w:val="20"/>
                <w:szCs w:val="20"/>
                <w:color w:val="auto"/>
              </w:rPr>
            </w:pPr>
            <w:r>
              <w:rPr>
                <w:rFonts w:ascii="Arial" w:cs="Arial" w:eastAsia="Arial" w:hAnsi="Arial"/>
                <w:sz w:val="18"/>
                <w:szCs w:val="18"/>
                <w:color w:val="auto"/>
              </w:rPr>
              <w:t>Consolidated Statements of Operations and Other Comprehensive Income (Loss) for the years ended December 31, 2021, 2020,</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7"/>
        </w:trPr>
        <w:tc>
          <w:tcPr>
            <w:tcW w:w="10540" w:type="dxa"/>
            <w:vAlign w:val="bottom"/>
          </w:tcPr>
          <w:p>
            <w:pPr>
              <w:ind w:left="20"/>
              <w:spacing w:after="0"/>
              <w:rPr>
                <w:sz w:val="20"/>
                <w:szCs w:val="20"/>
                <w:color w:val="auto"/>
              </w:rPr>
            </w:pPr>
            <w:r>
              <w:rPr>
                <w:rFonts w:ascii="Arial" w:cs="Arial" w:eastAsia="Arial" w:hAnsi="Arial"/>
                <w:sz w:val="18"/>
                <w:szCs w:val="18"/>
                <w:color w:val="auto"/>
              </w:rPr>
              <w:t>and 2019</w:t>
            </w:r>
          </w:p>
        </w:tc>
        <w:tc>
          <w:tcPr>
            <w:tcW w:w="2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F-5</w:t>
            </w:r>
          </w:p>
        </w:tc>
      </w:tr>
      <w:tr>
        <w:trPr>
          <w:trHeight w:val="229"/>
        </w:trPr>
        <w:tc>
          <w:tcPr>
            <w:tcW w:w="10540" w:type="dxa"/>
            <w:vAlign w:val="bottom"/>
          </w:tcPr>
          <w:p>
            <w:pPr>
              <w:ind w:left="20"/>
              <w:spacing w:after="0"/>
              <w:rPr>
                <w:rFonts w:ascii="Arial" w:cs="Arial" w:eastAsia="Arial" w:hAnsi="Arial"/>
                <w:sz w:val="18"/>
                <w:szCs w:val="18"/>
                <w:color w:val="auto"/>
              </w:rPr>
            </w:pPr>
            <w:hyperlink w:anchor="page53">
              <w:r>
                <w:rPr>
                  <w:rFonts w:ascii="Arial" w:cs="Arial" w:eastAsia="Arial" w:hAnsi="Arial"/>
                  <w:sz w:val="18"/>
                  <w:szCs w:val="18"/>
                  <w:color w:val="auto"/>
                </w:rPr>
                <w:t xml:space="preserve">Consolidated Statements of Stockholders’ Equity for the years ended December 31, </w:t>
              </w:r>
            </w:hyperlink>
            <w:r>
              <w:rPr>
                <w:rFonts w:ascii="Arial" w:cs="Arial" w:eastAsia="Arial" w:hAnsi="Arial"/>
                <w:sz w:val="18"/>
                <w:szCs w:val="18"/>
                <w:color w:val="auto"/>
              </w:rPr>
              <w:t>2021, 2020, and 2019</w:t>
            </w:r>
          </w:p>
        </w:tc>
        <w:tc>
          <w:tcPr>
            <w:tcW w:w="2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F-6</w:t>
            </w:r>
          </w:p>
        </w:tc>
      </w:tr>
      <w:tr>
        <w:trPr>
          <w:trHeight w:val="230"/>
        </w:trPr>
        <w:tc>
          <w:tcPr>
            <w:tcW w:w="10540" w:type="dxa"/>
            <w:vAlign w:val="bottom"/>
          </w:tcPr>
          <w:p>
            <w:pPr>
              <w:ind w:left="20"/>
              <w:spacing w:after="0"/>
              <w:rPr>
                <w:rFonts w:ascii="Arial" w:cs="Arial" w:eastAsia="Arial" w:hAnsi="Arial"/>
                <w:sz w:val="18"/>
                <w:szCs w:val="18"/>
                <w:color w:val="auto"/>
              </w:rPr>
            </w:pPr>
            <w:hyperlink w:anchor="page54">
              <w:r>
                <w:rPr>
                  <w:rFonts w:ascii="Arial" w:cs="Arial" w:eastAsia="Arial" w:hAnsi="Arial"/>
                  <w:sz w:val="18"/>
                  <w:szCs w:val="18"/>
                  <w:color w:val="auto"/>
                </w:rPr>
                <w:t xml:space="preserve">Consolidated Statements of Cash Flows for the years ended December 31, </w:t>
              </w:r>
            </w:hyperlink>
            <w:r>
              <w:rPr>
                <w:rFonts w:ascii="Arial" w:cs="Arial" w:eastAsia="Arial" w:hAnsi="Arial"/>
                <w:sz w:val="18"/>
                <w:szCs w:val="18"/>
                <w:color w:val="auto"/>
              </w:rPr>
              <w:t>2021, 2020, and 2019</w:t>
            </w:r>
          </w:p>
        </w:tc>
        <w:tc>
          <w:tcPr>
            <w:tcW w:w="2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F-7</w:t>
            </w:r>
          </w:p>
        </w:tc>
      </w:tr>
      <w:tr>
        <w:trPr>
          <w:trHeight w:val="229"/>
        </w:trPr>
        <w:tc>
          <w:tcPr>
            <w:tcW w:w="10540" w:type="dxa"/>
            <w:vAlign w:val="bottom"/>
          </w:tcPr>
          <w:p>
            <w:pPr>
              <w:ind w:left="20"/>
              <w:spacing w:after="0"/>
              <w:rPr>
                <w:rFonts w:ascii="Arial" w:cs="Arial" w:eastAsia="Arial" w:hAnsi="Arial"/>
                <w:sz w:val="18"/>
                <w:szCs w:val="18"/>
                <w:color w:val="auto"/>
              </w:rPr>
            </w:pPr>
            <w:hyperlink w:anchor="page55">
              <w:r>
                <w:rPr>
                  <w:rFonts w:ascii="Arial" w:cs="Arial" w:eastAsia="Arial" w:hAnsi="Arial"/>
                  <w:sz w:val="18"/>
                  <w:szCs w:val="18"/>
                  <w:color w:val="auto"/>
                </w:rPr>
                <w:t>Notes to Consolidated Financial Statements</w:t>
              </w:r>
            </w:hyperlink>
          </w:p>
        </w:tc>
        <w:tc>
          <w:tcPr>
            <w:tcW w:w="2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F-8</w:t>
            </w:r>
          </w:p>
        </w:tc>
      </w:tr>
      <w:tr>
        <w:trPr>
          <w:trHeight w:val="864"/>
        </w:trPr>
        <w:tc>
          <w:tcPr>
            <w:tcW w:w="10540" w:type="dxa"/>
            <w:vAlign w:val="bottom"/>
          </w:tcPr>
          <w:p>
            <w:pPr>
              <w:ind w:left="5480"/>
              <w:spacing w:after="0"/>
              <w:rPr>
                <w:sz w:val="20"/>
                <w:szCs w:val="20"/>
                <w:color w:val="auto"/>
              </w:rPr>
            </w:pPr>
            <w:r>
              <w:rPr>
                <w:rFonts w:ascii="Arial" w:cs="Arial" w:eastAsia="Arial" w:hAnsi="Arial"/>
                <w:sz w:val="18"/>
                <w:szCs w:val="18"/>
                <w:color w:val="auto"/>
              </w:rPr>
              <w:t>F-1</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Huron Consulting Group Inc.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Huron Consulting Group Inc. and its subsidiaries (the “Company”) as of December 31, 2021 and 2020, and the related consolidated statements of operations and other comprehensive income (loss), of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5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 – Fixed-Fee and Healthcare Performance-Based Billing Arrangements</w:t>
      </w:r>
    </w:p>
    <w:p>
      <w:pPr>
        <w:spacing w:after="0" w:line="17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described in Notes 2 and 19 to the consolidated financial statements, in fixed-fee billing arrangements, which accounted for $400.1 million of revenues for the year ended December 31, 2021, the Company agrees to a pre-established fee in exchange for a predetermined set of professional services. As disclosed by management, under fixed-fee arrangements, revenues are recognized based upon work completed to date versus management’s estimates of the total services to be provided under the engagement. Additionally, the Company’s Healthcare practice enters into performance-based billing arrangements whereby fees are tied to the attainment of contractually defined objectives, as a result of adopting the Company’s recommendations, which accounted for $73.4 million of revenues for the year ended December 31, 2021. Under performance-based billing arrangements, revenue is recognized based on an estimate of variable consideration and work completed to date versus the estimates of the total services to be provided under the engagement. Variable consideration is estimated based on a probability-weighted assessment of the fees to be earned, net of a constraint to limit the amount that could be reversed when the uncertainty is resolved.</w:t>
      </w:r>
    </w:p>
    <w:p>
      <w:pPr>
        <w:spacing w:after="0" w:line="15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under fixed-fee and Healthcare performance-based billing arrangements is a critical audit matter are the significant judgments by management when developing the estimates of revenue to be recognized for these billing arrangements, which in turn led to a high degree of auditor judgment, subjectivity and effort in performing procedures and evaluating audit evidence related to management’s significant assumptions related to work completed to date versus management’s estimates of the total services to be provided for fixed-fee and performance-based billing arrangements and the probability of attaining contractually defined objectives in performance-based billing arrangements.</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under fixed-fee and performance-based billing arrangements. These procedures also included, among others, testing the accuracy of the total contract amounts and evaluating the reasonableness of management’s assumption of work completed to-date versus management’s estimates of the total services to be provided by (i) inquiring with the Company’s employees regarding the expected remaining efforts for a sample of engagements, (ii) evaluating trends in past performance, and (iii) evaluating performance to date. Additionally, for performance-based billing arrangements, procedures included, among others (i) evaluating the reasonableness of management’s assumption of the probability of attaining the contractually defined objectives by inquiring with the Company’s employees regarding the expected remaining efforts and the probability weighting of variable consideration to be earned for a sample of engagements and by evaluating trends in past performance, (ii) evaluating the necessity of applying a constraint based upon consideration of the initial forecasts developed during project procurement, and (iii) evaluating performance to date towards the attainment of contractually defined objectives.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8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67,177</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Receivables from clients, net of allowances of $8,827 and $7,680, respectively</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122,316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87,687</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Unbilled services, net of allowances of $2,637 and $2,603, respectively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53,959</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5,121</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16,569</w:t>
            </w:r>
          </w:p>
        </w:tc>
      </w:tr>
      <w:tr>
        <w:trPr>
          <w:trHeight w:val="207"/>
        </w:trPr>
        <w:tc>
          <w:tcPr>
            <w:tcW w:w="8220" w:type="dxa"/>
            <w:vAlign w:val="bottom"/>
          </w:tcPr>
          <w:p>
            <w:pPr>
              <w:ind w:left="80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257,682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230,513</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29,093</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4,191</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71,030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35,311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39,360</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62,068</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20,483</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620,879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594,237</w:t>
            </w:r>
          </w:p>
        </w:tc>
      </w:tr>
      <w:tr>
        <w:trPr>
          <w:trHeight w:val="207"/>
        </w:trPr>
        <w:tc>
          <w:tcPr>
            <w:tcW w:w="82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1,119,349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1,050,975</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22,519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14,874</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payroll and related benefits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133,830</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Current maturities of long-term debt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maturities of operating lease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8,771</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Deferred revenues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28,247</w:t>
            </w:r>
          </w:p>
        </w:tc>
      </w:tr>
      <w:tr>
        <w:trPr>
          <w:trHeight w:val="213"/>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186,869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compensation and other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47,131</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232,221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202,780</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 net of current portion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61,825</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Deferred income taxes, net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r>
      <w:tr>
        <w:trPr>
          <w:trHeight w:val="213"/>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non-current liabilities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312,164</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77"/>
        </w:trPr>
        <w:tc>
          <w:tcPr>
            <w:tcW w:w="8220" w:type="dxa"/>
            <w:vAlign w:val="bottom"/>
          </w:tcPr>
          <w:p>
            <w:pPr>
              <w:ind w:left="20"/>
              <w:spacing w:after="0" w:line="178" w:lineRule="exact"/>
              <w:rPr>
                <w:sz w:val="20"/>
                <w:szCs w:val="20"/>
                <w:color w:val="auto"/>
              </w:rPr>
            </w:pPr>
            <w:r>
              <w:rPr>
                <w:rFonts w:ascii="Arial" w:cs="Arial" w:eastAsia="Arial" w:hAnsi="Arial"/>
                <w:sz w:val="16"/>
                <w:szCs w:val="16"/>
                <w:color w:val="auto"/>
              </w:rPr>
              <w:t>Common stock; $0.01 par value; 500,000,000 shares authorized; 24,364,814 and 25,346,916 shares issued,</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8"/>
        </w:trPr>
        <w:tc>
          <w:tcPr>
            <w:tcW w:w="822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at cost, 2,495,172 and 2,584,119 shares, respectively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(129,886)</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413,794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454,512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214,009</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13,061</w:t>
            </w:r>
          </w:p>
        </w:tc>
      </w:tr>
      <w:tr>
        <w:trPr>
          <w:trHeight w:val="213"/>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571,900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551,942</w:t>
            </w:r>
          </w:p>
        </w:tc>
      </w:tr>
      <w:tr>
        <w:trPr>
          <w:trHeight w:val="206"/>
        </w:trPr>
        <w:tc>
          <w:tcPr>
            <w:tcW w:w="82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1,119,349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1,050,975</w:t>
            </w:r>
          </w:p>
        </w:tc>
      </w:tr>
      <w:tr>
        <w:trPr>
          <w:trHeight w:val="24"/>
        </w:trPr>
        <w:tc>
          <w:tcPr>
            <w:tcW w:w="8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2"/>
        </w:trPr>
        <w:tc>
          <w:tcPr>
            <w:tcW w:w="66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19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 and reimbursable expenses: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905,640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844,127</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876,757</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Reimbursable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88,717</w:t>
            </w:r>
          </w:p>
        </w:tc>
      </w:tr>
      <w:tr>
        <w:trPr>
          <w:trHeight w:val="207"/>
        </w:trPr>
        <w:tc>
          <w:tcPr>
            <w:tcW w:w="6660" w:type="dxa"/>
            <w:vAlign w:val="bottom"/>
          </w:tcPr>
          <w:p>
            <w:pPr>
              <w:ind w:left="360"/>
              <w:spacing w:after="0"/>
              <w:rPr>
                <w:sz w:val="20"/>
                <w:szCs w:val="20"/>
                <w:color w:val="auto"/>
              </w:rPr>
            </w:pPr>
            <w:r>
              <w:rPr>
                <w:rFonts w:ascii="Arial" w:cs="Arial" w:eastAsia="Arial" w:hAnsi="Arial"/>
                <w:sz w:val="16"/>
                <w:szCs w:val="16"/>
                <w:color w:val="auto"/>
              </w:rPr>
              <w:t>Total revenues and reimbursable expenses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926,958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871,014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965,474</w:t>
            </w:r>
          </w:p>
        </w:tc>
      </w:tr>
      <w:tr>
        <w:trPr>
          <w:trHeight w:val="180"/>
        </w:trPr>
        <w:tc>
          <w:tcPr>
            <w:tcW w:w="66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 xml:space="preserve">Direct costs and reimbursable expenses </w:t>
            </w:r>
            <w:r>
              <w:rPr>
                <w:rFonts w:ascii="Arial" w:cs="Arial" w:eastAsia="Arial" w:hAnsi="Arial"/>
                <w:sz w:val="16"/>
                <w:szCs w:val="16"/>
                <w:color w:val="auto"/>
              </w:rPr>
              <w:t>(exclusive of depreciation and amortization</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shown in operating expenses):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636,776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592,428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575,602</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 and software development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5,375</w:t>
            </w:r>
          </w:p>
        </w:tc>
      </w:tr>
      <w:tr>
        <w:trPr>
          <w:trHeight w:val="21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Reimbursable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88,696</w:t>
            </w:r>
          </w:p>
        </w:tc>
      </w:tr>
      <w:tr>
        <w:trPr>
          <w:trHeight w:val="212"/>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direct costs and reimbursable expenses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661,948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624,712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669,673</w:t>
            </w:r>
          </w:p>
        </w:tc>
      </w:tr>
      <w:tr>
        <w:trPr>
          <w:trHeight w:val="195"/>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Operating expenses and other losses (gains), net: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203,071</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20,525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1,855</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and other losses (gains)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21,686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28,365</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 charges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 and other losses (gains), net</w:t>
            </w: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212,171</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275,154</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232,095</w:t>
            </w:r>
          </w:p>
        </w:tc>
      </w:tr>
      <w:tr>
        <w:trPr>
          <w:trHeight w:val="21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63,706</w:t>
            </w: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 net: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 of interest income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(15,648)</w:t>
            </w:r>
          </w:p>
        </w:tc>
      </w:tr>
      <w:tr>
        <w:trPr>
          <w:trHeight w:val="21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35,347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4,433</w:t>
            </w:r>
          </w:p>
        </w:tc>
      </w:tr>
      <w:tr>
        <w:trPr>
          <w:trHeight w:val="212"/>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income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27,197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(11,215)</w:t>
            </w:r>
          </w:p>
        </w:tc>
      </w:tr>
      <w:tr>
        <w:trPr>
          <w:trHeight w:val="207"/>
        </w:trPr>
        <w:tc>
          <w:tcPr>
            <w:tcW w:w="6660" w:type="dxa"/>
            <w:vAlign w:val="bottom"/>
          </w:tcPr>
          <w:p>
            <w:pPr>
              <w:ind w:left="20"/>
              <w:spacing w:after="0"/>
              <w:rPr>
                <w:sz w:val="20"/>
                <w:szCs w:val="20"/>
                <w:color w:val="auto"/>
              </w:rPr>
            </w:pPr>
            <w:r>
              <w:rPr>
                <w:rFonts w:ascii="Arial" w:cs="Arial" w:eastAsia="Arial" w:hAnsi="Arial"/>
                <w:sz w:val="16"/>
                <w:szCs w:val="16"/>
                <w:color w:val="auto"/>
              </w:rPr>
              <w:t>Income (loss) from continuing operations before taxes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80,036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(33,873)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52,491</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10,512</w:t>
            </w:r>
          </w:p>
        </w:tc>
      </w:tr>
      <w:tr>
        <w:trPr>
          <w:trHeight w:val="206"/>
        </w:trPr>
        <w:tc>
          <w:tcPr>
            <w:tcW w:w="6660" w:type="dxa"/>
            <w:vAlign w:val="bottom"/>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62,987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41,979</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 net of tax</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06"/>
        </w:trPr>
        <w:tc>
          <w:tcPr>
            <w:tcW w:w="66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62,987</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(23,840)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41,743</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666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Net earnings (loss) per basic share:</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6660" w:type="dxa"/>
            <w:vAlign w:val="bottom"/>
          </w:tcPr>
          <w:p>
            <w:pPr>
              <w:ind w:left="360"/>
              <w:spacing w:after="0"/>
              <w:rPr>
                <w:sz w:val="20"/>
                <w:szCs w:val="20"/>
                <w:color w:val="auto"/>
              </w:rPr>
            </w:pPr>
            <w:r>
              <w:rPr>
                <w:rFonts w:ascii="Arial" w:cs="Arial" w:eastAsia="Arial" w:hAnsi="Arial"/>
                <w:sz w:val="16"/>
                <w:szCs w:val="16"/>
                <w:color w:val="auto"/>
              </w:rPr>
              <w:t>Net income (loss) from continuing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19"/>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discontinued operations, net of tax</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07"/>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w:t>
            </w:r>
          </w:p>
        </w:tc>
      </w:tr>
      <w:tr>
        <w:trPr>
          <w:trHeight w:val="19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 per diluted share: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360"/>
              <w:spacing w:after="0"/>
              <w:rPr>
                <w:sz w:val="20"/>
                <w:szCs w:val="20"/>
                <w:color w:val="auto"/>
              </w:rPr>
            </w:pPr>
            <w:r>
              <w:rPr>
                <w:rFonts w:ascii="Arial" w:cs="Arial" w:eastAsia="Arial" w:hAnsi="Arial"/>
                <w:sz w:val="16"/>
                <w:szCs w:val="16"/>
                <w:color w:val="auto"/>
              </w:rPr>
              <w:t>Net income (loss) from continuing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9"/>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discontinued operations, net of tax</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07"/>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w:t>
            </w:r>
          </w:p>
        </w:tc>
      </w:tr>
      <w:tr>
        <w:trPr>
          <w:trHeight w:val="19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used in calculating earnings per share: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36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21,439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21,993</w:t>
            </w:r>
          </w:p>
        </w:tc>
      </w:tr>
      <w:tr>
        <w:trPr>
          <w:trHeight w:val="219"/>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22,507</w:t>
            </w: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41,743</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 net of tax</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(loss) on investment, net of tax</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r>
      <w:tr>
        <w:trPr>
          <w:trHeight w:val="21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gain (loss) on cash flow hedging instruments, net of tax</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w:t>
            </w:r>
          </w:p>
        </w:tc>
      </w:tr>
      <w:tr>
        <w:trPr>
          <w:trHeight w:val="21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w:t>
            </w:r>
          </w:p>
        </w:tc>
      </w:tr>
      <w:tr>
        <w:trPr>
          <w:trHeight w:val="206"/>
        </w:trPr>
        <w:tc>
          <w:tcPr>
            <w:tcW w:w="666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66,766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40,184</w:t>
            </w:r>
          </w:p>
        </w:tc>
      </w:tr>
      <w:tr>
        <w:trPr>
          <w:trHeight w:val="24"/>
        </w:trPr>
        <w:tc>
          <w:tcPr>
            <w:tcW w:w="6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color w:val="auto"/>
              </w:rPr>
              <w:t>Accumulated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6"/>
                <w:szCs w:val="16"/>
                <w:color w:val="auto"/>
              </w:rPr>
              <w:t>Common Stock</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vMerge w:val="restart"/>
          </w:tcPr>
          <w:p>
            <w:pPr>
              <w:ind w:left="440"/>
              <w:spacing w:after="0"/>
              <w:rPr>
                <w:sz w:val="20"/>
                <w:szCs w:val="20"/>
                <w:color w:val="auto"/>
              </w:rPr>
            </w:pPr>
            <w:r>
              <w:rPr>
                <w:rFonts w:ascii="Arial" w:cs="Arial" w:eastAsia="Arial" w:hAnsi="Arial"/>
                <w:sz w:val="16"/>
                <w:szCs w:val="16"/>
                <w:color w:val="auto"/>
              </w:rPr>
              <w:t>Treasury Stock</w:t>
            </w:r>
          </w:p>
        </w:tc>
        <w:tc>
          <w:tcPr>
            <w:tcW w:w="1000" w:type="dxa"/>
            <w:vAlign w:val="bottom"/>
            <w:gridSpan w:val="3"/>
          </w:tcPr>
          <w:p>
            <w:pPr>
              <w:jc w:val="center"/>
              <w:ind w:right="120"/>
              <w:spacing w:after="0" w:line="162" w:lineRule="exact"/>
              <w:rPr>
                <w:sz w:val="20"/>
                <w:szCs w:val="20"/>
                <w:color w:val="auto"/>
              </w:rPr>
            </w:pPr>
            <w:r>
              <w:rPr>
                <w:rFonts w:ascii="Arial" w:cs="Arial" w:eastAsia="Arial" w:hAnsi="Arial"/>
                <w:sz w:val="16"/>
                <w:szCs w:val="16"/>
                <w:color w:val="auto"/>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9"/>
              </w:rPr>
              <w:t>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66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color w:val="auto"/>
              </w:rPr>
              <w:t>Paid-In</w:t>
            </w:r>
          </w:p>
        </w:tc>
        <w:tc>
          <w:tcPr>
            <w:tcW w:w="120" w:type="dxa"/>
            <w:vAlign w:val="bottom"/>
          </w:tcPr>
          <w:p>
            <w:pPr>
              <w:spacing w:after="0"/>
              <w:rPr>
                <w:sz w:val="7"/>
                <w:szCs w:val="7"/>
                <w:color w:val="auto"/>
              </w:rPr>
            </w:pPr>
          </w:p>
        </w:tc>
        <w:tc>
          <w:tcPr>
            <w:tcW w:w="900" w:type="dxa"/>
            <w:vAlign w:val="bottom"/>
            <w:gridSpan w:val="2"/>
            <w:vMerge w:val="restart"/>
          </w:tcPr>
          <w:p>
            <w:pPr>
              <w:ind w:left="20"/>
              <w:spacing w:after="0" w:line="162" w:lineRule="exact"/>
              <w:rPr>
                <w:sz w:val="20"/>
                <w:szCs w:val="20"/>
                <w:color w:val="auto"/>
              </w:rPr>
            </w:pPr>
            <w:r>
              <w:rPr>
                <w:rFonts w:ascii="Arial" w:cs="Arial" w:eastAsia="Arial" w:hAnsi="Arial"/>
                <w:sz w:val="16"/>
                <w:szCs w:val="16"/>
                <w:color w:val="auto"/>
              </w:rPr>
              <w:t>Retained</w:t>
            </w:r>
          </w:p>
        </w:tc>
        <w:tc>
          <w:tcPr>
            <w:tcW w:w="1380" w:type="dxa"/>
            <w:vAlign w:val="bottom"/>
            <w:gridSpan w:val="3"/>
            <w:vMerge w:val="restart"/>
          </w:tcPr>
          <w:p>
            <w:pPr>
              <w:jc w:val="center"/>
              <w:ind w:right="120"/>
              <w:spacing w:after="0" w:line="162" w:lineRule="exact"/>
              <w:rPr>
                <w:sz w:val="20"/>
                <w:szCs w:val="20"/>
                <w:color w:val="auto"/>
              </w:rPr>
            </w:pPr>
            <w:r>
              <w:rPr>
                <w:rFonts w:ascii="Arial" w:cs="Arial" w:eastAsia="Arial" w:hAnsi="Arial"/>
                <w:sz w:val="16"/>
                <w:szCs w:val="16"/>
                <w:color w:val="auto"/>
              </w:rPr>
              <w:t>Comprehensive</w:t>
            </w:r>
          </w:p>
        </w:tc>
        <w:tc>
          <w:tcPr>
            <w:tcW w:w="1140" w:type="dxa"/>
            <w:vAlign w:val="bottom"/>
            <w:gridSpan w:val="2"/>
            <w:vMerge w:val="restart"/>
          </w:tcPr>
          <w:p>
            <w:pPr>
              <w:jc w:val="right"/>
              <w:ind w:right="19"/>
              <w:spacing w:after="0" w:line="162" w:lineRule="exact"/>
              <w:rPr>
                <w:sz w:val="20"/>
                <w:szCs w:val="20"/>
                <w:color w:val="auto"/>
              </w:rPr>
            </w:pPr>
            <w:r>
              <w:rPr>
                <w:rFonts w:ascii="Arial" w:cs="Arial" w:eastAsia="Arial" w:hAnsi="Arial"/>
                <w:sz w:val="16"/>
                <w:szCs w:val="16"/>
                <w:color w:val="auto"/>
              </w:rPr>
              <w:t>Stockholders'</w:t>
            </w:r>
          </w:p>
        </w:tc>
        <w:tc>
          <w:tcPr>
            <w:tcW w:w="0" w:type="dxa"/>
            <w:vAlign w:val="bottom"/>
          </w:tcPr>
          <w:p>
            <w:pPr>
              <w:spacing w:after="0"/>
              <w:rPr>
                <w:sz w:val="1"/>
                <w:szCs w:val="1"/>
                <w:color w:val="auto"/>
              </w:rPr>
            </w:pPr>
          </w:p>
        </w:tc>
      </w:tr>
      <w:tr>
        <w:trPr>
          <w:trHeight w:val="52"/>
        </w:trPr>
        <w:tc>
          <w:tcPr>
            <w:tcW w:w="266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6"/>
                <w:szCs w:val="16"/>
                <w:color w:val="auto"/>
              </w:rPr>
              <w:t>Shares</w:t>
            </w:r>
          </w:p>
        </w:tc>
        <w:tc>
          <w:tcPr>
            <w:tcW w:w="860" w:type="dxa"/>
            <w:vAlign w:val="bottom"/>
            <w:gridSpan w:val="3"/>
          </w:tcPr>
          <w:p>
            <w:pPr>
              <w:ind w:left="100"/>
              <w:spacing w:after="0"/>
              <w:rPr>
                <w:sz w:val="20"/>
                <w:szCs w:val="20"/>
                <w:color w:val="auto"/>
              </w:rPr>
            </w:pPr>
            <w:r>
              <w:rPr>
                <w:rFonts w:ascii="Arial" w:cs="Arial" w:eastAsia="Arial" w:hAnsi="Arial"/>
                <w:sz w:val="16"/>
                <w:szCs w:val="16"/>
                <w:color w:val="auto"/>
              </w:rPr>
              <w:t>Amount</w:t>
            </w:r>
          </w:p>
        </w:tc>
        <w:tc>
          <w:tcPr>
            <w:tcW w:w="1040" w:type="dxa"/>
            <w:vAlign w:val="bottom"/>
            <w:gridSpan w:val="2"/>
          </w:tcPr>
          <w:p>
            <w:pPr>
              <w:ind w:left="20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color w:val="auto"/>
              </w:rPr>
              <w:t>Amount</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rPr>
              <w:t>Capital</w:t>
            </w:r>
          </w:p>
        </w:tc>
        <w:tc>
          <w:tcPr>
            <w:tcW w:w="12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color w:val="auto"/>
              </w:rPr>
              <w:t>Earnings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Income</w:t>
            </w:r>
          </w:p>
        </w:tc>
        <w:tc>
          <w:tcPr>
            <w:tcW w:w="240" w:type="dxa"/>
            <w:vAlign w:val="bottom"/>
          </w:tcPr>
          <w:p>
            <w:pPr>
              <w:spacing w:after="0"/>
              <w:rPr>
                <w:sz w:val="17"/>
                <w:szCs w:val="17"/>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212"/>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24,418,252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(2,671,962)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(124,794)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452,573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196,106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540,624</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41,743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40,184</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 in</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connection with:</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660" w:type="dxa"/>
            <w:vAlign w:val="bottom"/>
          </w:tcPr>
          <w:p>
            <w:pPr>
              <w:ind w:left="360"/>
              <w:spacing w:after="0" w:line="178" w:lineRule="exact"/>
              <w:rPr>
                <w:sz w:val="20"/>
                <w:szCs w:val="20"/>
                <w:color w:val="auto"/>
              </w:rPr>
            </w:pPr>
            <w:r>
              <w:rPr>
                <w:rFonts w:ascii="Arial" w:cs="Arial" w:eastAsia="Arial" w:hAnsi="Arial"/>
                <w:sz w:val="16"/>
                <w:szCs w:val="16"/>
                <w:color w:val="auto"/>
              </w:rPr>
              <w:t>Restricted stock awards, net of</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360"/>
              <w:spacing w:after="0"/>
              <w:rPr>
                <w:sz w:val="20"/>
                <w:szCs w:val="20"/>
                <w:color w:val="auto"/>
              </w:rPr>
            </w:pPr>
            <w:r>
              <w:rPr>
                <w:rFonts w:ascii="Arial" w:cs="Arial" w:eastAsia="Arial" w:hAnsi="Arial"/>
                <w:sz w:val="16"/>
                <w:szCs w:val="16"/>
                <w:color w:val="auto"/>
              </w:rPr>
              <w:t>cancellations</w:t>
            </w:r>
          </w:p>
        </w:tc>
        <w:tc>
          <w:tcPr>
            <w:tcW w:w="1000" w:type="dxa"/>
            <w:vAlign w:val="bottom"/>
          </w:tcPr>
          <w:p>
            <w:pPr>
              <w:jc w:val="right"/>
              <w:spacing w:after="0"/>
              <w:rPr>
                <w:sz w:val="20"/>
                <w:szCs w:val="20"/>
                <w:color w:val="auto"/>
              </w:rPr>
            </w:pPr>
            <w:r>
              <w:rPr>
                <w:rFonts w:ascii="Arial" w:cs="Arial" w:eastAsia="Arial" w:hAnsi="Arial"/>
                <w:sz w:val="16"/>
                <w:szCs w:val="16"/>
                <w:color w:val="auto"/>
              </w:rPr>
              <w:t>347,589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22,854</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Shares redeemed for employee tax</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(5,382)</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Other capital contributions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(14,219)</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24,603,308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(2,763,302)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(128,348)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460,781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237,849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585,465</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(25,715)</w:t>
            </w:r>
          </w:p>
        </w:tc>
        <w:tc>
          <w:tcPr>
            <w:tcW w:w="0" w:type="dxa"/>
            <w:vAlign w:val="bottom"/>
          </w:tcPr>
          <w:p>
            <w:pPr>
              <w:spacing w:after="0"/>
              <w:rPr>
                <w:sz w:val="1"/>
                <w:szCs w:val="1"/>
                <w:color w:val="auto"/>
              </w:rPr>
            </w:pPr>
          </w:p>
        </w:tc>
      </w:tr>
      <w:tr>
        <w:trPr>
          <w:trHeight w:val="177"/>
        </w:trPr>
        <w:tc>
          <w:tcPr>
            <w:tcW w:w="2660" w:type="dxa"/>
            <w:vAlign w:val="bottom"/>
          </w:tcPr>
          <w:p>
            <w:pPr>
              <w:ind w:left="20"/>
              <w:spacing w:after="0" w:line="178" w:lineRule="exact"/>
              <w:rPr>
                <w:sz w:val="20"/>
                <w:szCs w:val="20"/>
                <w:color w:val="auto"/>
              </w:rPr>
            </w:pPr>
            <w:r>
              <w:rPr>
                <w:rFonts w:ascii="Arial" w:cs="Arial" w:eastAsia="Arial" w:hAnsi="Arial"/>
                <w:sz w:val="16"/>
                <w:szCs w:val="16"/>
                <w:color w:val="auto"/>
              </w:rPr>
              <w:t>Issuance of common stock in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20"/>
              <w:spacing w:after="0"/>
              <w:rPr>
                <w:sz w:val="20"/>
                <w:szCs w:val="20"/>
                <w:color w:val="auto"/>
              </w:rPr>
            </w:pPr>
            <w:r>
              <w:rPr>
                <w:rFonts w:ascii="Arial" w:cs="Arial" w:eastAsia="Arial" w:hAnsi="Arial"/>
                <w:sz w:val="16"/>
                <w:szCs w:val="16"/>
                <w:color w:val="auto"/>
              </w:rPr>
              <w:t>connection with:</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Restricted stock awards, net of</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cancellations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342,311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6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40,400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24,998</w:t>
            </w:r>
          </w:p>
        </w:tc>
        <w:tc>
          <w:tcPr>
            <w:tcW w:w="0" w:type="dxa"/>
            <w:vAlign w:val="bottom"/>
          </w:tcPr>
          <w:p>
            <w:pPr>
              <w:spacing w:after="0"/>
              <w:rPr>
                <w:sz w:val="1"/>
                <w:szCs w:val="1"/>
                <w:color w:val="auto"/>
              </w:rPr>
            </w:pPr>
          </w:p>
        </w:tc>
      </w:tr>
      <w:tr>
        <w:trPr>
          <w:trHeight w:val="177"/>
        </w:trPr>
        <w:tc>
          <w:tcPr>
            <w:tcW w:w="2660" w:type="dxa"/>
            <w:vAlign w:val="bottom"/>
          </w:tcPr>
          <w:p>
            <w:pPr>
              <w:ind w:left="20"/>
              <w:spacing w:after="0" w:line="178" w:lineRule="exact"/>
              <w:rPr>
                <w:sz w:val="20"/>
                <w:szCs w:val="20"/>
                <w:color w:val="auto"/>
              </w:rPr>
            </w:pPr>
            <w:r>
              <w:rPr>
                <w:rFonts w:ascii="Arial" w:cs="Arial" w:eastAsia="Arial" w:hAnsi="Arial"/>
                <w:sz w:val="16"/>
                <w:szCs w:val="16"/>
                <w:color w:val="auto"/>
              </w:rPr>
              <w:t>Shares redeemed for employee tax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20"/>
              <w:spacing w:after="0"/>
              <w:rPr>
                <w:sz w:val="20"/>
                <w:szCs w:val="20"/>
                <w:color w:val="auto"/>
              </w:rPr>
            </w:pPr>
            <w:r>
              <w:rPr>
                <w:rFonts w:ascii="Arial" w:cs="Arial" w:eastAsia="Arial" w:hAnsi="Arial"/>
                <w:sz w:val="16"/>
                <w:szCs w:val="16"/>
                <w:color w:val="auto"/>
              </w:rPr>
              <w:t>withholdings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(136,749)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(7,903)</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(425,164)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(25,906)</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24,560,855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(2,812,896)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(129,886)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454,512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214,009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551,942</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66,766</w:t>
            </w:r>
          </w:p>
        </w:tc>
        <w:tc>
          <w:tcPr>
            <w:tcW w:w="0" w:type="dxa"/>
            <w:vAlign w:val="bottom"/>
          </w:tcPr>
          <w:p>
            <w:pPr>
              <w:spacing w:after="0"/>
              <w:rPr>
                <w:sz w:val="1"/>
                <w:szCs w:val="1"/>
                <w:color w:val="auto"/>
              </w:rPr>
            </w:pPr>
          </w:p>
        </w:tc>
      </w:tr>
      <w:tr>
        <w:trPr>
          <w:trHeight w:val="177"/>
        </w:trPr>
        <w:tc>
          <w:tcPr>
            <w:tcW w:w="2660" w:type="dxa"/>
            <w:vAlign w:val="bottom"/>
          </w:tcPr>
          <w:p>
            <w:pPr>
              <w:ind w:left="20"/>
              <w:spacing w:after="0" w:line="178" w:lineRule="exact"/>
              <w:rPr>
                <w:sz w:val="20"/>
                <w:szCs w:val="20"/>
                <w:color w:val="auto"/>
              </w:rPr>
            </w:pPr>
            <w:r>
              <w:rPr>
                <w:rFonts w:ascii="Arial" w:cs="Arial" w:eastAsia="Arial" w:hAnsi="Arial"/>
                <w:sz w:val="16"/>
                <w:szCs w:val="16"/>
                <w:color w:val="auto"/>
              </w:rPr>
              <w:t>Issuance of common stock in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20"/>
              <w:spacing w:after="0"/>
              <w:rPr>
                <w:sz w:val="20"/>
                <w:szCs w:val="20"/>
                <w:color w:val="auto"/>
              </w:rPr>
            </w:pPr>
            <w:r>
              <w:rPr>
                <w:rFonts w:ascii="Arial" w:cs="Arial" w:eastAsia="Arial" w:hAnsi="Arial"/>
                <w:sz w:val="16"/>
                <w:szCs w:val="16"/>
                <w:color w:val="auto"/>
              </w:rPr>
              <w:t>connection with:</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Restricted stock awards, net of</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cancellations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475,250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6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23,403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business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23,971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23,971</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Shares redeemed for employee tax</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(10,103)</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 repurchases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(1,265,261)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(64,790)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(64,803)</w:t>
            </w:r>
          </w:p>
        </w:tc>
        <w:tc>
          <w:tcPr>
            <w:tcW w:w="0" w:type="dxa"/>
            <w:vAlign w:val="bottom"/>
          </w:tcPr>
          <w:p>
            <w:pPr>
              <w:spacing w:after="0"/>
              <w:rPr>
                <w:sz w:val="1"/>
                <w:szCs w:val="1"/>
                <w:color w:val="auto"/>
              </w:rPr>
            </w:pPr>
          </w:p>
        </w:tc>
      </w:tr>
      <w:tr>
        <w:trPr>
          <w:trHeight w:val="23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23,868,918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(2,908,849)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413,794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276,996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571,900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62,987</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(23,840)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41,743</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25,978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30,222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34,405</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8,397</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Lease impairment charges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24,213</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8,264</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 charges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Allowances for doubtful accounts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8,795</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(Gain) loss on sales of businesses, excluding transaction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(32,824)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Change in fair value of preferred stock investment</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receivables from clients,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(10,123)</w:t>
            </w:r>
          </w:p>
        </w:tc>
        <w:tc>
          <w:tcPr>
            <w:tcW w:w="0" w:type="dxa"/>
            <w:vAlign w:val="bottom"/>
          </w:tcPr>
          <w:p>
            <w:pPr>
              <w:spacing w:after="0"/>
              <w:rPr>
                <w:sz w:val="1"/>
                <w:szCs w:val="1"/>
                <w:color w:val="auto"/>
              </w:rPr>
            </w:pPr>
          </w:p>
        </w:tc>
      </w:tr>
      <w:tr>
        <w:trPr>
          <w:trHeight w:val="213"/>
        </w:trPr>
        <w:tc>
          <w:tcPr>
            <w:tcW w:w="7720" w:type="dxa"/>
            <w:vAlign w:val="bottom"/>
          </w:tcPr>
          <w:p>
            <w:pPr>
              <w:ind w:left="340"/>
              <w:spacing w:after="0"/>
              <w:rPr>
                <w:sz w:val="20"/>
                <w:szCs w:val="20"/>
                <w:color w:val="auto"/>
              </w:rPr>
            </w:pPr>
            <w:r>
              <w:rPr>
                <w:rFonts w:ascii="Arial" w:cs="Arial" w:eastAsia="Arial" w:hAnsi="Arial"/>
                <w:sz w:val="16"/>
                <w:szCs w:val="16"/>
                <w:color w:val="auto"/>
              </w:rPr>
              <w:t>(Increase) decrease in unbilled services,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(38,820)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(10,269)</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current income tax receivable / payable,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w:t>
            </w:r>
          </w:p>
        </w:tc>
        <w:tc>
          <w:tcPr>
            <w:tcW w:w="0" w:type="dxa"/>
            <w:vAlign w:val="bottom"/>
          </w:tcPr>
          <w:p>
            <w:pPr>
              <w:spacing w:after="0"/>
              <w:rPr>
                <w:sz w:val="1"/>
                <w:szCs w:val="1"/>
                <w:color w:val="auto"/>
              </w:rPr>
            </w:pPr>
          </w:p>
        </w:tc>
      </w:tr>
      <w:tr>
        <w:trPr>
          <w:trHeight w:val="213"/>
        </w:trPr>
        <w:tc>
          <w:tcPr>
            <w:tcW w:w="7720" w:type="dxa"/>
            <w:vAlign w:val="bottom"/>
          </w:tcPr>
          <w:p>
            <w:pPr>
              <w:ind w:left="340"/>
              <w:spacing w:after="0"/>
              <w:rPr>
                <w:sz w:val="20"/>
                <w:szCs w:val="20"/>
                <w:color w:val="auto"/>
              </w:rPr>
            </w:pPr>
            <w:r>
              <w:rPr>
                <w:rFonts w:ascii="Arial" w:cs="Arial" w:eastAsia="Arial" w:hAnsi="Arial"/>
                <w:sz w:val="16"/>
                <w:szCs w:val="16"/>
                <w:color w:val="auto"/>
              </w:rPr>
              <w:t>(Increase) decrease in other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accounts payable and accrued liabilities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(6,884)</w:t>
            </w:r>
          </w:p>
        </w:tc>
        <w:tc>
          <w:tcPr>
            <w:tcW w:w="0" w:type="dxa"/>
            <w:vAlign w:val="bottom"/>
          </w:tcPr>
          <w:p>
            <w:pPr>
              <w:spacing w:after="0"/>
              <w:rPr>
                <w:sz w:val="1"/>
                <w:szCs w:val="1"/>
                <w:color w:val="auto"/>
              </w:rPr>
            </w:pPr>
          </w:p>
        </w:tc>
      </w:tr>
      <w:tr>
        <w:trPr>
          <w:trHeight w:val="213"/>
        </w:trPr>
        <w:tc>
          <w:tcPr>
            <w:tcW w:w="7720" w:type="dxa"/>
            <w:vAlign w:val="bottom"/>
          </w:tcPr>
          <w:p>
            <w:pPr>
              <w:ind w:left="340"/>
              <w:spacing w:after="0"/>
              <w:rPr>
                <w:sz w:val="20"/>
                <w:szCs w:val="20"/>
                <w:color w:val="auto"/>
              </w:rPr>
            </w:pPr>
            <w:r>
              <w:rPr>
                <w:rFonts w:ascii="Arial" w:cs="Arial" w:eastAsia="Arial" w:hAnsi="Arial"/>
                <w:sz w:val="16"/>
                <w:szCs w:val="16"/>
                <w:color w:val="auto"/>
              </w:rPr>
              <w:t>Increase (decrease) in accrued payroll and related benefits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30,339</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deferred revenues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6"/>
        </w:trPr>
        <w:tc>
          <w:tcPr>
            <w:tcW w:w="77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136,738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132,220</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(13,240)</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life insurance policies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(4,703)</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(44,819)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investment securities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Capitalization of internally developed software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(10,312)</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Divestitures of businesses, net of cash sold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41,273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(20,143)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(35,002)</w:t>
            </w:r>
          </w:p>
        </w:tc>
        <w:tc>
          <w:tcPr>
            <w:tcW w:w="0" w:type="dxa"/>
            <w:vAlign w:val="bottom"/>
          </w:tcPr>
          <w:p>
            <w:pPr>
              <w:spacing w:after="0"/>
              <w:rPr>
                <w:sz w:val="1"/>
                <w:szCs w:val="1"/>
                <w:color w:val="auto"/>
              </w:rPr>
            </w:pPr>
          </w:p>
        </w:tc>
      </w:tr>
      <w:tr>
        <w:trPr>
          <w:trHeight w:val="195"/>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(5,382)</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(12,985)</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bank borrowings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283,000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347,000</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bank borrowings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(192,515)</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Repayment of convertible notes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(250,000)</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debt issuance costs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Payments for contingent consideration liabilities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(4,674)</w:t>
            </w:r>
          </w:p>
        </w:tc>
        <w:tc>
          <w:tcPr>
            <w:tcW w:w="0" w:type="dxa"/>
            <w:vAlign w:val="bottom"/>
          </w:tcPr>
          <w:p>
            <w:pPr>
              <w:spacing w:after="0"/>
              <w:rPr>
                <w:sz w:val="1"/>
                <w:szCs w:val="1"/>
                <w:color w:val="auto"/>
              </w:rPr>
            </w:pPr>
          </w:p>
        </w:tc>
      </w:tr>
      <w:tr>
        <w:trPr>
          <w:trHeight w:val="213"/>
        </w:trPr>
        <w:tc>
          <w:tcPr>
            <w:tcW w:w="77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(44,410)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(39,615)</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(118,836)</w:t>
            </w:r>
          </w:p>
        </w:tc>
        <w:tc>
          <w:tcPr>
            <w:tcW w:w="0" w:type="dxa"/>
            <w:vAlign w:val="bottom"/>
          </w:tcPr>
          <w:p>
            <w:pPr>
              <w:spacing w:after="0"/>
              <w:rPr>
                <w:sz w:val="1"/>
                <w:szCs w:val="1"/>
                <w:color w:val="auto"/>
              </w:rPr>
            </w:pPr>
          </w:p>
        </w:tc>
      </w:tr>
      <w:tr>
        <w:trPr>
          <w:trHeight w:val="206"/>
        </w:trPr>
        <w:tc>
          <w:tcPr>
            <w:tcW w:w="77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(21,503)</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67,177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33,107</w:t>
            </w:r>
          </w:p>
        </w:tc>
        <w:tc>
          <w:tcPr>
            <w:tcW w:w="0" w:type="dxa"/>
            <w:vAlign w:val="bottom"/>
          </w:tcPr>
          <w:p>
            <w:pPr>
              <w:spacing w:after="0"/>
              <w:rPr>
                <w:sz w:val="1"/>
                <w:szCs w:val="1"/>
                <w:color w:val="auto"/>
              </w:rPr>
            </w:pPr>
          </w:p>
        </w:tc>
      </w:tr>
      <w:tr>
        <w:trPr>
          <w:trHeight w:val="23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20,781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67,177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11,604</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720" w:type="dxa"/>
            <w:vAlign w:val="bottom"/>
          </w:tcPr>
          <w:p>
            <w:pPr>
              <w:ind w:left="340"/>
              <w:spacing w:after="0" w:line="178" w:lineRule="exact"/>
              <w:rPr>
                <w:sz w:val="20"/>
                <w:szCs w:val="20"/>
                <w:color w:val="auto"/>
              </w:rPr>
            </w:pPr>
            <w:r>
              <w:rPr>
                <w:rFonts w:ascii="Arial" w:cs="Arial" w:eastAsia="Arial" w:hAnsi="Arial"/>
                <w:sz w:val="16"/>
                <w:szCs w:val="16"/>
                <w:color w:val="auto"/>
              </w:rPr>
              <w:t>Property and equipment expenditures and capitalized software included in accounts payable, accrued</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340"/>
              <w:spacing w:after="0"/>
              <w:rPr>
                <w:sz w:val="20"/>
                <w:szCs w:val="20"/>
                <w:color w:val="auto"/>
              </w:rPr>
            </w:pPr>
            <w:r>
              <w:rPr>
                <w:rFonts w:ascii="Arial" w:cs="Arial" w:eastAsia="Arial" w:hAnsi="Arial"/>
                <w:sz w:val="16"/>
                <w:szCs w:val="16"/>
                <w:color w:val="auto"/>
              </w:rPr>
              <w:t>expenses and accrued payroll and related benefits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4,733</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Contingent consideration related to purchases of businesses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340"/>
              <w:spacing w:after="0"/>
              <w:rPr>
                <w:sz w:val="20"/>
                <w:szCs w:val="20"/>
                <w:color w:val="auto"/>
              </w:rPr>
            </w:pPr>
            <w:r>
              <w:rPr>
                <w:rFonts w:ascii="Arial" w:cs="Arial" w:eastAsia="Arial" w:hAnsi="Arial"/>
                <w:sz w:val="16"/>
                <w:szCs w:val="16"/>
                <w:color w:val="auto"/>
              </w:rPr>
              <w:t>Common stock issued related to purchase of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3,323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 repurchases included in 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Cash paid during the year for:</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7,971</w:t>
            </w:r>
          </w:p>
        </w:tc>
        <w:tc>
          <w:tcPr>
            <w:tcW w:w="0" w:type="dxa"/>
            <w:vAlign w:val="bottom"/>
          </w:tcPr>
          <w:p>
            <w:pPr>
              <w:spacing w:after="0"/>
              <w:rPr>
                <w:sz w:val="1"/>
                <w:szCs w:val="1"/>
                <w:color w:val="auto"/>
              </w:rPr>
            </w:pPr>
          </w:p>
        </w:tc>
      </w:tr>
      <w:tr>
        <w:trPr>
          <w:trHeight w:val="210"/>
        </w:trPr>
        <w:tc>
          <w:tcPr>
            <w:tcW w:w="7720" w:type="dxa"/>
            <w:vAlign w:val="bottom"/>
          </w:tcPr>
          <w:p>
            <w:pPr>
              <w:ind w:left="340"/>
              <w:spacing w:after="0"/>
              <w:rPr>
                <w:sz w:val="20"/>
                <w:szCs w:val="20"/>
                <w:color w:val="auto"/>
              </w:rPr>
            </w:pPr>
            <w:r>
              <w:rPr>
                <w:rFonts w:ascii="Arial" w:cs="Arial" w:eastAsia="Arial" w:hAnsi="Arial"/>
                <w:sz w:val="16"/>
                <w:szCs w:val="16"/>
                <w:color w:val="auto"/>
              </w:rPr>
              <w:t>Income taxes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8,449</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4,721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20"/>
          </w:cols>
          <w:pgMar w:left="320" w:top="140" w:right="359" w:bottom="902"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902"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our clients need to own their future. By embracing diverse perspectives, encouraging new ideas and challenging the status quo, Huron delivers sustainable results for the organizations it serves.</w:t>
      </w:r>
    </w:p>
    <w:p>
      <w:pPr>
        <w:spacing w:after="0" w:line="15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We provide our services and manage our business under three operating segments: Healthcare, Business Advisory, and Education. See Note 19 “Segment Information” for a discussion of our three segments.</w:t>
      </w:r>
    </w:p>
    <w:p>
      <w:pPr>
        <w:spacing w:after="0" w:line="14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pacing w:after="0" w:line="148"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will begin reporting under the following three industries, which will be our reportable segments: Healthcare, Education and Commercial. The Commercial segment will include all industries outside of healthcare and education, including, but not limited to, financial services and energy and utilities. In the new reporting structure, each segment will include all revenue and costs associated with engagements delivered in the respective industry segments. The new Healthcare and Education segments will include some revenue and costs historically reported in the Business Advisory segment and the Healthcare segment will include some revenue and costs historically reported in the Education segment. We will also provide revenue reporting across two principal capabilities: i) Consulting and Managed Services and ii) Digital. These changes will create greater transparency for investors by improving visibility into the core drivers of our business. While our consolidated results will not be impacted, we will recast our historical segment information during 2022 for consistent presentation.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9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The accompanying consolidated financial statements reflect the financial position at December 31, 2021 and 2020, and the results of operations and cash flows for the years ended December 31, 2021, 2020, and 2019.</w:t>
      </w:r>
    </w:p>
    <w:p>
      <w:pPr>
        <w:spacing w:after="0" w:line="14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consolidated financial statements include the accounts of Huron Consulting Group Inc. and its subsidiaries, all of which are wholly-owned. All intercompany balances and transactions have been eliminated in consolidation.</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the first quarter of 2021, we identified an error on our previously reported consolidated balance sheet as of December 31, 2020 related to the classification between receivables from clients, unbilled services, and deferred revenues. Our consolidated balance sheet as of December 31, 2020 has been revised to reflect the correction of this error. The results of this correction on our consolidated balance sheet were a decrease in unbilled services of $7.2 million, an increase in receivables from clients of $0.7 million, and a decrease in deferred revenues of $6.5 million. This error had no impact on our consolidated statement of operations and other comprehensive income and consolidated statements of cash flows for any current or prior period. We evaluated the materiality of this error from both quantitative and qualitative perspectives and concluded that the impact of the error was not material to the financial statements for the year ended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that are reported in the consolidated financial statements and accompanying disclosures. Actual results may differ from these estimates and assumptions.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and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is recognized when control of the goods and services provided are transferred to our customers and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w:t>
      </w:r>
    </w:p>
    <w:p>
      <w:pPr>
        <w:spacing w:after="0" w:line="15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typically satisfy our performance obligations for professional services over time as the related services are provided. The performance obligations related to software support and maintenance and subscriptions to our cloud-based analytic tools and solutions are typically satisfied evenly over the course of the service period. Other performance obligations, such as certain software licenses, speaking engagements, conferences, and publications, are satisfied at a point in time.</w:t>
      </w:r>
    </w:p>
    <w:p>
      <w:pPr>
        <w:spacing w:after="0" w:line="15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We generate our revenues under four types of billing arrangements: fixed-fee (including software license revenue); time-and-expense; performance-based; and software support, maintenance and subscriptions.</w:t>
      </w:r>
    </w:p>
    <w:p>
      <w:pPr>
        <w:spacing w:after="0" w:line="14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Culture and Organizational Excellence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 Estimates of total engagement revenues and cost of services are monitored regularly during the term of the engagement.</w:t>
      </w:r>
    </w:p>
    <w:p>
      <w:pPr>
        <w:spacing w:after="0" w:line="1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and the portion of our Healthcare Managed Services contracts that are billed under time-and-expense arrangements. We recognize revenues under time-and-expense arrangements as the related services or publications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w:t>
      </w:r>
    </w:p>
    <w:p>
      <w:pPr>
        <w:spacing w:after="0" w:line="15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spacing w:after="0" w:line="15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Provisions are recorded for the estimated realization adjustments on all engagements, including engagements for which fees are subject to review by the bankruptcy courts.</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Expense reimbursements that are billable to clients are included in total revenues and reimbursable expenses. Under fixed-fee billing arrangements, we estimate the total amount of reimbursable expenses to be incurred over the course of the engagement and recognize the estimated amount as revenue using a proportionate performance approach, which is based on work completed to-date versus our estimates of the total services to be provided under the engagement. Under time-and-expense billing arrangements we recognize reimbursable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5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 Revenues recognized for services performed but not yet billed to clients are recorded as unbilled services. Revenues recognized, but for which we are not yet entitled to bill because certain events, such as the completion of the measurement period or client approval, must occur, are recorded as contract assets and included within unbilled services. Client prepayments and retainers are classified as deferred revenues and recognized over future periods as earned in accordance with the applicable engagement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Sales Commissions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Sales commissions earned by our sales professionals are considered incremental and recoverable costs of obtaining a contract with a customer. Sales commissions with an expected amortization period greater than one year are deferred and amortized on a straight-line basis over the period of the associated contract. We elected to apply the practical expedient to expense sales commissions as incurred when the expected amortization period is one year or less. Amortization expense is recorded to direct costs. During the years ended December 31, 2021, 2020, and 2019, we amortized $0.4 million, $0.4 million, and $0.3 million, respectively, of capitalized sales commissions. Unamortized sales commissions were $0.6 million and $0.7 million as of December 31, 2021 and 2020,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Reimbursable Expenses</w:t>
      </w:r>
    </w:p>
    <w:p>
      <w:pPr>
        <w:spacing w:after="0" w:line="19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Direct costs and reimbursable expenses consist primarily of revenue-generating employee compensation and their related benefits and share-based compensation costs; as well as technology costs, commissions, the cost of outside consultants or subcontractors assigned to revenue-generating activities, other third-party costs directly attributable to our revenue-generating activities, and direct expenses to be reimbursed by clients. Direct costs and reimbursable expenses incurred on engagements are expensed in the period incurred.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consider all highly liquid investments, including overnight investments and commercial paper, with original maturities of three months or less to be cash equivalents.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the extent receivables from clients become delinquent, collection activities commence. No single client balance is considered large enough to pose a material credit risk. The allowances for doubtful accounts and unbilled services are based upon the expected ability to collect accounts receivable and bill and collect unbilled services. Management does not anticipate incurring losses on accounts receivable in excess of established allowances. See Note 19 “Segment Information” for concentration of accounts receivable and unbilled services.</w:t>
      </w:r>
    </w:p>
    <w:p>
      <w:pPr>
        <w:spacing w:after="0" w:line="15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Investments</w:t>
      </w:r>
    </w:p>
    <w:p>
      <w:pPr>
        <w:spacing w:after="0" w:line="193"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Our long-term investments consist of our convertible debt investment in Shorelight Holdings, LLC (“Shorelight”) and preferred stock investment in Medically Home Group, Inc. (“Medically Home”).</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classified the convertible debt investment in Shorelight as available-for-sale at the time of purchase and reevaluate such classification as of each balance sheet date. The investment is carried at fair value with unrealized holding gains and losses reported in other comprehensive income. If the investment is in an unrealized loss position due to significant credit deterioration of the investee, we recognize an allowance to decrease the carrying value of the investment to the fair value, which may be reversed in the event that the credit of an issuer improves. In the event there are realized gains and losses or credit allowances recognized, we will record the amount in earnings. We have not recognized any credit allowance on our convertible debt investment or realized gains or losses as of December 31, 2021. See Note 13 “Fair Value of Financial Instruments” for additional information on our convertible debt investment.</w:t>
      </w:r>
    </w:p>
    <w:p>
      <w:pPr>
        <w:spacing w:after="0" w:line="15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classified the preferred stock investment in Medically Home as an equity security without a readily determinable value at the time of purchase and reevaluate such classification as of each balance sheet date. We elected to apply the measurement alternative at the time of purchase and will continue to do so until the investment does not qualify to be so measured. Under the measurement alternative, the investment is carried at cost minus impairment, if any, plus or minus changes resulting from observable price changes in orderly transactions for an identical or similar investment in Medically Home. Any unrealized holding gains and losses resulting from observable price changes are recorded in our consolidated statement of operations. Following our purchase, we have not identified any impairment of our investment. See Note 13 “Fair Value of Financial Instruments” for additional information on our preferred stock investment and the unrealized gain recognized in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See Note 13 “Fair Value of Financial Instruments” for the accounting policies used to measure the fair value of our financial assets and liabilities that are measured at fair value on a recurring basis.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93"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Property and equipment are recorded at cost, less accumulated depreciation. Depreciation of property and equipment is computed on a straight-line basis over the estimated useful lives of the assets. Software, computers, and related equipment are depreciated over an estimated useful life of two to four years. Furniture and fixtures are depreciated over five years. Aircraft are depreciated over ten years. Leasehold improvements are amortized over the lesser of the estimated useful life of the asset or the initial term of the lease.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We determine if an arrangement contains a lease and the classification of such lease at inception. As of December 31, 2021 and 2020, all of our material leases are classified as operating leases; we have not entered into any material finance leases. For all operating leases with an initial term greater than 12 months, we recognize an operating lease right-of-use (“ROU”) asset and operating lease liability. Leases with an initial term of 12 months or less are not recorded on the balance sheet; we recognize lease expense for these leases on a straight-line basis over the lease term.</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Operating lease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As our leases do not provide an implicit rate, we use our incremental borrowing rate based on the information available at the lease commencement date and provided by the administrative agent for our senior secured credit facility in determining the present value of lease payments. Operating lease ROU assets exclude lease incentives. We elected the practical expedient to combine lease and nonlease components. Certain lease agreements contain variable lease payments that do not depend on an index or rate. These variable lease payments are not included in the calculation of the operating lease ROU asset and operating lease liability; instead, they are expensed as incurred. Our leases may contain options to extend or terminate the lease, and we include these terms in our calculation of the operating lease ROU asset and operating lease liability when it is reasonably certain that we will exercise the option.</w:t>
      </w:r>
    </w:p>
    <w:p>
      <w:pPr>
        <w:spacing w:after="0" w:line="1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Operating lease expense is recognized on a straight-line basis over the lease term and recorded within selling, general and administrative expenses on our consolidated statement of operations. In accordance with our accounting policy for impairment of long-lived assets, operating lease ROU assets are reviewed for impairment whenever events or changes in circumstances indicate that the carrying amount of the asset group to which the operating lease ROU asset is assigned may not be recoverable. We evaluate the recoverability of the asset group based on forecasted undiscounted cash flows. See Note 5 “Leases” for additional information on our leases, including the lease impairment charges recorded in 2020 and 2019.</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incur internal and external software development costs related to our cloud computing applications and software for internal use. We capitalize these software development costs incurred during the application development stage. Costs related to preliminary project activities and post implementation activities are expensed as incurred. Once the project is substantially complete and ready for its intended use, these costs are amortized on a straight-line basis over the technology's estimated useful life. Acquired technology assets are initially recorded at fair value and amortized on a straight-line basis over the estimated useful life.</w:t>
      </w:r>
    </w:p>
    <w:p>
      <w:pPr>
        <w:spacing w:after="0" w:line="15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Development costs related to software products that will be sold, leased, or otherwise marketed are expensed until technological feasibility has been established. Thereafter, and until the software is available for general release to customers, these software development costs are capitalized and subsequently reported at the lower of unamortized cost or net realizable value. These capitalized development costs are amortized in proportion to current and future revenue for each product with an annual minimum equal to the straight-line amortization over the remaining estimated economic life of the product. We did not capitalize any development costs for this type of software during 2021 or 2020.</w:t>
      </w:r>
    </w:p>
    <w:p>
      <w:pPr>
        <w:spacing w:after="0" w:line="15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classify capitalized software development costs, which primarily relate to cloud computing applications and software for internal use, as other non-current assets on our consolidated balance sheet. As of December 31, 2021, gross capitalized software development costs and related accumulated amortization was $33.6 million and $ 15.6 million, respectively. As of December 31, 2020, gross capitalized software development costs and related accumulated amortization was $28.5 million and $ 10.6 million, respectively. During the years ended December 31, 2021, 2020, and 2019, we amortized $5.2 million, $4.7 million, and $3.0 million, respectively, of capitalized software development costs.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Costs Incurred in a Cloud Computing Arrangement</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incur costs to implement cloud computing arrangements that are service contracts. We capitalize certain costs associated with the implementation of the cloud computing arrangements, including employee payroll and related benefits and third party consulting costs, incurred during the application development stage of a project. These costs are amortized on a straight-line basis over the term of the hosting service contracts, including renewal periods we are reasonably certain to exercise, and recognized as a component of selling, general and administrative expenses on our consolidated statement of operations. As of December 31, 2021 gross capitalized implementation costs incurred in a cloud computing arrangement and related accumulated amortization were $6.5 million and $0.9 million, respectively. As of December 31, 2020, gross capitalized implementation costs incurred in a cloud computing arrangement were $5.4 million, which began amortizing in January 2021. Our capitalized implementation costs primarily relate to the implementation of a new enterprise resource planning (“ERP”) system during 2020 and 2021. In January 2021, we successfully went live with the new ERP system, and we continue to progress with additional functionality and integrations as scheduled. These capitalized costs are included as a component of prepaid expenses and other current assets and other non-current assets on our consolidated balance sheet.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Identifiable intangible assets are amortized over their expected useful lives using a method that reflects the economic benefit expected to be derived from the assets or on a straight-line basis. We evaluate the recoverability of intangible assets periodically by considering events or circumstances that may warrant revised estimates of useful lives or that indicate the asset may be impaired.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Long-lived assets, including property and equipment, right-of-use assets, and intangible assets, are reviewed for impairment whenever events or changes in circumstances indicate that the carrying amount of an asset may not be recoverable. Events relating to recoverability may include significant unfavorable changes in business conditions, recurring losses, or a significant decline in forecasted operating results over an extended period of time. We evaluate the recoverability of long-lived assets based on forecasted undiscounted cash flows. See Note 5 “Leases” and Note 11 “Restructuring Charges” for information on our operating lease right-of-use asset and fixed asset impairment charges recorded in 2020 and 2019. No material impairment charges for other long-lived assets were recorded in 2021, 2020, or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acquisitions accounted for as a business combination, goodwill represents the excess of the cost over the fair value of the net assets acquired. We are required to test goodwill for impairment, at the reporting unit level, annually and when events or circumstances indicate the fair value of a reporting unit may be below its carrying value.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As of December 31, 2021, we have five reporting units: Healthcare, Education, Business Advisory, Enterprise Solutions and Analytics, and Strategy and Innovation. The Business Advisory, Enterprise Solutions and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Analytics, and Strategy and Innovation reporting units make up our Business Advisory operating segment. During the fourth quarter of 2021, we completed the divestiture of our Life Sciences business, which was a reporting unit within the Business Advisory segment.</w:t>
      </w:r>
    </w:p>
    <w:p>
      <w:pPr>
        <w:spacing w:after="0" w:line="14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test goodwill for impairment annually and whenever events or circumstances make it more likely than not that an impairment may have occurred. We perform our annual goodwill impairment test as of November 30 and monitor for interim triggering events on an ongoing basis.</w:t>
      </w:r>
    </w:p>
    <w:p>
      <w:pPr>
        <w:spacing w:after="0" w:line="14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Pursuant to our policy, we performed the annual goodwill impairment test as of November 30, 2021 and determined that no impairment of goodwill existed as of that date. Further, we evaluated whether any events have occurred, or any circumstances have changed since November 30, 2021 that would indicate goodwill may have become impaired since our annual impairment test. Based on our evaluation as of December 31, 2021, we determined that no indications of impairment have arisen since our annual goodwill impairment test. In 2020, we performed two goodwill impairment tests: an interim impairment test on our Strategy and Innovation and Life Sciences reporting units in the first quarter of 2020 and the annual impairment test on all reporting units with a goodwill balance in the fourth quarter of 2020. As a result of the interim impairment test performed in the first quarter of 2020, we recorded total non-cash pretax goodwill impairment charges of</w:t>
      </w:r>
    </w:p>
    <w:p>
      <w:pPr>
        <w:spacing w:after="0" w:line="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$59.8 million. We did not identify any additional impairments during our annual impairment test performed in the fourth quarter of 2020. No goodwill impairment charges were recorded in 2019. See Note 4 “Goodwill and Intangible Assets” for additional information on our interim and annual goodwill impairment tests, and the non-cash goodwill impairment charges recorded in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use the acquisition method of accounting for business combinations</w:t>
      </w:r>
      <w:r>
        <w:rPr>
          <w:rFonts w:ascii="Arial" w:cs="Arial" w:eastAsia="Arial" w:hAnsi="Arial"/>
          <w:sz w:val="18"/>
          <w:szCs w:val="18"/>
          <w:i w:val="1"/>
          <w:iCs w:val="1"/>
          <w:color w:val="auto"/>
        </w:rPr>
        <w:t>.</w:t>
      </w:r>
      <w:r>
        <w:rPr>
          <w:rFonts w:ascii="Arial" w:cs="Arial" w:eastAsia="Arial" w:hAnsi="Arial"/>
          <w:sz w:val="18"/>
          <w:szCs w:val="18"/>
          <w:color w:val="auto"/>
        </w:rPr>
        <w:t xml:space="preserve"> Each acquired company’s operating results are included in our consolidated financial statements starting on the date of acquisition. The purchase price is equivalent to the fair value of consideration transferred. Upon our adoption of Accounting Standards Update ("ASU") 2021-08, </w:t>
      </w:r>
      <w:r>
        <w:rPr>
          <w:rFonts w:ascii="Arial" w:cs="Arial" w:eastAsia="Arial" w:hAnsi="Arial"/>
          <w:sz w:val="18"/>
          <w:szCs w:val="18"/>
          <w:i w:val="1"/>
          <w:iCs w:val="1"/>
          <w:color w:val="auto"/>
        </w:rPr>
        <w:t>Business Combinations (Topic 805):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 Assets and Contract Liabilities from Contracts with Customers </w:t>
      </w:r>
      <w:r>
        <w:rPr>
          <w:rFonts w:ascii="Arial" w:cs="Arial" w:eastAsia="Arial" w:hAnsi="Arial"/>
          <w:sz w:val="18"/>
          <w:szCs w:val="18"/>
          <w:color w:val="auto"/>
        </w:rPr>
        <w:t>which we retrospectively applied to all acquisitions in 2021,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assets and contract liabilities acquired are recorded at their carrying value under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Prior to adoption of ASU 2021-08, contract assets and contract liabilities were recognized at their estimated fair values as of the acquisition date. All other assets tangible and identifiable intangible assets acquired and liabilities assumed are recorded at fair value as of the acquisition date. Goodwill is recognized for the excess of purchase price over the net value of tangible and intangible assets acquired and liabilities assumed. Contingent consideration, which is primarily based on the business achieving certain performance targets, is recognized at its fair value on the acquisition date, and changes in fair value are recognized in earnings until settled. Refer to Note 3 “Acquisitions and Divestitures” for additional information on our business acquisitions and refer to Note 13 “Fair Value of Financial Instruments” for additional information regarding our contingent acquisition liability balances.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Current tax liabilities and assets are recognized for the estimated taxes payable or refundable, respectively, on the tax returns for the current year. We have elected to recognize the tax expense related to Global Intangible Low-Taxed Income ("GILTI") as a current period expense when incurred.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To the extent that deferred tax assets will not likely be recovered from future taxable income, a valuation allowance is established against such deferred tax assets. Refer to Note 17 "Income Taxes" for further information regarding incomes taxes.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9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Share-based compensation cost is measured based on the grant date fair value of the respective awards. We generally recognize share-based compensation ratably using the straight-line attribution method; however, for those awards with performance criteria and graded vesting features, we use the graded vesting attribution method. It is our policy to account for forfeitures as they occur.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and Advertising Costs</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Sponsorship and advertising costs are expensed as incurred. Such expenses for the years ended December 31, 2021, 2020, and 2019 totaled $4.3 million, $4.1 million, and $8.4 million, respectively, and are a component of selling, general and administrative expenses on our consolidated statement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amortize the costs we incur to obtain debt financing over the contractual life of the related debt using the effective interest method for non-revolving debt and the straight-line method for revolving debt. The amortization expense is included in interest expense, net of interest</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income in our statement of operations. Unamortized debt issuance costs attributable to our revolving credit facility are included as a component of other non-current assets.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Assets and liabilities of foreign subsidiaries whose functional currency is not the United States Dollar (USD) are translated into USD using the exchange rates in effect at period end. Revenue and expense items are translated using the average exchange rates for the period. Foreign currency translation adjustments are included in accumulated other comprehensive income, which is a component of stockholders’ equity.</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Foreign currency transaction gains and losses are included in other income, net on the consolidated statement of operations. We recognized $0.4 million of foreign currency transaction losses in 2021, less than $0.1 million of foreign currency transaction gains in 2020, and $0.2 million of foreign currency transaction losses in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As of December 31, 2021, our chief operating decision maker manages the business under three operating segments, which are our reportable segments: Healthcare, Business Advisory, and Education. See Note 19 "Segment Information" for additional information on the segment reorganization effective in the first quarter of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In January 2020, the Financial Accounting Standards Board ("FASB") issued ASU 2020-01</w:t>
      </w:r>
      <w:r>
        <w:rPr>
          <w:rFonts w:ascii="Arial" w:cs="Arial" w:eastAsia="Arial" w:hAnsi="Arial"/>
          <w:sz w:val="17"/>
          <w:szCs w:val="17"/>
          <w:i w:val="1"/>
          <w:iCs w:val="1"/>
          <w:color w:val="auto"/>
        </w:rPr>
        <w:t>, Investments - Equity Securities (Topic 321) -</w:t>
      </w:r>
      <w:r>
        <w:rPr>
          <w:rFonts w:ascii="Arial" w:cs="Arial" w:eastAsia="Arial" w:hAnsi="Arial"/>
          <w:sz w:val="17"/>
          <w:szCs w:val="17"/>
          <w:color w:val="auto"/>
        </w:rPr>
        <w:t xml:space="preserve"> </w:t>
      </w:r>
      <w:r>
        <w:rPr>
          <w:rFonts w:ascii="Arial" w:cs="Arial" w:eastAsia="Arial" w:hAnsi="Arial"/>
          <w:sz w:val="17"/>
          <w:szCs w:val="17"/>
          <w:i w:val="1"/>
          <w:iCs w:val="1"/>
          <w:color w:val="auto"/>
        </w:rPr>
        <w:t>Investments - Equity Method and Joint Ventures (Topic 323), and Derivatives and Hedging (Topic 815) - Clarifying the Interactions between Topic 321, Topic 323, and Topic 815</w:t>
      </w:r>
      <w:r>
        <w:rPr>
          <w:rFonts w:ascii="Arial" w:cs="Arial" w:eastAsia="Arial" w:hAnsi="Arial"/>
          <w:sz w:val="17"/>
          <w:szCs w:val="17"/>
          <w:color w:val="auto"/>
        </w:rPr>
        <w:t>. ASU 2020-01 clarifies that an entity should consider observable transactions that require it to either</w:t>
      </w:r>
      <w:r>
        <w:rPr>
          <w:rFonts w:ascii="Arial" w:cs="Arial" w:eastAsia="Arial" w:hAnsi="Arial"/>
          <w:sz w:val="17"/>
          <w:szCs w:val="17"/>
          <w:i w:val="1"/>
          <w:iCs w:val="1"/>
          <w:color w:val="auto"/>
        </w:rPr>
        <w:t xml:space="preserve"> </w:t>
      </w:r>
      <w:r>
        <w:rPr>
          <w:rFonts w:ascii="Arial" w:cs="Arial" w:eastAsia="Arial" w:hAnsi="Arial"/>
          <w:sz w:val="17"/>
          <w:szCs w:val="17"/>
          <w:color w:val="auto"/>
        </w:rPr>
        <w:t>apply or discontinue the equity method of accounting for the purpose of applying the measurement alternative in accordance with Topic 321. We elected to early adopt ASU 2020-10 effective January 1, 2021, which did not have any impact on our consolidated financial statements.</w:t>
      </w:r>
    </w:p>
    <w:p>
      <w:pPr>
        <w:spacing w:after="0" w:line="11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xml:space="preserve">In October 2020, the FASB issued ASU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ASU 2020-10 situates all disclosure guidance within the appropriate disclosure section of the Codification and makes other improvements and technical corrections to the Codification. We adopted ASU 2020-10 effective January 1, 2021, which did not have any impact on our consolidated financial statements.</w:t>
      </w:r>
    </w:p>
    <w:p>
      <w:pPr>
        <w:spacing w:after="0" w:line="12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w:t>
      </w:r>
      <w:r>
        <w:rPr>
          <w:rFonts w:ascii="Arial" w:cs="Arial" w:eastAsia="Arial" w:hAnsi="Arial"/>
          <w:sz w:val="18"/>
          <w:szCs w:val="18"/>
          <w:color w:val="auto"/>
        </w:rPr>
        <w:t>The amendments of this ASU require entities to apply Topic 606 to recognize and measure contract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contract liabilities in a business combination. The amendments improve comparability after the business combination by providing consistent recognition and measurement guidance for revenue contracts with customers acquired in a business combination and revenue contracts with customers not acquired in a business combination. We elected to early adopt ASU 2021-08 in the fourth quarter of 2021 on a retrospective basis for all 2021 acquisitions, which had no impact on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In January 2021, the FASB clarified the scope of that guidance with the issuance of ASU 2021-01,</w:t>
      </w:r>
      <w:r>
        <w:rPr>
          <w:rFonts w:ascii="Arial" w:cs="Arial" w:eastAsia="Arial" w:hAnsi="Arial"/>
          <w:sz w:val="18"/>
          <w:szCs w:val="18"/>
          <w:i w:val="1"/>
          <w:iCs w:val="1"/>
          <w:color w:val="auto"/>
        </w:rPr>
        <w:t xml:space="preserve"> Reference Rate Reform (Topic 848): Scope</w:t>
      </w:r>
      <w:r>
        <w:rPr>
          <w:rFonts w:ascii="Arial" w:cs="Arial" w:eastAsia="Arial" w:hAnsi="Arial"/>
          <w:sz w:val="18"/>
          <w:szCs w:val="18"/>
          <w:color w:val="auto"/>
        </w:rPr>
        <w:t>. Together, these ASUs provide optional expedients and exceptions for a limited period of time to ease the</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burden in accounting for, or recognizing the effects of, reference rate reform on financial reporting under GAAP. This standard is optional and may be applied by entities after March 12, 2020, but no later than December 31, 2022. We have certain debt instruments and related interest rate swaps that are indexed to LIBOR; as such, we are currently evaluating the potential impact this guidance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Unico Solution, Inc.</w:t>
      </w:r>
    </w:p>
    <w:p>
      <w:pPr>
        <w:spacing w:after="0" w:line="1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February 1, 2021, we completed the acquisition of Unico Solution, Inc. (“Unico Solutions”), a data strategy and technology consulting firm focused on helping clients enhance the use of their data to speed business transformation and accelerate cloud adoption. The acquisition expands our cloud-based technology offerings within the Business Advisory segment. The results of operations of Unico Solutions are included in our consolidated financial statements and results of operations of our Business Advisory segment from the date of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Bad Rabbit, Inc.</w:t>
      </w:r>
    </w:p>
    <w:p>
      <w:pPr>
        <w:spacing w:after="0" w:line="18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October 1, 2021 we completed the acquisition of the research administration software services team of Bad Rabbit, Inc. (“Bad Rabbit”). The results of operations of Bad Rabbit are included in our consolidated financial statements and results of operations of our Education segment from the date of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Whiteboard Communications Ltd.</w:t>
      </w:r>
    </w:p>
    <w:p>
      <w:pPr>
        <w:spacing w:after="0" w:line="18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December 1, 2021, we completed the acquisition of Whiteboard Communications Ltd. (“Whiteboard”), a student enrollment advisory firm that helps colleges and universities with recruitment initiatives and financial aid strategies. The results of operations of Whiteboard are included in our consolidated financial statements and results of operations of our Education segment from the date of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Perception Health, Inc.</w:t>
      </w:r>
    </w:p>
    <w:p>
      <w:pPr>
        <w:spacing w:after="0" w:line="18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On December 31, 2021, we completed the acquisition of Perception Health, Inc. (“Perception Health”), a healthcare predictive analytics company focused on bringing data sources together for improved clinical and business decision-making. The results of operations of Perception Health will be included in our consolidated financial statements and results of operations of our Healthcare segment beginning January, 1, 2022.</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The acquisitions of Unico Solutions, Bad Rabbit, Whiteboard and Perception Health are not significant to our consolidated financial statements individually or in the aggregate as of and for the year ended December 31, 2021. These acquisition were accounted for using the acquisition method of accounting. Contract assets and contract liabilities are recorded at their carrying value under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 we adopted ASU 2021-08</w:t>
      </w:r>
      <w:r>
        <w:rPr>
          <w:rFonts w:ascii="Arial" w:cs="Arial" w:eastAsia="Arial" w:hAnsi="Arial"/>
          <w:sz w:val="18"/>
          <w:szCs w:val="18"/>
          <w:i w:val="1"/>
          <w:iCs w:val="1"/>
          <w:color w:val="auto"/>
        </w:rPr>
        <w:t xml:space="preserve"> Business Combinations (Topic 805): Accounting for Contract Assets and Contract Liabilities from Contracts with Customers </w:t>
      </w:r>
      <w:r>
        <w:rPr>
          <w:rFonts w:ascii="Arial" w:cs="Arial" w:eastAsia="Arial" w:hAnsi="Arial"/>
          <w:sz w:val="18"/>
          <w:szCs w:val="18"/>
          <w:color w:val="auto"/>
        </w:rPr>
        <w:t>in the fourth quarter of 2021. All other tangible and identifiable intangible assets acquired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assumed are recorded at fair value as of the acquisition date. The current acquisition date values of assets acquired and liabilities assumed of the Whiteboard and Perception Health acquisitions are considered preliminary and are based on the information that was available as of the dates of the acquisitions. We believe that the information provides a reasonable basis for estimating the preliminary values of assets acquired and liabilities assumed but certain items, such as the intangible assets valuations and the working capital adjustments, among other things, may be subject to change as additional information is received. Thus, the provisional measurements of assets acquired, including goodwill, and liabilities assumed related to the Whiteboard and Perception Health acquisitions are subject to change. We expect to finalize the valuations as soon as practicable, but not later than one year from the acquisition dates.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B3i Analytics, LLC</w:t>
      </w:r>
    </w:p>
    <w:p>
      <w:pPr>
        <w:spacing w:after="0" w:line="189"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On August 1, 2020, we completed the acquisition of B3i Analytics, LLC (“B3i Analytics”), a software firm that provides a software as a solution (“SaaS”) application to leverage internal and external data to help higher education institutions forecast research revenue. The results of operations of B3i Analytics are included in our consolidated financial statements and results of operations of our Education segment from the date of acquisition.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ForceIQ, Inc.</w:t>
      </w:r>
    </w:p>
    <w:p>
      <w:pPr>
        <w:spacing w:after="0" w:line="1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November 1, 2020, we completed the acquisition of ForceIQ, Inc. (“ForceIQ”), a Salesforce Industries partner focused on helping clients drive digital transformation and innovation at scale powered by the cloud. The acquisition expands our cloud-based technology offerings within the Business Advisory segment. The results of operations of ForceIQ are included in our consolidated financial statements and results of operations of our Business Advisory segment from the date of acquisition.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acquisitions of B3i Analytics and ForceIQ are not significant to our consolidated financial statements individually or in the aggregate as of and for the year ended December 31, 2020.</w:t>
      </w:r>
    </w:p>
    <w:p>
      <w:pPr>
        <w:spacing w:after="0" w:line="14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2019, we completed the acquisition of an immaterial business in our Education segment. The results of operations of the acquired business is included in our consolidated financial statements and results of operations of our Education segment from the date of acquisition.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w:t>
      </w:r>
    </w:p>
    <w:p>
      <w:pPr>
        <w:spacing w:after="0" w:line="18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November 1, 2021, we completed the divestiture of our Life Sciences business, a reporting unit within our Business Advisory segment to a third-party. In connection with the sale, we recorded a $ 31.5 million pre-tax gain which is included in other income, net on our consolidated statement of operations. The Life Sciences business was not significant to our consolidated financial statements and did not qualify as a discontinued operation for reporting under GAAP. For the ten months ended October 31, 2021, this business generated $16.7 million of revenues.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U.K. Life Sciences Drug Safety Practice</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December 30, 2020, we sold our U.K. life sciences drug safety business that was part of the Life Sciences reporting unit to former employees. In connection with the sale, we recorded a $1.5 million loss which is included in other income, net on our consolidated statement of operations. The U.K. life sciences drug safety practice was not significant to our consolidated financial statements and did not meet the criteria for reporting separately as discontinued operations. In 2020, this business generated $2.3 million of revenues.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9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table below sets forth the changes in the carrying amount of goodwill by reportable segment for the years ended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Healthcare</w:t>
            </w: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Business</w:t>
            </w:r>
          </w:p>
        </w:tc>
        <w:tc>
          <w:tcPr>
            <w:tcW w:w="16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Education</w:t>
            </w:r>
          </w:p>
        </w:tc>
        <w:tc>
          <w:tcPr>
            <w:tcW w:w="300" w:type="dxa"/>
            <w:vAlign w:val="bottom"/>
          </w:tcPr>
          <w:p>
            <w:pPr>
              <w:spacing w:after="0"/>
              <w:rPr>
                <w:sz w:val="18"/>
                <w:szCs w:val="18"/>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Advisory</w:t>
            </w: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636,810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302,057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103,889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1,042,756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(396,076)</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Goodwill, net as of December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428,729</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114,062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103,889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646,680</w:t>
            </w:r>
          </w:p>
        </w:tc>
        <w:tc>
          <w:tcPr>
            <w:tcW w:w="0" w:type="dxa"/>
            <w:vAlign w:val="bottom"/>
          </w:tcPr>
          <w:p>
            <w:pPr>
              <w:spacing w:after="0"/>
              <w:rPr>
                <w:sz w:val="1"/>
                <w:szCs w:val="1"/>
                <w:color w:val="auto"/>
              </w:rPr>
            </w:pPr>
          </w:p>
        </w:tc>
      </w:tr>
      <w:tr>
        <w:trPr>
          <w:trHeight w:val="155"/>
        </w:trPr>
        <w:tc>
          <w:tcPr>
            <w:tcW w:w="5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Goodwill recorded in connection with a business combination</w:t>
            </w:r>
          </w:p>
        </w:tc>
        <w:tc>
          <w:tcPr>
            <w:tcW w:w="1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54"/>
        </w:trPr>
        <w:tc>
          <w:tcPr>
            <w:tcW w:w="51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4"/>
                <w:szCs w:val="4"/>
                <w:color w:val="auto"/>
              </w:rPr>
            </w:pPr>
          </w:p>
        </w:tc>
        <w:tc>
          <w:tcPr>
            <w:tcW w:w="1280" w:type="dxa"/>
            <w:vAlign w:val="bottom"/>
            <w:gridSpan w:val="2"/>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2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512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1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Goodwill impairment charges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(59,816)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(59,816)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1,050,129</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(208,081)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(247,811)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(455,892)</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net as of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428,729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104,384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594,237</w:t>
            </w:r>
          </w:p>
        </w:tc>
        <w:tc>
          <w:tcPr>
            <w:tcW w:w="0" w:type="dxa"/>
            <w:vAlign w:val="bottom"/>
          </w:tcPr>
          <w:p>
            <w:pPr>
              <w:spacing w:after="0"/>
              <w:rPr>
                <w:sz w:val="1"/>
                <w:szCs w:val="1"/>
                <w:color w:val="auto"/>
              </w:rPr>
            </w:pPr>
          </w:p>
        </w:tc>
      </w:tr>
      <w:tr>
        <w:trPr>
          <w:trHeight w:val="155"/>
        </w:trPr>
        <w:tc>
          <w:tcPr>
            <w:tcW w:w="5120" w:type="dxa"/>
            <w:vAlign w:val="bottom"/>
          </w:tcPr>
          <w:p>
            <w:pPr>
              <w:ind w:left="20"/>
              <w:spacing w:after="0" w:line="156" w:lineRule="exact"/>
              <w:rPr>
                <w:sz w:val="20"/>
                <w:szCs w:val="20"/>
                <w:color w:val="auto"/>
              </w:rPr>
            </w:pPr>
            <w:r>
              <w:rPr>
                <w:rFonts w:ascii="Arial" w:cs="Arial" w:eastAsia="Arial" w:hAnsi="Arial"/>
                <w:sz w:val="18"/>
                <w:szCs w:val="18"/>
                <w:color w:val="auto"/>
              </w:rPr>
              <w:t>Goodwill recorded in connection with business combinations</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6,141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3,315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17,186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26,642</w:t>
            </w:r>
          </w:p>
        </w:tc>
        <w:tc>
          <w:tcPr>
            <w:tcW w:w="0" w:type="dxa"/>
            <w:vAlign w:val="bottom"/>
          </w:tcPr>
          <w:p>
            <w:pPr>
              <w:spacing w:after="0"/>
              <w:rPr>
                <w:sz w:val="1"/>
                <w:szCs w:val="1"/>
                <w:color w:val="auto"/>
              </w:rPr>
            </w:pPr>
          </w:p>
        </w:tc>
      </w:tr>
      <w:tr>
        <w:trPr>
          <w:trHeight w:val="54"/>
        </w:trPr>
        <w:tc>
          <w:tcPr>
            <w:tcW w:w="5120" w:type="dxa"/>
            <w:vAlign w:val="bottom"/>
            <w:vMerge w:val="restart"/>
          </w:tcPr>
          <w:p>
            <w:pPr>
              <w:ind w:left="20"/>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51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642,951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121,570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1,076,771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(455,892)</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Goodwill, net as of December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434,870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64,439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121,570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620,879</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Note 3 “Acquisitions and Divestitures” for additional information on business combinations completed in 2021 and 2020.</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Annual Goodwill Impairment Test</w:t>
      </w:r>
    </w:p>
    <w:p>
      <w:pPr>
        <w:spacing w:after="0" w:line="19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Pursuant to our policy, we performed our annual goodwill impairment test as of November 30, 2021 for our five reporting units with goodwill balances: Healthcare, Education, Business Advisory, Strategy and Innovation, and Enterprise Solutions and Analytics. We performed a qualitative assessment over all reporting units to determine if it was more likely than not the respective fair values of these reporting units were less than their carrying amounts, including goodwill.</w:t>
      </w:r>
    </w:p>
    <w:p>
      <w:pPr>
        <w:spacing w:after="0" w:line="15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For our qualitative assessment, we considered the most recent quantitative analysis performed for each reporting unit, which was as of November 30, 2020, including the key assumptions used within that analysis, the indicated fair values, and the amount by which those fair values exceeded their carrying amounts. One of the key assumptions used within the prior quantitative analysis was our internal financial projections; therefore, we considered the actual performance of each reporting unit during 2021 compared to the internal financial projections used, as well as specific outlooks for each reporting unit based on our most recent internal financial projections. We also considered the market-based valuation multiples used in the market approach within our prior quantitative analysis, which were derived from guideline companies, and noted that the valuation multiples generally increased over the past year. We also reviewed the current carrying value of each reporting unit in comparison to the carrying values as of the prior quantitative analysis. In addition, we considered various factors, including macroeconomic conditions, relevant industry and market trends for each reporting unit, and other entity-specific events, that could indicate a potential change in the fair value of our reporting units or the composition of their carrying values. Based on our assessments, we determined that it was more likely than not that the fair values for each of our reporting units exceeded their respective carrying amounts. As such, the goodwill for our reporting units was not considered impaired as of November 30, 2021, and a quantitative goodwill impairment analysis was not necessary.</w:t>
      </w:r>
    </w:p>
    <w:p>
      <w:pPr>
        <w:spacing w:after="0" w:line="15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Further, we evaluated whether any events have occurred or any circumstances have changed since November 30, 2021 that would indicate goodwill may have become impaired since our annual impairment test. Based on our evaluation as of December 31, 2021, we determined that no indications of impairment have arisen since our annual goodwill impairment test.</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non-cash goodwill impairment charges.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Goodwill Impairment Charges</w:t>
      </w:r>
    </w:p>
    <w:p>
      <w:pPr>
        <w:spacing w:after="0" w:line="19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worldwide spread of the COVID-19 pandemic in the first quarter of 2020 has created significant volatility, uncertainty and disruption to the global economy. From the onset of the COVID-19 pandemic, we closely monitored the impact it could have on all aspects of our business, including how we expect it to negatively impact our clients, employees and business partners. While the COVID-19 pandemic did not have a significant impact on our consolidated revenues in the first quarter of 2020, we expected it to have an unfavorable impact on sales, increase uncertainty in the backlog and negatively impact full year 2020 results. The services provided by our Strategy and Innovation and Life Sciences reporting units within our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at the onset of the COVID-19 pandemic in the U.S. and due to the uncertainty caused by the pandemic, we were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it was more likely than not that the fair value of these two reporting units no longer exceeded their carrying values and performed an interim impairment test on both reporting units as of March 31, 2020.</w:t>
      </w:r>
    </w:p>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Based on the estimated fair values of the Strategy and Innovation and Life Sciences reporting units, we recorded non-cash pretax goodwill impairment charges of $49.9 million and $9.9 million, respectively, in the first quarter of 2020. The $49.9 million non-cash pretax 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50"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Our goodwill impairment test was performed by comparing the fair value of each of the Strategy and Innovation and Life Sciences reporting units with its respective carrying value and recognizing an impairment charge for the amount by which the carrying value exceeded the fair value. To estimate the fair value of each reporting unit, we relied on a combination of the income approach and the market approach with a fifty-fifty weighting.</w:t>
      </w:r>
    </w:p>
    <w:p>
      <w:pPr>
        <w:spacing w:after="0" w:line="15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the income approach, we utilized a discounted cash flow analysis, which involved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future cash flows, we relied on internally generated seven-year forecasts. Our forecasts are based on historical experience, current backlog, expected market demand, and other industry information.</w:t>
      </w:r>
    </w:p>
    <w:p>
      <w:pPr>
        <w:spacing w:after="0" w:line="14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the market approach, we utilized the guideline company method, which involved calculating revenue multiples based on operating data from guideline publicly traded companies. Multiples derived from guideline companies provide an indication of how much a knowledgeable investor in the marketplace would be willing to pay for a company. These multiples were evaluated and adjusted based on specific characteristics of the Strategy and Innovation and Life Sciences reporting units relative to the selected guideline companies and applied to the reporting units' operating data to arrive at an indication of value.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2021 and 2020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b w:val="1"/>
                <w:bCs w:val="1"/>
                <w:color w:val="auto"/>
              </w:rPr>
              <w:t>As of December 31,</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Useful Life</w:t>
            </w:r>
          </w:p>
        </w:tc>
        <w:tc>
          <w:tcPr>
            <w:tcW w:w="240" w:type="dxa"/>
            <w:vAlign w:val="bottom"/>
          </w:tcPr>
          <w:p>
            <w:pPr>
              <w:spacing w:after="0"/>
              <w:rPr>
                <w:sz w:val="14"/>
                <w:szCs w:val="14"/>
                <w:color w:val="auto"/>
              </w:rPr>
            </w:pPr>
          </w:p>
        </w:tc>
        <w:tc>
          <w:tcPr>
            <w:tcW w:w="1360" w:type="dxa"/>
            <w:vAlign w:val="bottom"/>
            <w:gridSpan w:val="2"/>
          </w:tcPr>
          <w:p>
            <w:pPr>
              <w:jc w:val="center"/>
              <w:ind w:right="360"/>
              <w:spacing w:after="0" w:line="169" w:lineRule="exact"/>
              <w:rPr>
                <w:sz w:val="20"/>
                <w:szCs w:val="20"/>
                <w:color w:val="auto"/>
              </w:rPr>
            </w:pPr>
            <w:r>
              <w:rPr>
                <w:rFonts w:ascii="Arial" w:cs="Arial" w:eastAsia="Arial" w:hAnsi="Arial"/>
                <w:sz w:val="18"/>
                <w:szCs w:val="18"/>
                <w:b w:val="1"/>
                <w:bCs w:val="1"/>
                <w:color w:val="auto"/>
                <w:w w:val="99"/>
              </w:rPr>
              <w:t>Gross</w:t>
            </w:r>
          </w:p>
        </w:tc>
        <w:tc>
          <w:tcPr>
            <w:tcW w:w="18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4"/>
                <w:szCs w:val="14"/>
                <w:color w:val="auto"/>
              </w:rPr>
            </w:pPr>
          </w:p>
        </w:tc>
        <w:tc>
          <w:tcPr>
            <w:tcW w:w="1380" w:type="dxa"/>
            <w:vAlign w:val="bottom"/>
            <w:gridSpan w:val="2"/>
          </w:tcPr>
          <w:p>
            <w:pPr>
              <w:jc w:val="center"/>
              <w:ind w:right="380"/>
              <w:spacing w:after="0" w:line="169" w:lineRule="exact"/>
              <w:rPr>
                <w:sz w:val="20"/>
                <w:szCs w:val="20"/>
                <w:color w:val="auto"/>
              </w:rPr>
            </w:pPr>
            <w:r>
              <w:rPr>
                <w:rFonts w:ascii="Arial" w:cs="Arial" w:eastAsia="Arial" w:hAnsi="Arial"/>
                <w:sz w:val="18"/>
                <w:szCs w:val="18"/>
                <w:b w:val="1"/>
                <w:bCs w:val="1"/>
                <w:color w:val="auto"/>
                <w:w w:val="99"/>
              </w:rPr>
              <w:t>Gross</w:t>
            </w:r>
          </w:p>
        </w:tc>
        <w:tc>
          <w:tcPr>
            <w:tcW w:w="180" w:type="dxa"/>
            <w:vAlign w:val="bottom"/>
          </w:tcPr>
          <w:p>
            <w:pPr>
              <w:spacing w:after="0"/>
              <w:rPr>
                <w:sz w:val="14"/>
                <w:szCs w:val="14"/>
                <w:color w:val="auto"/>
              </w:rPr>
            </w:pPr>
          </w:p>
        </w:tc>
        <w:tc>
          <w:tcPr>
            <w:tcW w:w="13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Carrying</w:t>
            </w:r>
          </w:p>
        </w:tc>
        <w:tc>
          <w:tcPr>
            <w:tcW w:w="1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9"/>
              </w:rPr>
              <w:t>Carrying</w:t>
            </w: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3 to 13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56,232</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software</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2 to 5</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rPr>
              <w:t>4 to 5</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In connection with the divestiture of our Life Sciences business within our Business Advisory segment in 2021, we included $2.1 million of intangible assets in the calculation of the gain on sale recognized in other income (loss) on our consolidated statement of operations. The $2.1 million of intangible assets represents the carrying value of the Life Sciences customer relationships intangible asset as of the closing date.</w:t>
      </w:r>
    </w:p>
    <w:p>
      <w:pPr>
        <w:spacing w:after="0" w:line="5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Intangible assets amortization expense was $ 9.3 million, $12.7 million, and $17.8 million for the years ended December 31, 2021, 2020, and 2019, respectively. The table below sets forth the estimated annual amortization expense for each of the five succeeding years for the intangible assets recorded as of December 31,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2"/>
            <w:vMerge w:val="restart"/>
          </w:tcPr>
          <w:p>
            <w:pPr>
              <w:ind w:left="324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18"/>
                <w:szCs w:val="18"/>
                <w:color w:val="auto"/>
              </w:rPr>
            </w:pPr>
          </w:p>
        </w:tc>
        <w:tc>
          <w:tcPr>
            <w:tcW w:w="2180" w:type="dxa"/>
            <w:vAlign w:val="bottom"/>
          </w:tcPr>
          <w:p>
            <w:pPr>
              <w:jc w:val="right"/>
              <w:ind w:right="69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0"/>
        </w:trPr>
        <w:tc>
          <w:tcPr>
            <w:tcW w:w="8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jc w:val="right"/>
              <w:ind w:right="150"/>
              <w:spacing w:after="0"/>
              <w:rPr>
                <w:sz w:val="20"/>
                <w:szCs w:val="20"/>
                <w:color w:val="auto"/>
              </w:rPr>
            </w:pPr>
            <w:r>
              <w:rPr>
                <w:rFonts w:ascii="Arial" w:cs="Arial" w:eastAsia="Arial" w:hAnsi="Arial"/>
                <w:sz w:val="18"/>
                <w:szCs w:val="18"/>
                <w:b w:val="1"/>
                <w:bCs w:val="1"/>
                <w:color w:val="auto"/>
              </w:rPr>
              <w:t>Amortization Expense</w:t>
            </w:r>
          </w:p>
        </w:tc>
        <w:tc>
          <w:tcPr>
            <w:tcW w:w="0" w:type="dxa"/>
            <w:vAlign w:val="bottom"/>
          </w:tcPr>
          <w:p>
            <w:pPr>
              <w:spacing w:after="0"/>
              <w:rPr>
                <w:sz w:val="1"/>
                <w:szCs w:val="1"/>
                <w:color w:val="auto"/>
              </w:rPr>
            </w:pPr>
          </w:p>
        </w:tc>
      </w:tr>
      <w:tr>
        <w:trPr>
          <w:trHeight w:val="223"/>
        </w:trPr>
        <w:tc>
          <w:tcPr>
            <w:tcW w:w="8740" w:type="dxa"/>
            <w:vAlign w:val="bottom"/>
            <w:tcBorders>
              <w:top w:val="single" w:sz="8" w:color="auto"/>
            </w:tcBorders>
            <w:shd w:val="clear" w:color="auto" w:fill="CCEEFF"/>
          </w:tcPr>
          <w:p>
            <w:pPr>
              <w:jc w:val="right"/>
              <w:ind w:right="8230"/>
              <w:spacing w:after="0"/>
              <w:rPr>
                <w:sz w:val="20"/>
                <w:szCs w:val="20"/>
                <w:color w:val="auto"/>
              </w:rPr>
            </w:pPr>
            <w:r>
              <w:rPr>
                <w:rFonts w:ascii="Arial" w:cs="Arial" w:eastAsia="Arial" w:hAnsi="Arial"/>
                <w:sz w:val="18"/>
                <w:szCs w:val="18"/>
                <w:color w:val="auto"/>
                <w:w w:val="99"/>
              </w:rPr>
              <w:t>2022</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2023</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9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lease office space, data centers and certain equipment under operating leases expiring on various dates through 2029, with various renewal options that can extend the lease terms by one to ten years. Our operating leases include fixed payments plus, in some cases, scheduled base rent increases over the term of the lease. Certain leases require variable payments of real estate taxes, insurance and operating expenses. We exclude these variable payments from the measurements of our lease liabilities and expense them as incurred. We elected the practical expedient to combine lease and nonlease components. No lease agreements contain any residual value guarantees or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material restrictive covenants. As of December 31, 2021, we have not entered into any material finance leases. We sublease certain office spaces to third parties resulting from restructuring activities in certain locations.</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Operating lease right-of-use (“ROU”) assets are reviewed for impairment whenever events or changes in circumstances indicate that the carrying amount of the asset group to which the operating lease ROU asset is assigned may not be recoverable. First, we test the asset group for recoverability by comparing the undiscounted cash flows of the asset group, which include expected future lease and nonlease payments under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 and discount rate.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2020 Lease Impairment Charges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the fourth quarter of 2020, we announced a restructuring plan to reduce operating costs to address the impact of the COVID-19 pandemic on our business. The restructuring plan provided for a reduction in certain leased office spaces which included a portion of our principal executive office in Chicago, Illinois; the remaining portion of our Lake Oswego, Oregon office; our Boston, Massachusetts and Detroit, Michigan offices; and portions of our Denver, Colorado, New York City, New York, and Pensacola, Florida offices. As a result, we recognized $13.2 million of non-cash lease impairment charges, of which $ 9.1 million was allocated to the operating lease ROU assets and $4.1 million was allocated to the related fixed assets based on their relative carrying amounts. The $13.2 million of non-cash lease impairment charges was recognized in restructuring charges on our consolidated statement of operations. See Note 11 “Restructuring Charges” for additional information on our restructuring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 Lease Impairment Charge</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2019, we exited a portion of our Lake Oswego, Oregon office, the remaining portion of our Middleton, Wisconsin office, and an office in Houston Texas, which resulted in $0.8 million of non-cash lease impairment charges, of which $0.6 million was allocated to the operating lease ROU assets and $0.2 million was allocated to the leasehold improvements based on their relative carrying amounts. The $0.8 million of non-cash lease impairment charges were recognized in restructuring charges on our consolidated statement of operations. See Note 11 “Restructuring Charges” for additional information on our restructuring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 Lease Modification</w:t>
      </w:r>
    </w:p>
    <w:p>
      <w:pPr>
        <w:spacing w:after="0" w:line="19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the fourth quarter of 2019, we entered into an amendment to the office lease agreement for our principal executive offices in Chicago, Illinois, which resulted in a non-cash gain on lease modification of $0.8 million. Among other items, this amendment i) extended the term of the lease from September 30, 2024 to September 30, 2029; ii) provided a renewal option to extend the lease for an additional five year period to September 30, 2034; iii) terminated the lease with respect to certain leased spaces previously vacated; iv) provided abatement of certain future base rent payments and our pro rata share of operating expenses and taxes; and v) provided a one-time cash payment from the lessor as an incentive.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our operating leases as of December 31, 2021 and 2020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34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r>
      <w:tr>
        <w:trPr>
          <w:trHeight w:val="223"/>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39,360</w:t>
            </w:r>
          </w:p>
        </w:tc>
      </w:tr>
      <w:tr>
        <w:trPr>
          <w:trHeight w:val="270"/>
        </w:trPr>
        <w:tc>
          <w:tcPr>
            <w:tcW w:w="6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maturities of operating lease liabilities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r>
      <w:tr>
        <w:trPr>
          <w:trHeight w:val="230"/>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54,313</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61,825</w:t>
            </w:r>
          </w:p>
        </w:tc>
      </w:tr>
      <w:tr>
        <w:trPr>
          <w:trHeight w:val="248"/>
        </w:trPr>
        <w:tc>
          <w:tcPr>
            <w:tcW w:w="6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70,596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spacing w:after="0"/>
              <w:rPr>
                <w:sz w:val="21"/>
                <w:szCs w:val="21"/>
                <w:color w:val="auto"/>
              </w:rPr>
            </w:pPr>
          </w:p>
        </w:tc>
      </w:tr>
      <w:tr>
        <w:trPr>
          <w:trHeight w:val="223"/>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Lease Cost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2019</w:t>
            </w:r>
          </w:p>
        </w:tc>
      </w:tr>
      <w:tr>
        <w:trPr>
          <w:trHeight w:val="22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w:t>
            </w:r>
          </w:p>
        </w:tc>
      </w:tr>
      <w:tr>
        <w:trPr>
          <w:trHeight w:val="229"/>
        </w:trPr>
        <w:tc>
          <w:tcPr>
            <w:tcW w:w="4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Short-term leases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2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r>
      <w:tr>
        <w:trPr>
          <w:trHeight w:val="230"/>
        </w:trPr>
        <w:tc>
          <w:tcPr>
            <w:tcW w:w="4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Sublease income</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r>
      <w:tr>
        <w:trPr>
          <w:trHeight w:val="248"/>
        </w:trPr>
        <w:tc>
          <w:tcPr>
            <w:tcW w:w="4500" w:type="dxa"/>
            <w:vAlign w:val="bottom"/>
            <w:tcBorders>
              <w:bottom w:val="single" w:sz="8" w:color="CCEEFF"/>
            </w:tcBorders>
            <w:gridSpan w:val="2"/>
            <w:shd w:val="clear" w:color="auto" w:fill="CCEEFF"/>
          </w:tcPr>
          <w:p>
            <w:pPr>
              <w:ind w:left="220"/>
              <w:spacing w:after="0" w:line="223" w:lineRule="exact"/>
              <w:rPr>
                <w:sz w:val="20"/>
                <w:szCs w:val="20"/>
                <w:color w:val="auto"/>
              </w:rPr>
            </w:pPr>
            <w:r>
              <w:rPr>
                <w:rFonts w:ascii="Arial" w:cs="Arial" w:eastAsia="Arial" w:hAnsi="Arial"/>
                <w:sz w:val="18"/>
                <w:szCs w:val="18"/>
                <w:b w:val="1"/>
                <w:bCs w:val="1"/>
                <w:color w:val="auto"/>
              </w:rPr>
              <w:t xml:space="preserve">Net lease cost </w:t>
            </w:r>
            <w:r>
              <w:rPr>
                <w:rFonts w:ascii="Arial" w:cs="Arial" w:eastAsia="Arial" w:hAnsi="Arial"/>
                <w:sz w:val="23"/>
                <w:szCs w:val="23"/>
                <w:b w:val="1"/>
                <w:bCs w:val="1"/>
                <w:color w:val="auto"/>
                <w:vertAlign w:val="superscript"/>
              </w:rPr>
              <w:t>(2)(3)</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13,223</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variable lease costs related to short-term leases.</w:t>
      </w:r>
    </w:p>
    <w:p>
      <w:pPr>
        <w:spacing w:after="0" w:line="171" w:lineRule="exact"/>
        <w:rPr>
          <w:rFonts w:ascii="Arial" w:cs="Arial" w:eastAsia="Arial" w:hAnsi="Arial"/>
          <w:sz w:val="18"/>
          <w:szCs w:val="18"/>
          <w:color w:val="auto"/>
        </w:rPr>
      </w:pPr>
    </w:p>
    <w:p>
      <w:pPr>
        <w:ind w:left="340" w:right="20" w:hanging="332"/>
        <w:spacing w:after="0" w:line="256" w:lineRule="auto"/>
        <w:tabs>
          <w:tab w:leader="none" w:pos="3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lease cost includes $2.6 million, $0.3 million and $0.4 million for the years ended December 31, 2021, 2020 and 2019, respectively, recorded as restructuring charges as they relate to vacated office spaces. See Note 11 “Restructuring Charges” for additional information on our vacated office spaces.</w:t>
      </w:r>
    </w:p>
    <w:p>
      <w:pPr>
        <w:spacing w:after="0" w:line="147" w:lineRule="exact"/>
        <w:rPr>
          <w:rFonts w:ascii="Arial" w:cs="Arial" w:eastAsia="Arial" w:hAnsi="Arial"/>
          <w:sz w:val="18"/>
          <w:szCs w:val="18"/>
          <w:color w:val="auto"/>
        </w:rPr>
      </w:pPr>
    </w:p>
    <w:p>
      <w:pPr>
        <w:ind w:left="340" w:right="160" w:hanging="332"/>
        <w:spacing w:after="0" w:line="261" w:lineRule="auto"/>
        <w:tabs>
          <w:tab w:leader="none" w:pos="3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lease cost includes $0.2 million and $0.3 million for the years ended December 31, 2020 and 2019, respectively, related to vacated office spaces directly related to discontinued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remaining expected lease payments under our operating leases as of December 31,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Future Lease Payments</w:t>
            </w:r>
          </w:p>
        </w:tc>
        <w:tc>
          <w:tcPr>
            <w:tcW w:w="220" w:type="dxa"/>
            <w:vAlign w:val="bottom"/>
          </w:tcPr>
          <w:p>
            <w:pPr>
              <w:spacing w:after="0"/>
              <w:rPr>
                <w:sz w:val="17"/>
                <w:szCs w:val="17"/>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94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9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12,352</w:t>
            </w: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0" w:type="dxa"/>
            <w:vAlign w:val="bottom"/>
          </w:tcPr>
          <w:p>
            <w:pPr>
              <w:spacing w:after="0"/>
              <w:rPr>
                <w:sz w:val="1"/>
                <w:szCs w:val="1"/>
                <w:color w:val="auto"/>
              </w:rPr>
            </w:pP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11,345</w:t>
            </w: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0" w:type="dxa"/>
            <w:vAlign w:val="bottom"/>
          </w:tcPr>
          <w:p>
            <w:pPr>
              <w:spacing w:after="0"/>
              <w:rPr>
                <w:sz w:val="1"/>
                <w:szCs w:val="1"/>
                <w:color w:val="auto"/>
              </w:rPr>
            </w:pPr>
          </w:p>
        </w:tc>
      </w:tr>
      <w:tr>
        <w:trPr>
          <w:trHeight w:val="229"/>
        </w:trPr>
        <w:tc>
          <w:tcPr>
            <w:tcW w:w="9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14,462</w:t>
            </w:r>
          </w:p>
        </w:tc>
        <w:tc>
          <w:tcPr>
            <w:tcW w:w="0" w:type="dxa"/>
            <w:vAlign w:val="bottom"/>
          </w:tcPr>
          <w:p>
            <w:pPr>
              <w:spacing w:after="0"/>
              <w:rPr>
                <w:sz w:val="1"/>
                <w:szCs w:val="1"/>
                <w:color w:val="auto"/>
              </w:rPr>
            </w:pPr>
          </w:p>
        </w:tc>
      </w:tr>
      <w:tr>
        <w:trPr>
          <w:trHeight w:val="223"/>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lease payments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72,904</w:t>
            </w:r>
          </w:p>
        </w:tc>
        <w:tc>
          <w:tcPr>
            <w:tcW w:w="0" w:type="dxa"/>
            <w:vAlign w:val="bottom"/>
          </w:tcPr>
          <w:p>
            <w:pPr>
              <w:spacing w:after="0"/>
              <w:rPr>
                <w:sz w:val="1"/>
                <w:szCs w:val="1"/>
                <w:color w:val="auto"/>
              </w:rPr>
            </w:pPr>
          </w:p>
        </w:tc>
      </w:tr>
      <w:tr>
        <w:trPr>
          <w:trHeight w:val="229"/>
        </w:trPr>
        <w:tc>
          <w:tcPr>
            <w:tcW w:w="9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48"/>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64,455</w:t>
            </w:r>
          </w:p>
        </w:tc>
        <w:tc>
          <w:tcPr>
            <w:tcW w:w="0" w:type="dxa"/>
            <w:vAlign w:val="bottom"/>
          </w:tcPr>
          <w:p>
            <w:pPr>
              <w:spacing w:after="0"/>
              <w:rPr>
                <w:sz w:val="1"/>
                <w:szCs w:val="1"/>
                <w:color w:val="auto"/>
              </w:rPr>
            </w:pP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8"/>
                <w:szCs w:val="18"/>
                <w:b w:val="1"/>
                <w:bCs w:val="1"/>
                <w:color w:val="auto"/>
              </w:rPr>
              <w:t>Year Ended December 31,</w:t>
            </w:r>
          </w:p>
        </w:tc>
        <w:tc>
          <w:tcPr>
            <w:tcW w:w="1480" w:type="dxa"/>
            <w:vAlign w:val="bottom"/>
            <w:tcBorders>
              <w:bottom w:val="single" w:sz="8" w:color="auto"/>
            </w:tcBorders>
          </w:tcPr>
          <w:p>
            <w:pPr>
              <w:spacing w:after="0"/>
              <w:rPr>
                <w:sz w:val="20"/>
                <w:szCs w:val="20"/>
                <w:color w:val="auto"/>
              </w:rPr>
            </w:pP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23"/>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11,307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13,902</w:t>
            </w:r>
          </w:p>
        </w:tc>
      </w:tr>
      <w:tr>
        <w:trPr>
          <w:trHeight w:val="188"/>
        </w:trPr>
        <w:tc>
          <w:tcPr>
            <w:tcW w:w="53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Operating lease right-of-use assets obtained in exchange for</w:t>
            </w: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7"/>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12,842</w:t>
            </w:r>
          </w:p>
        </w:tc>
      </w:tr>
      <w:tr>
        <w:trPr>
          <w:trHeight w:val="270"/>
        </w:trPr>
        <w:tc>
          <w:tcPr>
            <w:tcW w:w="5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440" w:type="dxa"/>
            <w:vAlign w:val="bottom"/>
          </w:tcPr>
          <w:p>
            <w:pPr>
              <w:spacing w:after="0"/>
              <w:rPr>
                <w:sz w:val="19"/>
                <w:szCs w:val="19"/>
                <w:color w:val="auto"/>
              </w:rPr>
            </w:pPr>
          </w:p>
        </w:tc>
        <w:tc>
          <w:tcPr>
            <w:tcW w:w="1580" w:type="dxa"/>
            <w:vAlign w:val="bottom"/>
            <w:gridSpan w:val="2"/>
          </w:tcPr>
          <w:p>
            <w:pPr>
              <w:ind w:left="720"/>
              <w:spacing w:after="0"/>
              <w:rPr>
                <w:sz w:val="20"/>
                <w:szCs w:val="20"/>
                <w:color w:val="auto"/>
              </w:rPr>
            </w:pPr>
            <w:r>
              <w:rPr>
                <w:rFonts w:ascii="Arial" w:cs="Arial" w:eastAsia="Arial" w:hAnsi="Arial"/>
                <w:sz w:val="18"/>
                <w:szCs w:val="18"/>
                <w:color w:val="auto"/>
              </w:rPr>
              <w:t>6.1 years</w:t>
            </w:r>
          </w:p>
        </w:tc>
        <w:tc>
          <w:tcPr>
            <w:tcW w:w="420" w:type="dxa"/>
            <w:vAlign w:val="bottom"/>
          </w:tcPr>
          <w:p>
            <w:pPr>
              <w:spacing w:after="0"/>
              <w:rPr>
                <w:sz w:val="19"/>
                <w:szCs w:val="19"/>
                <w:color w:val="auto"/>
              </w:rPr>
            </w:pP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7.0 years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 years</w:t>
            </w:r>
          </w:p>
        </w:tc>
      </w:tr>
      <w:tr>
        <w:trPr>
          <w:trHeight w:val="22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Depreciation expense for property and equipment was $11.0 million, $12.2 million, and $13.0 million for the years ended December 31, 2021, 2020 and 2019, respectively. During the years ended December 31, 2021, 2020 and 2019, we recognized an additional $0.4 million,</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$0.6 million, and $0.5 million, respectively, of accelerated depreciation expense for fixed assets related to vacated office spaces. This accelerated depreciation expense is included as a component of restructuring charges. See Note 11 “Restructuring Charges” for additional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information on our restructuring charges incurred in 2021, 2020 and 2019. Property and equipment, net at December 31, 2021 and 2020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related equipment, and software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27,943</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39,952</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Aircraft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7,667</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under construction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93,954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90,190</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(61,097)</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29,093</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2022, we completed the sale of the aircraft to a third-party. As a result of the sale, we no longer own any aircraft.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Financing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amounts of our debt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5"/>
          </w:tcPr>
          <w:p>
            <w:pPr>
              <w:jc w:val="right"/>
              <w:ind w:right="9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5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facility</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Promissory note due 2024</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w:t>
            </w:r>
          </w:p>
        </w:tc>
      </w:tr>
      <w:tr>
        <w:trPr>
          <w:trHeight w:val="223"/>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232,780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203,279</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maturities of long-term debt</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48"/>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net of current portion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232,221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202,780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9440" w:type="dxa"/>
            <w:vAlign w:val="bottom"/>
            <w:gridSpan w:val="5"/>
          </w:tcPr>
          <w:p>
            <w:pPr>
              <w:spacing w:after="0"/>
              <w:rPr>
                <w:sz w:val="20"/>
                <w:szCs w:val="20"/>
                <w:color w:val="auto"/>
              </w:rPr>
            </w:pPr>
            <w:r>
              <w:rPr>
                <w:rFonts w:ascii="Arial" w:cs="Arial" w:eastAsia="Arial" w:hAnsi="Arial"/>
                <w:sz w:val="18"/>
                <w:szCs w:val="18"/>
                <w:color w:val="auto"/>
              </w:rPr>
              <w:t>Below is a summary of the scheduled remaining principal payments of our debt as of December 31, 2021.</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7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0" w:type="dxa"/>
            <w:vAlign w:val="bottom"/>
            <w:gridSpan w:val="4"/>
          </w:tcPr>
          <w:p>
            <w:pPr>
              <w:jc w:val="right"/>
              <w:ind w:right="70"/>
              <w:spacing w:after="0" w:line="202" w:lineRule="exact"/>
              <w:rPr>
                <w:sz w:val="20"/>
                <w:szCs w:val="20"/>
                <w:color w:val="auto"/>
              </w:rPr>
            </w:pPr>
            <w:r>
              <w:rPr>
                <w:rFonts w:ascii="Arial" w:cs="Arial" w:eastAsia="Arial" w:hAnsi="Arial"/>
                <w:sz w:val="18"/>
                <w:szCs w:val="18"/>
                <w:b w:val="1"/>
                <w:bCs w:val="1"/>
                <w:color w:val="auto"/>
              </w:rPr>
              <w:t>Principal Payments of</w:t>
            </w:r>
          </w:p>
        </w:tc>
      </w:tr>
      <w:tr>
        <w:trPr>
          <w:trHeight w:val="230"/>
        </w:trPr>
        <w:tc>
          <w:tcPr>
            <w:tcW w:w="75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Long-Term Debt</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231,646</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5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40" w:firstLine="8"/>
        <w:spacing w:after="0" w:line="252" w:lineRule="auto"/>
        <w:tabs>
          <w:tab w:leader="none" w:pos="2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December 31, 2021, we were in compliance with these financial covenants with a Consolidated Leverage Ratio of 1.73 to 1.00 and a Consolidated Interest Coverage Ratio of 18.43 to 1.00.</w:t>
      </w:r>
    </w:p>
    <w:p>
      <w:pPr>
        <w:spacing w:after="0" w:line="15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Borrowings outstanding under the Amended Credit Agreement at December 31, 2021 totaled $230.0 million. These borrowings carried a weighted average interest rate of 2.7%, including the effect of the interest rate swaps described in Note 12 “Derivative Instruments and Hedging Activity.” Borrowings outstanding under the Amended Credit Agreement at December 31, 2020 were $200.0 million and carried a weighted average interest rate of 2.5%, including the effect of the interest rate swaps. The borrowing capacity under the revolving credit facility is reduced by any outstanding borrowings under the revolving credit facility and outstanding letters of credit. At December 31, 2021, we had outstanding letters of credit totaling $0.7 million, which are primarily used as security deposits for our office facilities. As of December 31, 2021, the unused borrowing capacity under the revolving credit facility was $369.3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due 2024</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pay interest on the outstanding principal amount at a rate of one month LIBOR plus 1.97% per annum. The obligations under the promissory note are secured pursuant to a Loan and Aircraft Security Agreement with Banc of America Leasing &amp; Capital, LLC, which grants the lender a first priority security interest in the aircraft. At December 31, 2021, the outstanding principal amount of the promissory note was $2.8 million, and the aircraft had a carrying amount of $3.7 million. At December 31, 2020, the outstanding principal amount of the promissory note was $3.3 million, and the aircraft had a carrying amount of $ 4.4 million. In the first quarter of 2022, we completed the sale of the aircraft to a third-party and used a portion of the sale proceeds to pay the remaining principal and unpaid interest on the promissory note. As a result of the sale, we no longer own any aircraft.</w:t>
      </w:r>
    </w:p>
    <w:p>
      <w:pPr>
        <w:spacing w:after="0" w:line="135" w:lineRule="exact"/>
        <w:rPr>
          <w:sz w:val="20"/>
          <w:szCs w:val="20"/>
          <w:color w:val="auto"/>
        </w:rPr>
      </w:pPr>
    </w:p>
    <w:p>
      <w:pPr>
        <w:ind w:right="9580" w:firstLine="8"/>
        <w:spacing w:after="0" w:line="451" w:lineRule="auto"/>
        <w:tabs>
          <w:tab w:leader="none" w:pos="2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 Preferred Stock</w:t>
      </w:r>
    </w:p>
    <w:p>
      <w:pPr>
        <w:ind w:right="160"/>
        <w:spacing w:after="0" w:line="253" w:lineRule="auto"/>
        <w:rPr>
          <w:sz w:val="20"/>
          <w:szCs w:val="20"/>
          <w:color w:val="auto"/>
        </w:rPr>
      </w:pPr>
      <w:r>
        <w:rPr>
          <w:rFonts w:ascii="Arial" w:cs="Arial" w:eastAsia="Arial" w:hAnsi="Arial"/>
          <w:sz w:val="18"/>
          <w:szCs w:val="18"/>
          <w:color w:val="auto"/>
        </w:rPr>
        <w:t>We are authorized to issue up to 50,000,000 shares of preferred stock. Our certificate of incorporation authorizes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As of December 31, 2021 and 2020, no such preferred stock has been approved or issued.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are authorized to issue up to 500,000,000 shares of common stock, par value $.01 per share. The holders of common stock are entitled to one vote for each share held of record on each matter submitted to a vote of stockholders. Subject to the rights and preferences of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holders of any series of preferred stock that may at the time be outstanding, holders of common stock are entitled to such dividends as our board of directors may declare. In the event of any liquidation, dissolution or winding-up of our affairs, after payment of all of our debts and liabilities and subject to the rights and preferences of the holders of any series of preferred stock that may at the time be outstanding, holders of common stock will be entitled to receive the distribution of any of our remaining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Revenues</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For the years ended December 31, 2021, 2020 and 2019 we recognized revenues of $905.6 million, $844.1 million, and $ 876.8 million, respectively. Of the $905.6 million recognized in 2021, we recognized revenues of $ 22.9 million from obligations satisfied, or partially satisfied, in prior periods, of which $14.6 million was primarily due to changes in the estimates of our variable consideration under performance-based billing arrangements and $8.3 million was primarily due to the release of allowances on unbilled services. Of the $ 844.1 million recognized in 2020, we recognized revenues of $12.2 million from obligations satisfied, or partially satisfied, in prior periods, of which $7.5 million was primarily due to changes in the estimates of our variable consideration under performance-based billing arrangements and $4.7 million was primarily due to the release of allowances on unbilled services. Of the $876.8 million recognized in 2019, we recognized revenues of $2.8 million from obligations satisfied, or partially satisfied, in prior periods due to the release of allowances on unbilled services. During 2019, we recognized a $1.0 million decrease to revenues due to changes in the estimates of our variable consideration under performance-based billing arrangements.</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December 31, 2021, we had $100.0 million of remaining performance obligations under engagements with original expected durations greater than one year. These remaining performance obligations exclude obligations under contracts with an original expected duration of one year or less, variable consideration which has been excluded from the total transaction price due to the constraint, and performance obligations under time-and-expense engagements which are recognized in the amount invoiced. Of the $100.0 million of performance obligations, we expect to recognize approximately $55.2 million as revenue in 2022, $25.6 million in 2023, and the remaining $ 19.2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3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Unbilled services include revenues recognized for services performed but not yet billed to clients. Services performed that we are not yet entitled to bill because certain events must occur, such as the completion of the measurement period or client approval in performance-based engagements, are recorded as contract assets and included within unbilled services, net. The contract asset balance as of December 31, 2021 and 2020 was $23.7 million and $17.3 million, respectively. The $6.4 million increase primarily reflects timing differences between the completion of our performance obligations and the amounts billed or billable to clients in accordance with their contractual billing terms.</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policy. Our deferred revenues balance as of December 31, 2021 and December 31, 2020 was $19.2 million and $28.2 million respectively. The $9.0 million decrease primarily reflects timing differences between client payments in accordance with their contract terms and the completion of our performance obligations. For the year ended December 31, 2021, $27.6 million of revenues recognized were included in the deferred revenue balance as of December 31, 2020. For the year ended December 31, 2020, $25.1 million of revenues recognized were included in the deferred revenue balance as of December 31, 2019.</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under the basic and diluted computations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41,979</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6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outstanding—basic</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21,993</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Weighted average common stock equivalents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outstanding—diluted</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22,507</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per basic share: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Net earnings (loss) per diluted share: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at December 31, 2021 and 2020 were 0.1 million and 1.1 million, respectively, and related to unvested restricted stock. The number of anti-dilutive securities excluded from the computation of the weighted average common stock equivalents presented above at December 31, 2019 were 3.1 million and related to the warrants sold in conjunction with the issuance of our convertible senior notes.</w:t>
      </w:r>
    </w:p>
    <w:p>
      <w:pPr>
        <w:spacing w:after="0" w:line="6"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As of December 31,</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November 2020, our board of directors authorized a share repurchase program (the “2020 Share Repurchase Program”) permitting us to repurchase up to $50 million of our common stock through December 31, 2021. The 2020 Share Repurchase Program was authorized subsequent to the expiration of our prior share repurchase program (the “2015 Share Repurchase Program”) on October 31, 2020. The 2015 Share Repurchase Program permitted us to repurchase up to $ 125 million of our common stock through October 31, 2020. During the third quarter of 2021, our board of directors authorized an extension of the 2020 Share Repurchase Program through December 31, 2022 and increased the authorized amount from $50 million to $100 million.The amount and timing of repurchases under our share repurchase programs is determined by management and depends on a variety of factors, including the trading price of our common stock, capacity under our credit facility, general market and business conditions, and applicable legal requirements. All shares repurchased and retired are reflected as a reduction to our basic weighted average shares outstanding based on the trade date of the share repurchase.</w:t>
      </w:r>
    </w:p>
    <w:p>
      <w:pPr>
        <w:spacing w:after="0" w:line="15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2021, we repurchased and retired 1,265,261 shares for $64.8 million under the 2020 Share Repurchase Program, including 3,820 shares for $0.2 million which settled in the first quarter of 2022. During 2020, we repurchased and retired 313,998 shares for $20.9 million under the 2015 Share Repurchase Program and 111,166 shares for $5.0 million under the 2020 Share Repurchase Program. Additionally, during the first quarter of 2020, we settled the repurchase of 18,000 shares for $1.2 million that were accrued as of December 31, 2019. In 2019, we repurchased and retired 210,437 shares for $14.2 million under the 2015 Share Repurchase Program, including the 18,000 shares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for $1.2 million which settled in the first quarter of 2020. As of December 31, 2021, $30.2 million remains available under the plan for share repurchases.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2021, we incurred $12.4 million of total pretax restructuring expense. Of the $12.4 million pretax restructuring expense, $8.5 million related to the divestiture of our Life Sciences business, a reporting unit within the Business Advisory segment. On November 1, 2021, we completed the sale of the Life Sciences business to a third-party, and recognized a $31.5 million pre-tax gain which is included within other income (expense), net on our consolidated statement of operations. For the ten months ended October 31, 2021, the Life Sciences business generated $16.7 million of revenue and is not considered significant to our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total pretax restructuring expense of $12.4 million recognized in 2021 consisted of the following charges:</w:t>
      </w:r>
    </w:p>
    <w:p>
      <w:pPr>
        <w:spacing w:after="0" w:line="153"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i w:val="1"/>
          <w:iCs w:val="1"/>
          <w:color w:val="auto"/>
        </w:rPr>
        <w:t xml:space="preserve">Employee Costs </w:t>
      </w:r>
      <w:r>
        <w:rPr>
          <w:rFonts w:ascii="Arial" w:cs="Arial" w:eastAsia="Arial" w:hAnsi="Arial"/>
          <w:sz w:val="18"/>
          <w:szCs w:val="18"/>
          <w:color w:val="auto"/>
        </w:rPr>
        <w:t>- We incurred $8.1 million of employee-related restructuring expense, of which $ 6.8 million related to transaction-related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payments made in connection with the divestiture of our Life Sciences businesses and $1.3 million related to other employee-related expenses in our Business Advisory segment.</w:t>
      </w:r>
    </w:p>
    <w:p>
      <w:pPr>
        <w:spacing w:after="0" w:line="12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Office space reductions </w:t>
      </w:r>
      <w:r>
        <w:rPr>
          <w:rFonts w:ascii="Arial" w:cs="Arial" w:eastAsia="Arial" w:hAnsi="Arial"/>
          <w:sz w:val="18"/>
          <w:szCs w:val="18"/>
          <w:color w:val="auto"/>
        </w:rPr>
        <w:t>- We incurred $3.1 million of restructuring expense related to office space reductions, of which $ 2.3 million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rent and related expenses, net of sublease income, and accelerated depreciation on furniture and fixtures for previously vacated office spaces and $0.8 million related to accelerated amortization and depreciation on the operating lease ROU asset and fixed assets related to our London, U.K. office which we vacated in connection with the divestiture of our Life Sciences business.</w:t>
      </w:r>
    </w:p>
    <w:p>
      <w:pPr>
        <w:spacing w:after="0" w:line="126"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We incurred $1.2 million of other restructuring charges, of which $0.9 million related to third-party legal and professional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connection with the divestiture of our Life Sciences business and $0.2 million related to third-party advisory fees related to the reorganization of our internal operating and financial reporting structure. See Note 19 "Segment Information" for more information on our reorganization which is effective in the first quarter of 2022.</w:t>
      </w:r>
    </w:p>
    <w:p>
      <w:pPr>
        <w:spacing w:after="0" w:line="14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Of the total $12.4 million pretax restructuring charge, $7.9 million was recognized in the results of operations of our Business Advisory segment and $4.5 million was recognized in our corporate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19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In 2020, we incurred $20.5 million of total pretax restructuring expense. Of the $ 20.5 million pretax restructuring expense, $18.7 million related to the restructuring plan executed in the fourth quarter of 2020 to reduce operating costs to address the impact of the COVID-19 pandemic on our business. The total pretax restructuring expense of $20.5 million recognized in 2020 consisted of the following charges:</w:t>
      </w:r>
    </w:p>
    <w:p>
      <w:pPr>
        <w:spacing w:after="0" w:line="13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Employee Costs </w:t>
      </w:r>
      <w:r>
        <w:rPr>
          <w:rFonts w:ascii="Arial" w:cs="Arial" w:eastAsia="Arial" w:hAnsi="Arial"/>
          <w:sz w:val="18"/>
          <w:szCs w:val="18"/>
          <w:color w:val="auto"/>
        </w:rPr>
        <w:t>- We incurred $5.3 million of severance-related restructuring expense, of which, $4.8 million related to the fourth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2020 restructuring plan and $0.4 million related to workforce reductions completed prior to the fourth quarter of 2020 to better align resources with market demand. Of the total $5.3 million of severance-related restructuring expense, $2.0 million related to our Education segment, $1.5 million related to our Healthcare segment, $1.0 million related to our Business Advisory segment, and $0.8 million related to our corporate operations.</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Office space reductions </w:t>
      </w:r>
      <w:r>
        <w:rPr>
          <w:rFonts w:ascii="Arial" w:cs="Arial" w:eastAsia="Arial" w:hAnsi="Arial"/>
          <w:sz w:val="18"/>
          <w:szCs w:val="18"/>
          <w:color w:val="auto"/>
        </w:rPr>
        <w:t>- We incurred $14.0 million of restructuring expense related to office space reductions, which primarily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quarter 2020 restructuring plan. The fourth quarter 2020 restructuring plan provided for a reduction in certain leased office spaces which included a portion of our principal executive office in Chicago, Illinois; the remaining portion of our Lake Oswego, Oregon office; our Boston, Massachusetts and Detroit, Michigan offices; and portions of our Denver, Colorado, New York City, New York, and Pensacola, Florida offices. As a result, we recognized $13.2 million of non-cash lease impairment charges on the related operating lease ROU assets and fixed assets for those we intend to sublease, as well as $0.7 million of accelerated amortization and depreciation on the related operating lease ROU assets and fixed assets we abandoned. See Note 5 “Leases” for additional information on the long-lived asset impairment test performed in 2020. We also incurred $0.1 million related to rent and related expenses, net of sublease income, for previously vacated office spaces.</w:t>
      </w:r>
    </w:p>
    <w:p>
      <w:pPr>
        <w:spacing w:after="0" w:line="13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We incurred $1.2 million of other restructuring charges primarily related to an accrual for the termination of a third-party advisor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our Business Advisory segment.</w:t>
      </w:r>
    </w:p>
    <w:p>
      <w:pPr>
        <w:spacing w:after="0" w:line="12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Of the total $20.5 million pretax restructuring charge, $14.8 million related to our corporate operations, $2.2 million related to our Business Advisory segment, $2.0 million related to our Education segment, and $1.5 million related to our Healthcare segment.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2019, we incurred $1.9 million of pretax restructuring expense. This expense primarily consisted of the following charges:</w:t>
      </w:r>
    </w:p>
    <w:p>
      <w:pPr>
        <w:spacing w:after="0" w:line="15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 xml:space="preserve">Employee Costs </w:t>
      </w:r>
      <w:r>
        <w:rPr>
          <w:rFonts w:ascii="Arial" w:cs="Arial" w:eastAsia="Arial" w:hAnsi="Arial"/>
          <w:sz w:val="18"/>
          <w:szCs w:val="18"/>
          <w:color w:val="auto"/>
        </w:rPr>
        <w:t>- We incurred $0.6 million of severance expense as a result of workforce reductions to better align resources with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demand and workforce reductions in our corporate operations.</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Office space reductions </w:t>
      </w:r>
      <w:r>
        <w:rPr>
          <w:rFonts w:ascii="Arial" w:cs="Arial" w:eastAsia="Arial" w:hAnsi="Arial"/>
          <w:sz w:val="18"/>
          <w:szCs w:val="18"/>
          <w:color w:val="auto"/>
        </w:rPr>
        <w:t>- We incurred $1.2 million of restructuring expense related to office space reductions. During 2019, we exited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Lake Oswego, Oregon office resulting in a $0.7 million lease impairment charge on the related operating lease ROU asset and leasehold improvements and $0.2 million of accelerated depreciation on furniture and fixtures in that office. See Note 5 “Leases” for additional information on the long-lived asset impairment test performed in 2019. Additionally, during 2019, we exited the remaining portion of our Middleton, Wisconsin office and an office in Houston, Texas, resulting in restructuring charges of $0.4 million and $0.1 million, respectively, which primarily consisted of accelerated depreciation on furniture and fixtures in those offices. During the fourth quarter of 2019, we entered into an amendment to the lease of our principal executive office in Chicago, Illinois. Among other items, the amendment terminated the lease with respect to certain leased space which we previously vacated and subleased to a third-party. As a result of the amendment, we recognized a restructuring gain of $0.4 million. See Note 5 “Leases” for additional information on the amendment.</w:t>
      </w:r>
    </w:p>
    <w:p>
      <w:pPr>
        <w:spacing w:after="0" w:line="152"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Of the $1.9 million pretax restructuring charge, $1.5 million related to our corporate operations, $0.3 million related to our Healthcare segment, and $0.1 million related to our Business Advisory segment.</w:t>
      </w:r>
    </w:p>
    <w:p>
      <w:pPr>
        <w:spacing w:after="0" w:line="14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years ended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8"/>
              </w:rPr>
              <w:t>Employee Costs</w:t>
            </w:r>
          </w:p>
        </w:tc>
        <w:tc>
          <w:tcPr>
            <w:tcW w:w="10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Office Space</w:t>
            </w:r>
          </w:p>
        </w:tc>
        <w:tc>
          <w:tcPr>
            <w:tcW w:w="340" w:type="dxa"/>
            <w:vAlign w:val="bottom"/>
          </w:tcPr>
          <w:p>
            <w:pPr>
              <w:spacing w:after="0"/>
              <w:rPr>
                <w:sz w:val="17"/>
                <w:szCs w:val="17"/>
                <w:color w:val="auto"/>
              </w:rPr>
            </w:pPr>
          </w:p>
        </w:tc>
        <w:tc>
          <w:tcPr>
            <w:tcW w:w="13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Other</w:t>
            </w:r>
          </w:p>
        </w:tc>
        <w:tc>
          <w:tcPr>
            <w:tcW w:w="10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Reductions</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42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 (2)</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6,546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30"/>
        </w:trPr>
        <w:tc>
          <w:tcPr>
            <w:tcW w:w="42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 (2)</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30"/>
        </w:trPr>
        <w:tc>
          <w:tcPr>
            <w:tcW w:w="42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(1)(2)</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9,288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(1)(2)</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840" w:hanging="332"/>
        <w:spacing w:after="0" w:line="261" w:lineRule="auto"/>
        <w:tabs>
          <w:tab w:leader="none" w:pos="3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and adjustments for the years ended December 31, 2021 and 2020 include restructuring charges of $0.1 million and $0.2 million, respectively, related to office space reductions directly related to discontinued operations</w:t>
      </w:r>
      <w:r>
        <w:rPr>
          <w:rFonts w:ascii="Arial" w:cs="Arial" w:eastAsia="Arial" w:hAnsi="Arial"/>
          <w:sz w:val="18"/>
          <w:szCs w:val="18"/>
          <w:i w:val="1"/>
          <w:iCs w:val="1"/>
          <w:color w:val="auto"/>
        </w:rPr>
        <w:t>.</w:t>
      </w:r>
    </w:p>
    <w:p>
      <w:pPr>
        <w:spacing w:after="0" w:line="143" w:lineRule="exact"/>
        <w:rPr>
          <w:rFonts w:ascii="Arial" w:cs="Arial" w:eastAsia="Arial" w:hAnsi="Arial"/>
          <w:sz w:val="18"/>
          <w:szCs w:val="18"/>
          <w:color w:val="auto"/>
        </w:rPr>
      </w:pPr>
    </w:p>
    <w:p>
      <w:pPr>
        <w:ind w:left="340" w:right="60" w:hanging="332"/>
        <w:spacing w:after="0" w:line="256" w:lineRule="auto"/>
        <w:tabs>
          <w:tab w:leader="none" w:pos="3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and adjustments exclude non-cash items related to vacated office spaces, such as lease impairment charges and accelerated depreciation on abandoned operating lease ROU assets and fixed assets, which are recorded as restructuring charges on our consolidated statements of operations.</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All of the $0.6 million restructuring charge liability related to employee costs at December 31, 2021 is expected to be paid in the next 12 months and is included as a component of accrued payroll and related benefits. Substantially all of the $0.6 million other restructuring charge liability at December 31, 2021 is expected to be paid in the next 12 months and is included as a component of accrued expenses and other current liabilities.</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 and Hedging Activity</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 month LIBOR and we pay to the counterparty a fixed rate of 1.900%.</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 -rate borrowings. Under the terms of the interest rate swap agreement, we receive from the counterparty interest on the notional amount based on one month LIBOR and we pay to the counterparty a fixed rate of 1.500%.</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recognize all derivative instruments as either assets or liabilities at fair value on the balance sheet. We have designated these derivative instruments as cash flow hedges. Therefore, changes in the fair value of the derivative instruments are recorded to other comprehensive income (“OCI”) to the extent effective and reclassified into interest expense upon settlement. As of December 31, 2021, it was anticipated that $1.1 million of the losses, net of tax, currently recorded in accumulated other comprehensive income will be reclassified into earnings within the next 12 months.</w:t>
      </w:r>
    </w:p>
    <w:p>
      <w:pPr>
        <w:spacing w:after="0" w:line="15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table below sets forth additional information relating to our interest rate swaps designated as cash flow hedging instruments as of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8"/>
                <w:szCs w:val="18"/>
                <w:color w:val="auto"/>
              </w:rPr>
            </w:pPr>
          </w:p>
        </w:tc>
        <w:tc>
          <w:tcPr>
            <w:tcW w:w="4180" w:type="dxa"/>
            <w:vAlign w:val="bottom"/>
            <w:gridSpan w:val="4"/>
          </w:tcPr>
          <w:p>
            <w:pPr>
              <w:jc w:val="right"/>
              <w:spacing w:after="0"/>
              <w:rPr>
                <w:sz w:val="20"/>
                <w:szCs w:val="20"/>
                <w:color w:val="auto"/>
              </w:rPr>
            </w:pPr>
            <w:r>
              <w:rPr>
                <w:rFonts w:ascii="Arial" w:cs="Arial" w:eastAsia="Arial" w:hAnsi="Arial"/>
                <w:sz w:val="18"/>
                <w:szCs w:val="18"/>
                <w:b w:val="1"/>
                <w:bCs w:val="1"/>
                <w:color w:val="auto"/>
              </w:rPr>
              <w:t>Fair Value (Derivative Asset and Liability)</w:t>
            </w:r>
          </w:p>
        </w:tc>
        <w:tc>
          <w:tcPr>
            <w:tcW w:w="580" w:type="dxa"/>
            <w:vAlign w:val="bottom"/>
          </w:tcPr>
          <w:p>
            <w:pPr>
              <w:spacing w:after="0"/>
              <w:rPr>
                <w:sz w:val="18"/>
                <w:szCs w:val="18"/>
                <w:color w:val="auto"/>
              </w:rPr>
            </w:pPr>
          </w:p>
        </w:tc>
      </w:tr>
      <w:tr>
        <w:trPr>
          <w:trHeight w:val="230"/>
        </w:trPr>
        <w:tc>
          <w:tcPr>
            <w:tcW w:w="648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19"/>
                <w:szCs w:val="19"/>
                <w:color w:val="auto"/>
              </w:rPr>
            </w:pPr>
          </w:p>
        </w:tc>
      </w:tr>
      <w:tr>
        <w:trPr>
          <w:trHeight w:val="22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Sheet Location</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9"/>
                <w:szCs w:val="19"/>
                <w:color w:val="auto"/>
              </w:rPr>
            </w:pPr>
          </w:p>
        </w:tc>
        <w:tc>
          <w:tcPr>
            <w:tcW w:w="1740" w:type="dxa"/>
            <w:vAlign w:val="bottom"/>
          </w:tcPr>
          <w:p>
            <w:pPr>
              <w:jc w:val="right"/>
              <w:ind w:right="15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and other liabilities</w:t>
            </w: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r>
    </w:tbl>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do not use derivative instruments for trading or other speculative purposes. Refer to Note 14 “Other Comprehensive Income (Loss)” for additional information on our derivative instruments.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Instruments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pacing w:after="0" w:line="93" w:lineRule="exact"/>
        <w:rPr>
          <w:sz w:val="20"/>
          <w:szCs w:val="20"/>
          <w:color w:val="auto"/>
        </w:rPr>
      </w:pPr>
    </w:p>
    <w:p>
      <w:pPr>
        <w:ind w:left="20"/>
        <w:spacing w:after="0"/>
        <w:tabs>
          <w:tab w:leader="none" w:pos="1920" w:val="left"/>
        </w:tabs>
        <w:rPr>
          <w:sz w:val="20"/>
          <w:szCs w:val="20"/>
          <w:color w:val="auto"/>
        </w:rPr>
      </w:pPr>
      <w:r>
        <w:rPr>
          <w:rFonts w:ascii="Arial" w:cs="Arial" w:eastAsia="Arial" w:hAnsi="Arial"/>
          <w:sz w:val="18"/>
          <w:szCs w:val="18"/>
          <w:color w:val="auto"/>
        </w:rPr>
        <w:t>Level 1 Inputs</w:t>
      </w:r>
      <w:r>
        <w:rPr>
          <w:sz w:val="20"/>
          <w:szCs w:val="20"/>
          <w:color w:val="auto"/>
        </w:rPr>
        <w:tab/>
      </w:r>
      <w:r>
        <w:rPr>
          <w:rFonts w:ascii="Arial" w:cs="Arial" w:eastAsia="Arial" w:hAnsi="Arial"/>
          <w:sz w:val="18"/>
          <w:szCs w:val="18"/>
          <w:color w:val="auto"/>
        </w:rPr>
        <w:t>Quoted prices in active markets for identical assets or liabilities that the reporting entity has the ability to access at</w:t>
      </w:r>
    </w:p>
    <w:p>
      <w:pPr>
        <w:ind w:left="1940"/>
        <w:spacing w:after="0"/>
        <w:rPr>
          <w:sz w:val="20"/>
          <w:szCs w:val="20"/>
          <w:color w:val="auto"/>
        </w:rPr>
      </w:pPr>
      <w:r>
        <w:rPr>
          <w:rFonts w:ascii="Arial" w:cs="Arial" w:eastAsia="Arial" w:hAnsi="Arial"/>
          <w:sz w:val="18"/>
          <w:szCs w:val="18"/>
          <w:color w:val="auto"/>
        </w:rPr>
        <w:t>the measurement date.</w:t>
      </w:r>
    </w:p>
    <w:p>
      <w:pPr>
        <w:spacing w:after="0" w:line="45" w:lineRule="exact"/>
        <w:rPr>
          <w:sz w:val="20"/>
          <w:szCs w:val="20"/>
          <w:color w:val="auto"/>
        </w:rPr>
      </w:pPr>
    </w:p>
    <w:p>
      <w:pPr>
        <w:ind w:left="20"/>
        <w:spacing w:after="0"/>
        <w:tabs>
          <w:tab w:leader="none" w:pos="1920" w:val="left"/>
        </w:tabs>
        <w:rPr>
          <w:sz w:val="20"/>
          <w:szCs w:val="20"/>
          <w:color w:val="auto"/>
        </w:rPr>
      </w:pPr>
      <w:r>
        <w:rPr>
          <w:rFonts w:ascii="Arial" w:cs="Arial" w:eastAsia="Arial" w:hAnsi="Arial"/>
          <w:sz w:val="18"/>
          <w:szCs w:val="18"/>
          <w:color w:val="auto"/>
        </w:rPr>
        <w:t>Level 2 Inputs</w:t>
      </w:r>
      <w:r>
        <w:rPr>
          <w:sz w:val="20"/>
          <w:szCs w:val="20"/>
          <w:color w:val="auto"/>
        </w:rPr>
        <w:tab/>
      </w:r>
      <w:r>
        <w:rPr>
          <w:rFonts w:ascii="Arial" w:cs="Arial" w:eastAsia="Arial" w:hAnsi="Arial"/>
          <w:sz w:val="18"/>
          <w:szCs w:val="18"/>
          <w:color w:val="auto"/>
        </w:rPr>
        <w:t>Quoted prices in active markets for similar assets or liabilities; quoted prices for identical or similar assets or</w:t>
      </w:r>
    </w:p>
    <w:p>
      <w:pPr>
        <w:ind w:left="1940"/>
        <w:spacing w:after="0" w:line="203" w:lineRule="auto"/>
        <w:rPr>
          <w:sz w:val="20"/>
          <w:szCs w:val="20"/>
          <w:color w:val="auto"/>
        </w:rPr>
      </w:pPr>
      <w:r>
        <w:rPr>
          <w:rFonts w:ascii="Arial" w:cs="Arial" w:eastAsia="Arial" w:hAnsi="Arial"/>
          <w:sz w:val="18"/>
          <w:szCs w:val="18"/>
          <w:color w:val="auto"/>
        </w:rPr>
        <w:t>liabilities in markets that are not active; inputs other than quoted prices that are observable for the asset or liability;</w:t>
      </w:r>
    </w:p>
    <w:p>
      <w:pPr>
        <w:ind w:left="1940"/>
        <w:spacing w:after="0"/>
        <w:rPr>
          <w:sz w:val="20"/>
          <w:szCs w:val="20"/>
          <w:color w:val="auto"/>
        </w:rPr>
      </w:pPr>
      <w:r>
        <w:rPr>
          <w:rFonts w:ascii="Arial" w:cs="Arial" w:eastAsia="Arial" w:hAnsi="Arial"/>
          <w:sz w:val="18"/>
          <w:szCs w:val="18"/>
          <w:color w:val="auto"/>
        </w:rPr>
        <w:t>or inputs that are derived principally from or corroborated by observable market data by correlation or other means.</w:t>
      </w:r>
    </w:p>
    <w:p>
      <w:pPr>
        <w:spacing w:after="0" w:line="45" w:lineRule="exact"/>
        <w:rPr>
          <w:sz w:val="20"/>
          <w:szCs w:val="20"/>
          <w:color w:val="auto"/>
        </w:rPr>
      </w:pPr>
    </w:p>
    <w:p>
      <w:pPr>
        <w:ind w:left="20"/>
        <w:spacing w:after="0"/>
        <w:tabs>
          <w:tab w:leader="none" w:pos="192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7"/>
          <w:szCs w:val="17"/>
          <w:color w:val="auto"/>
        </w:rPr>
        <w:t>Unobservable inputs for the asset or liability, and include situations in which there is little, if any, market activity for</w:t>
      </w:r>
    </w:p>
    <w:p>
      <w:pPr>
        <w:ind w:left="1940"/>
        <w:spacing w:after="0"/>
        <w:rPr>
          <w:sz w:val="20"/>
          <w:szCs w:val="20"/>
          <w:color w:val="auto"/>
        </w:rPr>
      </w:pPr>
      <w:r>
        <w:rPr>
          <w:rFonts w:ascii="Arial" w:cs="Arial" w:eastAsia="Arial" w:hAnsi="Arial"/>
          <w:sz w:val="18"/>
          <w:szCs w:val="18"/>
          <w:color w:val="auto"/>
        </w:rPr>
        <w:t>the asset or liability.</w:t>
      </w:r>
    </w:p>
    <w:p>
      <w:pPr>
        <w:spacing w:after="0" w:line="33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tables below sets forth our fair value hierarchy for our financial assets and liabilities measured at fair value on a recurring basis as of December 31, 2021 and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Convertible debt investment</w:t>
            </w:r>
          </w:p>
        </w:tc>
        <w:tc>
          <w:tcPr>
            <w:tcW w:w="12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65,918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65,918</w:t>
            </w: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compensation assets</w:t>
            </w: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39,430</w:t>
            </w:r>
          </w:p>
        </w:tc>
      </w:tr>
      <w:tr>
        <w:trPr>
          <w:trHeight w:val="223"/>
        </w:trPr>
        <w:tc>
          <w:tcPr>
            <w:tcW w:w="466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40,057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65,918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105,975</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 for business acquisition</w:t>
            </w: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r>
      <w:tr>
        <w:trPr>
          <w:trHeight w:val="223"/>
        </w:trPr>
        <w:tc>
          <w:tcPr>
            <w:tcW w:w="466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w:t>
            </w:r>
          </w:p>
        </w:tc>
      </w:tr>
    </w:tbl>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debt investment</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64,364</w:t>
            </w:r>
          </w:p>
        </w:tc>
      </w:tr>
      <w:tr>
        <w:trPr>
          <w:trHeight w:val="230"/>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compensation assets</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34,056</w:t>
            </w:r>
          </w:p>
        </w:tc>
      </w:tr>
      <w:tr>
        <w:trPr>
          <w:trHeight w:val="223"/>
        </w:trPr>
        <w:tc>
          <w:tcPr>
            <w:tcW w:w="4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98,420</w:t>
            </w:r>
          </w:p>
        </w:tc>
      </w:tr>
      <w:tr>
        <w:trPr>
          <w:trHeight w:val="210"/>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w:t>
            </w:r>
          </w:p>
        </w:tc>
      </w:tr>
      <w:tr>
        <w:trPr>
          <w:trHeight w:val="229"/>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Contingent consideration for business acquisition</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r>
      <w:tr>
        <w:trPr>
          <w:trHeight w:val="223"/>
        </w:trPr>
        <w:tc>
          <w:tcPr>
            <w:tcW w:w="4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liabilities</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7,167</w:t>
            </w:r>
          </w:p>
        </w:tc>
      </w:tr>
    </w:tbl>
    <w:p>
      <w:pPr>
        <w:spacing w:after="0" w:line="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fair values of our interest rate swaps were derived using estimates to settle the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based on the net present value of expected future cash flows on each leg of the swap utilizing market-based inputs and discount rates reflecting the risks involved. See Note 12 "Derivative Instruments and Hedging Activity" for additional information on our interest rate swaps.</w:t>
      </w:r>
    </w:p>
    <w:p>
      <w:pPr>
        <w:spacing w:after="0" w:line="12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(the “initial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notes”), in Shorelight Holdings, LLC (“Shorelight”), the parent company of Shorelight, a U.S.-based company that partners with leading nonprofit universities to increase access to and retention of international students, boost institutional growth, and enhance an institution’s global footprint. In the first quarter of 2020, we invested an additional $13.0 million, in the form of 1.69% convertible debt with a senior liquidation preference to the initial convertible notes (the “additional convertible note”); and amended our initial convertible notes to include a</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coupon rate of 1.69% and extend the maturity date to January 17, 2024, which coincides with the maturity date of the additional convertible note.</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of January 17, 2024, the applicable waterfall distribution at the end of the expected holding period based on the rights and privileges of the various instruments, cash flow projections discounted at the risk-adjusted rate of 22.5% and 24.0% as of December 31, 2021 and 2020, respectively; and the concluded equity volatility of 45.0% as of both December 31, 2021 and 2020,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investments on our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years ended December 31, 2021 and 2020.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Convertible Debt Investment</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Purchases</w:t>
            </w:r>
          </w:p>
        </w:tc>
        <w:tc>
          <w:tcPr>
            <w:tcW w:w="2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debt investment</w:t>
            </w:r>
          </w:p>
        </w:tc>
        <w:tc>
          <w:tcPr>
            <w:tcW w:w="24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2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64,364</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debt investment</w:t>
            </w:r>
          </w:p>
        </w:tc>
        <w:tc>
          <w:tcPr>
            <w:tcW w:w="24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65,918</w:t>
            </w: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 select group of our employees. The deferred compensation liability is fully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sheets. Realized and unrealized gains (losses) from the deferred compensation assets are recorded to other income (expense), net in our consolidated statements of operations.</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Contingent consideration for business acquisitions: </w:t>
      </w:r>
      <w:r>
        <w:rPr>
          <w:rFonts w:ascii="Arial" w:cs="Arial" w:eastAsia="Arial" w:hAnsi="Arial"/>
          <w:sz w:val="18"/>
          <w:szCs w:val="18"/>
          <w:color w:val="auto"/>
        </w:rPr>
        <w:t>We estimate the fair value of acquisition-related contingent consideration using either a</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in a range of 2.4% to 5.1% with a weighted average of 3.7% as of December 31, 2021 and was 2.4% as of December 31, 2020. The weighted average discount rate was calculated using the relative fair values of the contingent consideration as of December 31, 2021.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years ended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tcPr>
          <w:p>
            <w:pPr>
              <w:jc w:val="right"/>
              <w:ind w:right="210"/>
              <w:spacing w:after="0"/>
              <w:rPr>
                <w:sz w:val="20"/>
                <w:szCs w:val="20"/>
                <w:color w:val="auto"/>
              </w:rPr>
            </w:pPr>
            <w:r>
              <w:rPr>
                <w:rFonts w:ascii="Arial" w:cs="Arial" w:eastAsia="Arial" w:hAnsi="Arial"/>
                <w:sz w:val="18"/>
                <w:szCs w:val="18"/>
                <w:b w:val="1"/>
                <w:bCs w:val="1"/>
                <w:color w:val="auto"/>
              </w:rPr>
              <w:t>Contingent Consideration for</w:t>
            </w:r>
          </w:p>
        </w:tc>
      </w:tr>
      <w:tr>
        <w:trPr>
          <w:trHeight w:val="229"/>
        </w:trPr>
        <w:tc>
          <w:tcPr>
            <w:tcW w:w="8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Business Acquisitions</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shd w:val="clear" w:color="auto" w:fill="CCEEFF"/>
          </w:tcPr>
          <w:p>
            <w:pPr>
              <w:spacing w:after="0"/>
              <w:rPr>
                <w:sz w:val="19"/>
                <w:szCs w:val="19"/>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for business acquisition</w:t>
            </w:r>
          </w:p>
        </w:tc>
        <w:tc>
          <w:tcPr>
            <w:tcW w:w="220" w:type="dxa"/>
            <w:vAlign w:val="bottom"/>
            <w:tcBorders>
              <w:bottom w:val="single" w:sz="8" w:color="auto"/>
            </w:tcBorders>
            <w:shd w:val="clear" w:color="auto" w:fill="CCEEFF"/>
          </w:tcPr>
          <w:p>
            <w:pPr>
              <w:spacing w:after="0"/>
              <w:rPr>
                <w:sz w:val="19"/>
                <w:szCs w:val="19"/>
                <w:color w:val="auto"/>
              </w:rPr>
            </w:pP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w:t>
            </w:r>
          </w:p>
        </w:tc>
      </w:tr>
      <w:tr>
        <w:trPr>
          <w:trHeight w:val="21"/>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on a recurring basis are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Investment</w:t>
      </w:r>
    </w:p>
    <w:p>
      <w:pPr>
        <w:spacing w:after="0" w:line="18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fourth quarter of 2019, we invested $5.0 million, in the form of preferred stock, in Medically Home Group, Inc. (“Medically Home”), a healthcare technology-enabled services company. To determine the appropriate accounting treatment for our investment, we performed a 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 for the identical or similar investment in Medically Home. On a quarterly basis, we review the information available to determine whether an orderly and observable transaction for the same or similar equity instrument occurred, and remeasure the fair value of the preferred stock using such identified transactions, with changes in the fair value recorded to other income (expense), net in our consolidated statement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October 2020, we recognized an unrealized gain of $1.7 million to increase the carrying amount of our preferred stock investment to</w:t>
      </w:r>
    </w:p>
    <w:p>
      <w:pPr>
        <w:spacing w:after="0" w:line="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$6.7 million, based on an observable price change of preferred stock with similar rights and preferences to our preferred stock investment issued by Medically Home, a Level 2 input. The unrealized gain of $1.7 million was recorded in other income (expense), net on our consolidated statement of operations. During the year ended December 31, 2021, there has been no impairment, nor any observable price change related to our investment. As of December 31, 2021 and 2020, the carrying amount of our preferred stock investment was $6.7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8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7 “Financing Arrangements” for additional information on our promissory note due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Comprehensive Income (Loss)</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table below sets forth the components of accumulated other comprehensive income (loss), net of tax for the years ended December 31, 2021,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Foreign</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Available-for-</w:t>
            </w:r>
          </w:p>
        </w:tc>
        <w:tc>
          <w:tcPr>
            <w:tcW w:w="160" w:type="dxa"/>
            <w:vAlign w:val="bottom"/>
          </w:tcPr>
          <w:p>
            <w:pPr>
              <w:spacing w:after="0"/>
              <w:rPr>
                <w:sz w:val="17"/>
                <w:szCs w:val="17"/>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Cash Flow</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Currency</w:t>
            </w:r>
          </w:p>
        </w:tc>
        <w:tc>
          <w:tcPr>
            <w:tcW w:w="120" w:type="dxa"/>
            <w:vAlign w:val="bottom"/>
          </w:tcPr>
          <w:p>
            <w:pPr>
              <w:spacing w:after="0"/>
              <w:rPr>
                <w:sz w:val="15"/>
                <w:szCs w:val="15"/>
                <w:color w:val="auto"/>
              </w:rPr>
            </w:pPr>
          </w:p>
        </w:tc>
        <w:tc>
          <w:tcPr>
            <w:tcW w:w="13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rPr>
              <w:t>Sale</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Translation</w:t>
            </w:r>
          </w:p>
        </w:tc>
        <w:tc>
          <w:tcPr>
            <w:tcW w:w="12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Investments</w:t>
            </w:r>
          </w:p>
        </w:tc>
        <w:tc>
          <w:tcPr>
            <w:tcW w:w="160" w:type="dxa"/>
            <w:vAlign w:val="bottom"/>
          </w:tcPr>
          <w:p>
            <w:pPr>
              <w:spacing w:after="0"/>
              <w:rPr>
                <w:sz w:val="19"/>
                <w:szCs w:val="19"/>
                <w:color w:val="auto"/>
              </w:rPr>
            </w:pPr>
          </w:p>
        </w:tc>
        <w:tc>
          <w:tcPr>
            <w:tcW w:w="1260" w:type="dxa"/>
            <w:vAlign w:val="bottom"/>
            <w:gridSpan w:val="2"/>
          </w:tcPr>
          <w:p>
            <w:pPr>
              <w:jc w:val="center"/>
              <w:ind w:right="300"/>
              <w:spacing w:after="0" w:line="230" w:lineRule="exact"/>
              <w:rPr>
                <w:sz w:val="20"/>
                <w:szCs w:val="20"/>
                <w:color w:val="auto"/>
              </w:rPr>
            </w:pPr>
            <w:r>
              <w:rPr>
                <w:rFonts w:ascii="Arial" w:cs="Arial" w:eastAsia="Arial" w:hAnsi="Arial"/>
                <w:sz w:val="18"/>
                <w:szCs w:val="18"/>
                <w:b w:val="1"/>
                <w:bCs w:val="1"/>
                <w:color w:val="auto"/>
                <w:w w:val="94"/>
              </w:rPr>
              <w:t xml:space="preserve">Hedges </w:t>
            </w:r>
            <w:r>
              <w:rPr>
                <w:rFonts w:ascii="Arial" w:cs="Arial" w:eastAsia="Arial" w:hAnsi="Arial"/>
                <w:sz w:val="23"/>
                <w:szCs w:val="23"/>
                <w:b w:val="1"/>
                <w:bCs w:val="1"/>
                <w:color w:val="auto"/>
                <w:w w:val="94"/>
                <w:vertAlign w:val="superscript"/>
              </w:rPr>
              <w:t>(1)</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16,495</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 net of tax of $0</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(loss) on investments: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360"/>
              <w:spacing w:after="0"/>
              <w:rPr>
                <w:sz w:val="20"/>
                <w:szCs w:val="20"/>
                <w:color w:val="auto"/>
              </w:rPr>
            </w:pPr>
            <w:r>
              <w:rPr>
                <w:rFonts w:ascii="Arial" w:cs="Arial" w:eastAsia="Arial" w:hAnsi="Arial"/>
                <w:sz w:val="18"/>
                <w:szCs w:val="18"/>
                <w:color w:val="auto"/>
              </w:rPr>
              <w:t>Change in fair value, net of tax of $185</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(loss) on cash flow hedges: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360"/>
              <w:spacing w:after="0"/>
              <w:rPr>
                <w:sz w:val="20"/>
                <w:szCs w:val="20"/>
                <w:color w:val="auto"/>
              </w:rPr>
            </w:pPr>
            <w:r>
              <w:rPr>
                <w:rFonts w:ascii="Arial" w:cs="Arial" w:eastAsia="Arial" w:hAnsi="Arial"/>
                <w:sz w:val="18"/>
                <w:szCs w:val="18"/>
                <w:color w:val="auto"/>
              </w:rPr>
              <w:t>Change in fair value, net of tax of $295</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adjustment into earnings, net of tax of $48</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15,882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14,936</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 net of tax of $0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Unrealized gain (loss) on investments: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net of tax of $(499)</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Unrealized gain (loss) on cash flow hedges: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net of tax of $1,693</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29"/>
        </w:trPr>
        <w:tc>
          <w:tcPr>
            <w:tcW w:w="5680" w:type="dxa"/>
            <w:vAlign w:val="bottom"/>
          </w:tcPr>
          <w:p>
            <w:pPr>
              <w:ind w:left="360"/>
              <w:spacing w:after="0"/>
              <w:rPr>
                <w:sz w:val="20"/>
                <w:szCs w:val="20"/>
                <w:color w:val="auto"/>
              </w:rPr>
            </w:pPr>
            <w:r>
              <w:rPr>
                <w:rFonts w:ascii="Arial" w:cs="Arial" w:eastAsia="Arial" w:hAnsi="Arial"/>
                <w:sz w:val="18"/>
                <w:szCs w:val="18"/>
                <w:color w:val="auto"/>
              </w:rPr>
              <w:t>Reclassification adjustment into earnings, net of tax of $(388)</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29"/>
        </w:trPr>
        <w:tc>
          <w:tcPr>
            <w:tcW w:w="568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 net of tax of $0</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Reclassification adjustments into earnings, net of tax of $0</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Unrealized gain (loss) on investments: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net of tax of $(385)</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Unrealized gain (loss) on cash flow hedges: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net of tax of $(641)</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Reclassification adjustment into earnings, net of tax of $(678)</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48"/>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20" w:hanging="332"/>
        <w:spacing w:after="0" w:line="261" w:lineRule="auto"/>
        <w:tabs>
          <w:tab w:leader="none" w:pos="43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before tax amounts reclassified from accumulated other comprehensive income (loss) related to our cash flow hedges are recorded to interest expense, net of interest income.</w:t>
      </w:r>
    </w:p>
    <w:p>
      <w:pPr>
        <w:spacing w:after="0" w:line="49" w:lineRule="exact"/>
        <w:rPr>
          <w:rFonts w:ascii="Arial" w:cs="Arial" w:eastAsia="Arial" w:hAnsi="Arial"/>
          <w:sz w:val="18"/>
          <w:szCs w:val="18"/>
          <w:color w:val="auto"/>
        </w:rPr>
      </w:pPr>
    </w:p>
    <w:p>
      <w:pPr>
        <w:jc w:val="both"/>
        <w:ind w:left="340" w:right="220" w:hanging="332"/>
        <w:spacing w:after="0" w:line="254" w:lineRule="auto"/>
        <w:tabs>
          <w:tab w:leader="none" w:pos="4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connection with the divestiture of the Life Sciences business, which included a substantially complete liquidation of an investment within a foreign entity, we included $1.1 million of accumulated translation gains in the calculation of our gain on sale recorded within other income, net on our consolidated statement of operations. See Note 3 "Acquisitions and Divestitures" for additional information on the divestiture of the Life Sciences business in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and Deferred Compensation Plans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sponsor a qualified defined contribution 401(k) plan covering substantially all of our employees. Under the plan, employees are entitled to make pretax, post-tax, and/or Roth post-tax contributions up to the annual maximums established by the Internal Revenue Service. We match an amount equal to the employees’ contributions up to 6% of the employees’ eligible earnings. Our matching contributions for the years ended December 31, 2021, 2020, and 2019 were $29.9 million, $25.1 million, and $22.8 million, respectively.</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 non-qualified deferred compensation plan (the “Plan”) that is administered by our board of directors or a committee designated by the board of directors. Under the Plan, members of the board of directors and a select group of our employees may elect to defer the receipt of their director retainers and meeting fees or base salary and bonus, as applicable. Additionally, we may credit amounts to a participant’s deferred compensation account in accordance with employment or other agreements entered into between us and the participant. At our sole discretion, we may, but are not required to, credit any additional amount we desire to any participant’s deferred compensation account.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Amounts credited are subject to vesting schedules set forth in the Plan, employment agreement, or any other agreement entered into between us and the participant. The deferred compensation liability at December 31, 2021 and 2020 was $39.1 million and $34.3 million, respectively. This deferred compensation liability is fully funded by the Plan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Incentive Plans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2012, Huron adopted the 2012 Omnibus Incentive Plan (the “2012 Plan”) which replaced, on a prospective basis, our 2004 Omnibus Stock Plan (the "2004 Plan") such that future grants will be granted under the 2012 Plan and any outstanding awards granted under the 2004 Plan that are cancelled, expired, forfeited, settled in cash, or otherwise terminated without a delivery of shares to the participant will not become available for grant under the 2012 Plan. The 2012 Plan permits the grant of stock options, stock appreciation rights, restricted stock, restricted stock units, performance shares and other share-based or cash-based awards valued in whole or in part by reference to, or otherwise based on, our common stock. Subsequent to the initial approval of the 2012 Plan and through December 31, 2021, our shareholders approved amendments to the 2012 Plan to increase the number of shares authorized for issuance to 4.6 million, in the aggregate. As of December 31, 2021, 1.2 million shares remain available for issuance under the 2012 Plan.</w:t>
      </w:r>
    </w:p>
    <w:p>
      <w:pPr>
        <w:spacing w:after="0" w:line="15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On May 1, 2015, we adopted the Stock Ownership Participation Program (the “SOPP”), which is available to Huron employees below the managing director level who do not receive equity-based awards as part of their normal compensation plan. Under the SOPP, eligible employees may elect to use after-tax payroll deductions to purchase shares of the Company’s common stock on certain designated purchase dates. Employees who purchase stock under the SOPP are granted restricted stock equal to 25% of their purchased shares. Vesting of the restricted stock is subject to both a time-based vesting schedule and a requirement that the purchased shares be held for a specified period. Subsequent to the initial approval of the SOPP and through December 31, 2021, our shareholders approved amendments to the SOPP to increase the total number of shares authorized for issuance to 0.7 million, in the aggregate. Prior to the adoption of the SOPP, the matching share grants and the employee purchased shares under the stock ownership participation program were governed by the 2012 Plan. As of December 31, 2021, 0.3 million shares remain available for issuance under the SOPP.</w:t>
      </w:r>
    </w:p>
    <w:p>
      <w:pPr>
        <w:spacing w:after="0" w:line="15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It has been our practice to issue shares of common stock upon exercise of stock options and granting of restricted stock from authorized but unissued shares, with the exception of the SOPP under which shares are issued from treasury stock. Certain grants of restricted stock under the 2012 Plan may be issued from treasury stock at the direction of the Compensation Committee.</w:t>
      </w:r>
    </w:p>
    <w:p>
      <w:pPr>
        <w:spacing w:after="0" w:line="148"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Share-based awards outstanding under our 2012 Plan and our 2004 Plan provide for a retirement eligibility provision, under which eligible employees who have reached 62 years of age and have completed seven years of employment with Huron will continue vesting in their share-based awards after retirement, subject to certain conditions. The Compensation Committee of the board of directors has the responsibility of interpreting the 2012 Plan and SOPP and determining all of the terms and conditions of awards made under the plans, including when the awards will become exercisable or otherwise vest.</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Total share-based compensation cost recognized for the years ended December 31, 2021, 2020, and 2019 was $25.9 million, $23.9 million, and $24.2 million, respectively, with related income tax benefits of $6.3 million, $5.4 million, and $5.3 million, respectively.The $25.9 million of share-based compensation cost recognized in 2021 included $1.9 million recorded to restructuring charges as it related to the modification of certain nonvested share-based compensation awards to accelerate vesting upon the completed sale of the Life Sciences business. As of December 31, 2021, there was $28.7 million of total unrecognized compensation cost related to nonvested share-based awards. This cost is expected to be recognized over a weighted average period of 2.4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grant date fair values of our restricted stock are measured based on the fair value of our common stock at grant date and amortized into expense over the service period. Subject to acceleration under certain conditions, the majority of our restricted stock vests annually over four years.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restricted stock activity for the year ended December 31, 2021.</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4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9"/>
              </w:rPr>
              <w:t>Number of Shares</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center"/>
              <w:ind w:right="15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Stock Ownership</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50"/>
              <w:spacing w:after="0" w:line="156"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16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2012 Omnibus</w:t>
            </w:r>
          </w:p>
        </w:tc>
        <w:tc>
          <w:tcPr>
            <w:tcW w:w="170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7"/>
              </w:rPr>
              <w:t>Grant Date</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rPr>
              <w:t>Participation</w:t>
            </w:r>
          </w:p>
        </w:tc>
        <w:tc>
          <w:tcPr>
            <w:tcW w:w="15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Incentive Plan</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Program</w:t>
            </w:r>
          </w:p>
        </w:tc>
        <w:tc>
          <w:tcPr>
            <w:tcW w:w="100" w:type="dxa"/>
            <w:vAlign w:val="bottom"/>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7"/>
              </w:rPr>
              <w:t>(in dollars)</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Nonvested restricted stock at December 31, 2020</w:t>
            </w:r>
          </w:p>
        </w:tc>
        <w:tc>
          <w:tcPr>
            <w:tcW w:w="156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Nonvested restricted stock at December 31, 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aggregate fair value of restricted stock that vested during the years ended December 31, 2021, 2020, and 2019 was $19.8 million, $18.6 million, and $14.5 million, respectively. The weighted average grant date fair value per share of restricted stock granted during 2020 and 2019 was $58.13 and $48.57,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Share Awards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total number of shares earned by recipients of performance-based share awards is contingent upon meeting practice specific and company-wide performance goals. Following the performance period, certain awards are subject to the completion of a service period, which is generally an additional two years. These earned awards vest on a graded vesting schedule over the service period. For certain performance awards, the recipients may earn additional shares of stock for performance achieved above the stated target. The grant date fair values of our performance-based share awards are measured based on the fair value of our common stock at grant date. Compensation cost is amortized into expense over the service period, including the performance period.</w:t>
      </w:r>
    </w:p>
    <w:p>
      <w:pPr>
        <w:spacing w:after="0" w:line="15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table below summarizes the performance-based stock activity for the year ended December 31, 2021. All nonvested performance-based stock outstanding at December 31, 2021 and 2020 was granted under the 2012 Omnibus Incentive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76"/>
        </w:trPr>
        <w:tc>
          <w:tcPr>
            <w:tcW w:w="7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5"/>
        </w:trPr>
        <w:tc>
          <w:tcPr>
            <w:tcW w:w="7480" w:type="dxa"/>
            <w:vAlign w:val="bottom"/>
          </w:tcPr>
          <w:p>
            <w:pPr>
              <w:spacing w:after="0"/>
              <w:rPr>
                <w:sz w:val="15"/>
                <w:szCs w:val="15"/>
                <w:color w:val="auto"/>
              </w:rPr>
            </w:pPr>
          </w:p>
        </w:tc>
        <w:tc>
          <w:tcPr>
            <w:tcW w:w="1360" w:type="dxa"/>
            <w:vAlign w:val="bottom"/>
            <w:vMerge w:val="restart"/>
          </w:tcPr>
          <w:p>
            <w:pPr>
              <w:jc w:val="center"/>
              <w:ind w:left="370"/>
              <w:spacing w:after="0"/>
              <w:rPr>
                <w:sz w:val="20"/>
                <w:szCs w:val="20"/>
                <w:color w:val="auto"/>
              </w:rPr>
            </w:pPr>
            <w:r>
              <w:rPr>
                <w:rFonts w:ascii="Arial" w:cs="Arial" w:eastAsia="Arial" w:hAnsi="Arial"/>
                <w:sz w:val="18"/>
                <w:szCs w:val="18"/>
                <w:b w:val="1"/>
                <w:bCs w:val="1"/>
                <w:color w:val="auto"/>
                <w:w w:val="99"/>
              </w:rPr>
              <w:t>Number of</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175"/>
        </w:trPr>
        <w:tc>
          <w:tcPr>
            <w:tcW w:w="74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9"/>
              </w:rPr>
              <w:t>Shares</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(in dollars)</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performance-based stock at December 31, 2020</w:t>
            </w: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519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30"/>
        </w:trPr>
        <w:tc>
          <w:tcPr>
            <w:tcW w:w="8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272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29"/>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30"/>
        </w:trPr>
        <w:tc>
          <w:tcPr>
            <w:tcW w:w="8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(162)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48"/>
        </w:trPr>
        <w:tc>
          <w:tcPr>
            <w:tcW w:w="748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Nonvested performance-based stock at December 31, 2021 </w:t>
            </w:r>
            <w:r>
              <w:rPr>
                <w:rFonts w:ascii="Arial" w:cs="Arial" w:eastAsia="Arial" w:hAnsi="Arial"/>
                <w:sz w:val="23"/>
                <w:szCs w:val="23"/>
                <w:color w:val="auto"/>
                <w:vertAlign w:val="superscript"/>
              </w:rPr>
              <w:t>(3)</w:t>
            </w:r>
          </w:p>
        </w:tc>
        <w:tc>
          <w:tcPr>
            <w:tcW w:w="136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438</w:t>
            </w:r>
          </w:p>
        </w:tc>
        <w:tc>
          <w:tcPr>
            <w:tcW w:w="40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right="340" w:hanging="332"/>
        <w:spacing w:after="0" w:line="261" w:lineRule="auto"/>
        <w:tabs>
          <w:tab w:leader="none" w:pos="3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Shares granted in 2021 are presented at the stated target, which represents the base number of shares that could be earned. Actual shares earned may be below or, for certain grants, above the target based on the achievement of specific financial goals.</w:t>
      </w:r>
    </w:p>
    <w:p>
      <w:pPr>
        <w:spacing w:after="0" w:line="143" w:lineRule="exact"/>
        <w:rPr>
          <w:rFonts w:ascii="Arial" w:cs="Arial" w:eastAsia="Arial" w:hAnsi="Arial"/>
          <w:sz w:val="18"/>
          <w:szCs w:val="18"/>
          <w:color w:val="auto"/>
        </w:rPr>
      </w:pPr>
    </w:p>
    <w:p>
      <w:pPr>
        <w:ind w:left="340" w:hanging="332"/>
        <w:spacing w:after="0" w:line="261" w:lineRule="auto"/>
        <w:tabs>
          <w:tab w:leader="none" w:pos="3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Forfeited shares include shares forfeited as a result of not meeting the performance criteria of the award as well as shares forfeited upon termination.</w:t>
      </w:r>
    </w:p>
    <w:p>
      <w:pPr>
        <w:spacing w:after="0" w:line="143" w:lineRule="exact"/>
        <w:rPr>
          <w:rFonts w:ascii="Arial" w:cs="Arial" w:eastAsia="Arial" w:hAnsi="Arial"/>
          <w:sz w:val="18"/>
          <w:szCs w:val="18"/>
          <w:color w:val="auto"/>
        </w:rPr>
      </w:pPr>
    </w:p>
    <w:p>
      <w:pPr>
        <w:ind w:left="340" w:right="80" w:hanging="332"/>
        <w:spacing w:after="0" w:line="254" w:lineRule="auto"/>
        <w:tabs>
          <w:tab w:leader="none" w:pos="3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 the 438,000 nonvested performance-based shares outstanding as of December 31, 2021, 383,167 shares were unearned and subject to achievement of specific financial goals. Once earned, the awards will be subject to time-based vesting according to the terms of the award. Based on 2021 financial results, approximately 189,161 of the 383,167 unearned shares will be forfeited in the first quarter of 2022.</w:t>
      </w:r>
    </w:p>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aggregate fair value of performance-based stock that vested during the years ended December 31, 2021, 2020, and 2019 was $ 9.8 million, $5.9 million, and $3.4 million, respectively. The weighted average grant date fair value per share of performance-based stock granted during 2020 and 2019 was $58.84 and $47.93, respectively.</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grant stock options at exercise prices equal to the fair value of the Company’s common stock on the date of grant. Subject to acceleration under certain conditions, our stock options vest annually over four years. Our stock options have a contractual term between 7 and 10 years.</w:t>
      </w:r>
    </w:p>
    <w:p>
      <w:pPr>
        <w:spacing w:after="0" w:line="148"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The fair value of the options granted during 2021 were calculated using the Black-Scholes option pricing model using the following assumptions:</w:t>
      </w:r>
    </w:p>
    <w:tbl>
      <w:tblPr>
        <w:tblLayout w:type="fixed"/>
        <w:tblInd w:w="0" w:type="dxa"/>
        <w:tblCellMar>
          <w:top w:w="0" w:type="dxa"/>
          <w:left w:w="0" w:type="dxa"/>
          <w:bottom w:w="0" w:type="dxa"/>
          <w:right w:w="0" w:type="dxa"/>
        </w:tblCellMar>
      </w:tblPr>
      <w:tr>
        <w:trPr>
          <w:trHeight w:val="239"/>
        </w:trPr>
        <w:tc>
          <w:tcPr>
            <w:tcW w:w="8860" w:type="dxa"/>
            <w:vAlign w:val="bottom"/>
            <w:tcBorders>
              <w:bottom w:val="single" w:sz="8" w:color="CCEEFF"/>
            </w:tcBorders>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r>
      <w:tr>
        <w:trPr>
          <w:trHeight w:val="209"/>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Black-Scholes option pricing model:</w:t>
            </w:r>
          </w:p>
        </w:tc>
        <w:tc>
          <w:tcPr>
            <w:tcW w:w="2380" w:type="dxa"/>
            <w:vAlign w:val="bottom"/>
            <w:shd w:val="clear" w:color="auto" w:fill="CCEEFF"/>
          </w:tcPr>
          <w:p>
            <w:pPr>
              <w:spacing w:after="0"/>
              <w:rPr>
                <w:sz w:val="18"/>
                <w:szCs w:val="18"/>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40.0%</w:t>
            </w: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2380" w:type="dxa"/>
            <w:vAlign w:val="bottom"/>
          </w:tcPr>
          <w:p>
            <w:pPr>
              <w:jc w:val="center"/>
              <w:spacing w:after="0"/>
              <w:rPr>
                <w:sz w:val="20"/>
                <w:szCs w:val="20"/>
                <w:color w:val="auto"/>
              </w:rPr>
            </w:pPr>
            <w:r>
              <w:rPr>
                <w:rFonts w:ascii="Arial" w:cs="Arial" w:eastAsia="Arial" w:hAnsi="Arial"/>
                <w:sz w:val="18"/>
                <w:szCs w:val="18"/>
                <w:color w:val="auto"/>
              </w:rPr>
              <w:t>0.9%</w:t>
            </w:r>
          </w:p>
        </w:tc>
      </w:tr>
      <w:tr>
        <w:trPr>
          <w:trHeight w:val="23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option life (in years)</w:t>
            </w:r>
          </w:p>
        </w:tc>
        <w:tc>
          <w:tcPr>
            <w:tcW w:w="2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4.75 years</w:t>
            </w:r>
          </w:p>
        </w:tc>
      </w:tr>
    </w:tbl>
    <w:p>
      <w:pPr>
        <w:spacing w:after="0" w:line="25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Expected volatility was based on our historical stock prices as we believe that our historical volatility provides the most reliable indication of future volatility and sufficient historical daily stock price observations are available. The risk-free interest rate was based on the rate of U.S. Treasury bills with an equivalent expected term of the stock options at the time of the option grant. The expected option life was estimated using the simplified method, which is a weighted average of the vesting term and the contractual term, to determine the expected term.The simplified method was used due to the lack of sufficient data available to provide a reasonable basis upon which to estimate the expected term.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year ended December 31, 2021 was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rPr>
              <w:t>Weighted</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Weighted</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5"/>
                <w:szCs w:val="15"/>
                <w:color w:val="auto"/>
              </w:rPr>
            </w:pPr>
          </w:p>
        </w:tc>
        <w:tc>
          <w:tcPr>
            <w:tcW w:w="14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8"/>
              </w:rPr>
              <w:t>Average</w:t>
            </w:r>
          </w:p>
        </w:tc>
        <w:tc>
          <w:tcPr>
            <w:tcW w:w="17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Remaining</w:t>
            </w:r>
          </w:p>
        </w:tc>
        <w:tc>
          <w:tcPr>
            <w:tcW w:w="2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of</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Exercise</w:t>
            </w:r>
          </w:p>
        </w:tc>
        <w:tc>
          <w:tcPr>
            <w:tcW w:w="17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Contractual</w:t>
            </w:r>
          </w:p>
        </w:tc>
        <w:tc>
          <w:tcPr>
            <w:tcW w:w="200" w:type="dxa"/>
            <w:vAlign w:val="bottom"/>
          </w:tcPr>
          <w:p>
            <w:pPr>
              <w:spacing w:after="0"/>
              <w:rPr>
                <w:sz w:val="15"/>
                <w:szCs w:val="15"/>
                <w:color w:val="auto"/>
              </w:rPr>
            </w:pPr>
          </w:p>
        </w:tc>
        <w:tc>
          <w:tcPr>
            <w:tcW w:w="14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Options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9"/>
              </w:rPr>
              <w:t>Price</w:t>
            </w: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15"/>
                <w:szCs w:val="15"/>
                <w:color w:val="auto"/>
              </w:rPr>
            </w:pPr>
          </w:p>
        </w:tc>
        <w:tc>
          <w:tcPr>
            <w:tcW w:w="14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(in dollars)</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8"/>
              </w:rPr>
              <w:t>(in millions)</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Outstanding at December 31, 2021 </w:t>
            </w:r>
            <w:r>
              <w:rPr>
                <w:rFonts w:ascii="Arial" w:cs="Arial" w:eastAsia="Arial" w:hAnsi="Arial"/>
                <w:sz w:val="23"/>
                <w:szCs w:val="23"/>
                <w:color w:val="auto"/>
                <w:vertAlign w:val="superscript"/>
              </w:rPr>
              <w:t>(1)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2021</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w:t>
            </w: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38.93</w:t>
            </w:r>
          </w:p>
        </w:tc>
        <w:tc>
          <w:tcPr>
            <w:tcW w:w="12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0.9</w:t>
            </w:r>
          </w:p>
        </w:tc>
        <w:tc>
          <w:tcPr>
            <w:tcW w:w="12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right="180" w:hanging="332"/>
        <w:spacing w:after="0" w:line="261" w:lineRule="auto"/>
        <w:tabs>
          <w:tab w:leader="none" w:pos="3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 the 93,000 outstanding options, approximately 11,000 were granted under the 2004 Omnibus Stock Plan, and the remaining 82,000 options were granted under the 2012 Omnibus Incentive Plan.</w:t>
      </w:r>
    </w:p>
    <w:p>
      <w:pPr>
        <w:spacing w:after="0" w:line="14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weighted average grant date fair value of stock options granted during 2021 was $18.42. No stock options were granted in 2020 and 2019. The aggregate intrinsic value of options exercised during 2020 and 2019 was $1.1 million and $1.6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Coronavirus Aid, Relief, and Economic Security Act ("CARES Act"), which was signed into law on March 27, 2020, is an approximately $2 trillion emergency economic stimulus package in response to the COVID-19 outbreak, which among other items, includes income tax provisions relating to net operating loss carryback period, options to defer payroll tax payments for a limited period and technical corrections to tax depreciation methods for qualified improvement property. During 2020, as a result of the CARES Act, we recognized a $1.5 million tax benefit related to the remeasurement of a portion of our income tax receivable for the federal net operating losses incurred in 2018 and 2020 that were carried back to prior year income, both for a refund at the higher, prior year tax rate. As a result of electing the retroactive Global Intangible Low-Taxed Income (“GILTI”) high-tax exclusion in the second quarter of 2021, we recognized a $1.0 million tax benefit of which $0.4 million related to carrying back our increased 2018 federal net operating loss to prior year income for a refund at the higher, prior year tax rate. During the third quarter of 2021, we recognized an additional tax benefit of $2.0 million, primarily related to the U.S. federal return to provision adjustments for carrying back our increased 2020 federal net operating loss to prior year income for a refund at the higher, prior year tax rate.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Through December 31, 2020, we deferred $12.2 million of payroll tax payments, of which $ 6.1 million was expected to be paid in the fourth quarter of 2021 and $6.1 million was expected to be paid in the fourth quarter of 2022, and were included as components of accrued payroll and related benefits and deferred compensation and other liabilities on our consolidated balance sheet as of December 31, 2020. In the third quarter of 2021, all of the $12.2 million of deferred payroll tax payments were repaid.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expense for continuing operations for the years ended December 31, 2021, 2020, and 2019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29"/>
        </w:trPr>
        <w:tc>
          <w:tcPr>
            <w:tcW w:w="6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23"/>
        </w:trPr>
        <w:tc>
          <w:tcPr>
            <w:tcW w:w="6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1,610</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23"/>
        </w:trPr>
        <w:tc>
          <w:tcPr>
            <w:tcW w:w="61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for continuing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from continuing operations before taxes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53,898</w:t>
            </w:r>
          </w:p>
        </w:tc>
      </w:tr>
      <w:tr>
        <w:trPr>
          <w:trHeight w:val="23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income tax rate to our effective tax rate for continuing operations is as follows:</w:t>
      </w:r>
    </w:p>
    <w:p>
      <w:pPr>
        <w:spacing w:after="0" w:line="190"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 of pretax income from continuing operations: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At U.S. statutory tax rate</w:t>
            </w:r>
          </w:p>
        </w:tc>
        <w:tc>
          <w:tcPr>
            <w:tcW w:w="6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income taxes, net of federal benefit</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w:t>
            </w: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Disallowed executive compensation</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2.0</w:t>
            </w:r>
          </w:p>
        </w:tc>
      </w:tr>
      <w:tr>
        <w:trPr>
          <w:trHeight w:val="229"/>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Meals and entertainment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1.6</w:t>
            </w:r>
          </w:p>
        </w:tc>
      </w:tr>
      <w:tr>
        <w:trPr>
          <w:trHeight w:val="230"/>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CARES Act net operating loss carryback</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Tax credits</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(3.1)</w:t>
            </w:r>
          </w:p>
        </w:tc>
      </w:tr>
      <w:tr>
        <w:trPr>
          <w:trHeight w:val="229"/>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Realized investment gains/losses</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Stock-based compensation</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30"/>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source income</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29"/>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Deferred tax adjustments</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30"/>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Goodwill impairment charges</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Unrecognized tax benefits</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30"/>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tax benefit related to “check-the-box” election</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29"/>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48"/>
        </w:trPr>
        <w:tc>
          <w:tcPr>
            <w:tcW w:w="594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Effective income tax rate for continuing operations</w:t>
            </w: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(liability) for continuing operations at December 31, 2021 and 2020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5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17,542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19,617</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 liability</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7,579</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payroll related liabilities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Tax credits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Deferred payroll tax payments</w:t>
            </w:r>
          </w:p>
        </w:tc>
        <w:tc>
          <w:tcPr>
            <w:tcW w:w="4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3,235</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r>
      <w:tr>
        <w:trPr>
          <w:trHeight w:val="223"/>
        </w:trPr>
        <w:tc>
          <w:tcPr>
            <w:tcW w:w="7560" w:type="dxa"/>
            <w:vAlign w:val="bottom"/>
          </w:tcPr>
          <w:p>
            <w:pPr>
              <w:ind w:left="680"/>
              <w:spacing w:after="0"/>
              <w:rPr>
                <w:sz w:val="20"/>
                <w:szCs w:val="20"/>
                <w:color w:val="auto"/>
              </w:rPr>
            </w:pPr>
            <w:r>
              <w:rPr>
                <w:rFonts w:ascii="Arial" w:cs="Arial" w:eastAsia="Arial" w:hAnsi="Arial"/>
                <w:sz w:val="18"/>
                <w:szCs w:val="18"/>
                <w:color w:val="auto"/>
              </w:rPr>
              <w:t>Total deferred tax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46,660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49,173</w:t>
            </w:r>
          </w:p>
        </w:tc>
      </w:tr>
      <w:tr>
        <w:trPr>
          <w:trHeight w:val="230"/>
        </w:trPr>
        <w:tc>
          <w:tcPr>
            <w:tcW w:w="75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Valuation allowance</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r>
      <w:tr>
        <w:trPr>
          <w:trHeight w:val="223"/>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deferred tax assets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47,061</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Intangibles and goodwill</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(12,956)</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Convertible debt investment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(6,219)</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Software development costs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(3,007)</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deferred tax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(43,298)</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Net deferred tax asset (liability) for continuing operations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w:t>
            </w:r>
          </w:p>
        </w:tc>
      </w:tr>
      <w:tr>
        <w:trPr>
          <w:trHeight w:val="20"/>
        </w:trPr>
        <w:tc>
          <w:tcPr>
            <w:tcW w:w="7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As of December 31, 2021 and 2020, we had valuation allowances of $ 2.9 million and $2.1 million, respectively, primarily due to uncertainties relating to the ability to realize deferred tax assets recorded for foreign losses and tax credits. The increase in valuation allowances in 2021 primarily related to an increase in the valuation allowance for foreign losses and tax credits.</w:t>
      </w:r>
    </w:p>
    <w:p>
      <w:pPr>
        <w:spacing w:after="0" w:line="148"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have foreign net operating losses of $5.9 million which begin to expire in 2027 and state net operating loss carryforwards of $4.9 million which will begin to expire in 2030, if not utilized. We have federal and state tax credit carryforwards of $1.8 million which will begin to expire in 2022, if not utilized.</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resolution.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our beginning and ending amount of unrecognized tax benefits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Unrecognized Tax Benefits</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7960" w:type="dxa"/>
            <w:vAlign w:val="bottom"/>
          </w:tcPr>
          <w:p>
            <w:pPr>
              <w:ind w:left="360"/>
              <w:spacing w:after="0"/>
              <w:rPr>
                <w:sz w:val="20"/>
                <w:szCs w:val="20"/>
                <w:color w:val="auto"/>
              </w:rPr>
            </w:pPr>
            <w:r>
              <w:rPr>
                <w:rFonts w:ascii="Arial" w:cs="Arial" w:eastAsia="Arial" w:hAnsi="Arial"/>
                <w:sz w:val="18"/>
                <w:szCs w:val="18"/>
                <w:color w:val="auto"/>
              </w:rPr>
              <w:t>Decrease due to settlements of prior year tax positions</w:t>
            </w:r>
          </w:p>
        </w:tc>
        <w:tc>
          <w:tcPr>
            <w:tcW w:w="30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due to lapse of statute of limitations</w:t>
            </w:r>
          </w:p>
        </w:tc>
        <w:tc>
          <w:tcPr>
            <w:tcW w:w="30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30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based on tax positions related to prior years</w:t>
            </w:r>
          </w:p>
        </w:tc>
        <w:tc>
          <w:tcPr>
            <w:tcW w:w="30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As of both December 31, 2021 and 2020, we had $0.7 million of unrecognized tax benefits which would affect the effective tax rate of continuing operations if recognized. It is reasonably possible that approximately $0.1 million of the liability for unrecognized tax benefits at December 31, 2021 could decrease in the next twelve months primarily due to the expiration of statutes of limitations.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December 31, 2021 and 2020, we had $0.1 million and less than $0.1 million, respectively, accrued for the potential payment of interest and penalties. Accrued interest and penalties are recorded as a component of provision for income taxes on our consolidated statement of operations.</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file income tax returns with federal, state, local and foreign jurisdictions. Tax years 2018 through 2020 are subject to future examinations by federal tax authorities. Tax years 2015 through 2020 are subject to future examinations by state and local tax authorities. Our foreign income tax filings are subject to future examinations by the local foreign tax authorities for tax years 2016 through 2020. Currently, we are not under audit by any tax authority.</w:t>
      </w:r>
    </w:p>
    <w:p>
      <w:pPr>
        <w:spacing w:after="0" w:line="128" w:lineRule="exact"/>
        <w:rPr>
          <w:sz w:val="20"/>
          <w:szCs w:val="20"/>
          <w:color w:val="auto"/>
        </w:rPr>
      </w:pPr>
    </w:p>
    <w:p>
      <w:pPr>
        <w:ind w:right="6960" w:firstLine="8"/>
        <w:spacing w:after="0" w:line="451" w:lineRule="auto"/>
        <w:tabs>
          <w:tab w:leader="none" w:pos="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Lease Commitments</w:t>
      </w:r>
    </w:p>
    <w:p>
      <w:pPr>
        <w:ind w:right="220"/>
        <w:spacing w:after="0" w:line="253" w:lineRule="auto"/>
        <w:rPr>
          <w:sz w:val="20"/>
          <w:szCs w:val="20"/>
          <w:color w:val="auto"/>
        </w:rPr>
      </w:pPr>
      <w:r>
        <w:rPr>
          <w:rFonts w:ascii="Arial" w:cs="Arial" w:eastAsia="Arial" w:hAnsi="Arial"/>
          <w:sz w:val="18"/>
          <w:szCs w:val="18"/>
          <w:color w:val="auto"/>
        </w:rPr>
        <w:t>We lease office space, data centers and certain equipment under non-cancelable operating lease arrangements expiring on various dates through 2029, with various renewal options. Office facilities under operating leases include fixed payments plus, in some cases, scheduled base rent increases over the term of the lease. Certain leases require variable payments of real estate taxes, insurance and operating expenses. See Note 5 “Leases” for additional information on our leases, including the remaining expected lease payments under our operating leases as of December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Oaktree</w:t>
      </w:r>
    </w:p>
    <w:p>
      <w:pPr>
        <w:spacing w:after="0" w:line="18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November 9, 2018, Huron Consulting Services LLC, a wholly owned subsidiary of Huron, was engaged by Oaktree Medical Centre LLC, a management services organization (“Oaktree”), to perform interim management and financial advisory services. As part of the services, a Huron employee was appointed by Oaktree’s board of directors to serve as Chief Restructuring Officer of Oaktree (the “CRO”). The engagement letter through which Oaktree retained Huron’s services (the “Engagement Letter”) states that all disputes or claims arising thereunder are subject to binding arbitration, disclaims special, consequential, incidental and exemplary damages and losses and caps liability to the fees paid for the portion of the engagement giving rise to any liability. On September 19, 2019, Oaktree and certain of its affiliates filed for Chapter 7 liquidation in the U.S. Bankruptcy Court for the Western District of North Carolina, with the cases subsequently transferred to the District of South Carolina. As a result of the bankruptcy filing, a Chapter 7 trustee was appointed to oversee the bankruptcy estates, at which time Huron’s services for Oaktree concluded.</w:t>
      </w:r>
    </w:p>
    <w:p>
      <w:pPr>
        <w:spacing w:after="0" w:line="15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In April 2021, Trustee’s counsel communicated in writing to Huron its intent to pursue various claims against Huron and the CRO, among others, on behalf of the bankruptcy estates related to the services carried out by Huron and the CRO during the engagement.</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September 17, 2021, the Trustee filed a complaint in the Bankruptcy Court for the District of South Carolina against Huron and the CRO, among others (the “Complaint”), alleging breach of fiduciary duty, aiding and abetting a breach of fiduciary duty, negligence, violations of the South Carolina Unfair Trade Practices Act, fraud, civil conspiracy, unjust enrichment, and recovery of avoided transfers under sections 547, 548 and 550 of the Bankruptcy Code. On December 7, 2021, the Trustee filed an amended version of the Complaint (the “Amended Complaint”), generally alleging the same claims asserted in the initial Complaint but (i) removing the claim for a violation of the South Carolina Unfair Trade Practices Act and (ii) adding a claim for breach of contract.</w:t>
      </w:r>
    </w:p>
    <w:p>
      <w:pPr>
        <w:spacing w:after="0" w:line="15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Amended Complaint, the Trustee asserts that Huron and the CRO, among others, did not develop and implement a Chapter 11 restructuring plan on a timely basis and that their failure to do so led to significant damages. The Trustee seeks an unspecified amount of monetary damages in the Amended Complaint. We believe the Trustee’s allegations with respect to Huron and the CRO are without merit, and we are vigorously defending ourselves against the allegations raised in the Amended Complaint. On December 21, 2021, we filed a motion to dismiss all of the claims in the Amended Complaint; the motion remains pending. Notwithstanding the foregoing, given the inherent risk and uncertainty associated with all litigation, we cannot estimate the potential liability with respect to such allegations at this time.</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93"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Guarantees in the form of letters of credit totaling $0.7 million and $1.6 million were outstanding at December 31, 2021 and 2020, respectively, primarily to support certain office lease obligations.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December 31, 2021 and 2020, the total estimated fair value of our outstanding contingent consideration liability was $3.7 million and $1.8 million, respectively.</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Business Advisory, and Education.</w:t>
      </w:r>
    </w:p>
    <w:p>
      <w:pPr>
        <w:spacing w:after="0" w:line="12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Healthcare</w:t>
      </w:r>
    </w:p>
    <w:p>
      <w:pPr>
        <w:spacing w:after="0" w:line="193" w:lineRule="exact"/>
        <w:rPr>
          <w:rFonts w:ascii="Arial" w:cs="Arial" w:eastAsia="Arial" w:hAnsi="Arial"/>
          <w:sz w:val="18"/>
          <w:szCs w:val="18"/>
          <w:color w:val="auto"/>
        </w:rPr>
      </w:pPr>
    </w:p>
    <w:p>
      <w:pPr>
        <w:ind w:left="660"/>
        <w:spacing w:after="0" w:line="251" w:lineRule="auto"/>
        <w:rPr>
          <w:rFonts w:ascii="Arial" w:cs="Arial" w:eastAsia="Arial" w:hAnsi="Arial"/>
          <w:sz w:val="18"/>
          <w:szCs w:val="18"/>
          <w:color w:val="auto"/>
        </w:rPr>
      </w:pPr>
      <w:r>
        <w:rPr>
          <w:rFonts w:ascii="Arial" w:cs="Arial" w:eastAsia="Arial" w:hAnsi="Arial"/>
          <w:sz w:val="18"/>
          <w:szCs w:val="18"/>
          <w:color w:val="auto"/>
        </w:rPr>
        <w:t>Our Healthcare segment serves providers and payors including national and regional hospitals, integrated health systems, academic medical centers, community hospitals, medical groups and health plans. Our Healthcare professionals have a depth of expertise in business operations, including financial and operational improvement, care transformation, and revenue cycle managed services; organizational transformation; and digital, technology and analytic solutions. Most healthcare organizations are focused on changing the way care is delivered; establishing a sustainable business model centered around optimal cost structures, reimbursement models and financial strategies; evolving their digital, technology and analytic capabilities; and exceeding the expectations of their employees and patients. Our solutions help clients adapt to this rapidly changing healthcare environment to become a more nimble, efficient and consumer-centric organization. We use our deep industry expertise to help clients solve a diverse set of business issues, including, but not limited to, optimizing financial and operational performance, improving care delivery and clinical outcomes, increasing physician, patient and employee satisfaction, evolving organizational culture, and maximizing return on technology investments.</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Business Advisory</w:t>
      </w:r>
    </w:p>
    <w:p>
      <w:pPr>
        <w:spacing w:after="0" w:line="193" w:lineRule="exact"/>
        <w:rPr>
          <w:rFonts w:ascii="Arial" w:cs="Arial" w:eastAsia="Arial" w:hAnsi="Arial"/>
          <w:sz w:val="18"/>
          <w:szCs w:val="18"/>
          <w:color w:val="auto"/>
        </w:rPr>
      </w:pPr>
    </w:p>
    <w:p>
      <w:pPr>
        <w:ind w:left="660" w:right="20"/>
        <w:spacing w:after="0" w:line="251" w:lineRule="auto"/>
        <w:rPr>
          <w:rFonts w:ascii="Arial" w:cs="Arial" w:eastAsia="Arial" w:hAnsi="Arial"/>
          <w:sz w:val="18"/>
          <w:szCs w:val="18"/>
          <w:color w:val="auto"/>
        </w:rPr>
      </w:pPr>
      <w:r>
        <w:rPr>
          <w:rFonts w:ascii="Arial" w:cs="Arial" w:eastAsia="Arial" w:hAnsi="Arial"/>
          <w:sz w:val="18"/>
          <w:szCs w:val="18"/>
          <w:color w:val="auto"/>
        </w:rPr>
        <w:t>Our Business Advisory segment works with C-suite executives and business unit and functional leadership across a diverse set of organizations, including healthy, well-capitalized companies to organizations in transition, and across a broad range of industries, including healthcare, energy and utilities, financial services, life sciences, industrials and manufacturing, education, and the public sector. Our Business Advisory professionals have deep industry, functional and technical expertise that they put forward when delivering our digital, technology and analytics, strategy and innovation and restructuring and corporate finance services. In today’s disruptive environment, organizations must reimagine their historical strategies and financial and operating models to sustain and advance their competitive advantage. Organizations also recognize the need to adopt technologies, automation and analytics to improve their operations and compete in a rapidly changing landscape. Our experts help organizations across industries with a variety of business challenges, including, but not limited to, embedding technology and analytics throughout their internal and customer-facing operations, developing insights into the needs of tomorrow’s customers to evolve their enterprise and business unit strategies, bringing new products to market, and managing through stressed and distressed situations to create a viable path forward for stakeholders.</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Education</w:t>
      </w:r>
    </w:p>
    <w:p>
      <w:pPr>
        <w:spacing w:after="0" w:line="193" w:lineRule="exact"/>
        <w:rPr>
          <w:rFonts w:ascii="Arial" w:cs="Arial" w:eastAsia="Arial" w:hAnsi="Arial"/>
          <w:sz w:val="18"/>
          <w:szCs w:val="18"/>
          <w:b w:val="1"/>
          <w:bCs w:val="1"/>
          <w:color w:val="auto"/>
        </w:rPr>
      </w:pPr>
    </w:p>
    <w:p>
      <w:pPr>
        <w:ind w:left="660" w:right="10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Our Education segment serves public and private colleges and universities, academic medical centers, research institutes and other not-for-profit organizations. Our Education professionals have a depth of expertise in strategy; business operations, including in the areas of the research enterprise and student lifecycle; digital, technology and analytic solutions; and organizational transformation.</w:t>
      </w:r>
    </w:p>
    <w:p>
      <w:pPr>
        <w:ind w:left="66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Our Education segment clients are increasingly faced with financial and/or demographic and enrollment challenges as well as increased competition. To remain competitive, organizations must challenge traditional operating and financial models and reimagine strategic, operational and research-centered opportunities that advance their mission while strengthening their business models. We collaborate with clients to address these challenges and ensure they have a sustainable future. We combine our deep industry, functional and technical expertise to help clients solve their most pressing challenges, including, but not limited to, transforming business operations with technology; strengthening research strategies and support services; evolving their organizational strategy; optimizing financial and operational performance; and enhancing the student experience.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related to accounting and finance, human resources, legal, marketing, information technology, and company-wide business development functions, as well as costs related to overall corporate management.</w:t>
      </w:r>
    </w:p>
    <w:p>
      <w:pPr>
        <w:spacing w:after="0" w:line="15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will begin reporting under the following three industries, which will be our reportable segments: Healthcare, Education and Commercial. The Commercial segment will include all industries outside of healthcare and education, including, but not limited to, financial services and energy and utilities. In the new reporting structure, each segment will include all revenue and costs associated with engagements delivered in the respective industry segments. The new Healthcare and Education segments will include some revenue and costs historically reported in the Business Advisory segment and the Healthcare segment will include some revenue and costs historically reported in the Education segment. We will also provide revenue reporting across two principal capabilities: i) Consulting and Managed Services and ii) Digital. These changes will create greater transparency for investors by improving visibility into the core drivers of our business. While our consolidated results will not be impacted, we will recast our historical segment information during 2022 for consistent presentation.</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 w:right="49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The tables below set forth information about our operating segments for the years ended December 31, 2021, 2020, and 2019, along with the items necessary to reconcile the segment information to the totals reported in the accompanying consolidated financial statements. We do not present financial information by geographic area because the financial results of our international operations are not significant to our consolidated financial statements.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6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377,577</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353,437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399,221</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104,010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94,925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125,724</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31.5 %</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Business Advisory:</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291,663</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267,361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252,508</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48,236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48,046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49,695</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19.7 %</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236,400</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223,329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225,028</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52,772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47,503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55,741</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24.8 %</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905,640</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844,127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876,757</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21,318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26,887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88,717</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revenues and reimbursable expenses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926,958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871,014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965,474</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205,018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190,474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231,160</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131,372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135,255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140,285</w:t>
            </w:r>
          </w:p>
        </w:tc>
      </w:tr>
      <w:tr>
        <w:trPr>
          <w:trHeight w:val="229"/>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and other losses (gains)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(1,196)</w:t>
            </w: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20,634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24,405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28,365</w:t>
            </w:r>
          </w:p>
        </w:tc>
      </w:tr>
      <w:tr>
        <w:trPr>
          <w:trHeight w:val="230"/>
        </w:trPr>
        <w:tc>
          <w:tcPr>
            <w:tcW w:w="61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27,197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(11,215)</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80,036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(33,873)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52,491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340" w:right="640" w:hanging="332"/>
        <w:spacing w:after="0" w:line="256" w:lineRule="auto"/>
        <w:tabs>
          <w:tab w:leader="none" w:pos="3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As of December 31,</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Segment Assets: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23"/>
        </w:trPr>
        <w:tc>
          <w:tcPr>
            <w:tcW w:w="6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Healthcare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73,019</w:t>
            </w:r>
          </w:p>
        </w:tc>
      </w:tr>
      <w:tr>
        <w:trPr>
          <w:trHeight w:val="230"/>
        </w:trPr>
        <w:tc>
          <w:tcPr>
            <w:tcW w:w="6480" w:type="dxa"/>
            <w:vAlign w:val="bottom"/>
            <w:gridSpan w:val="2"/>
          </w:tcPr>
          <w:p>
            <w:pPr>
              <w:ind w:left="840"/>
              <w:spacing w:after="0"/>
              <w:rPr>
                <w:sz w:val="20"/>
                <w:szCs w:val="20"/>
                <w:color w:val="auto"/>
              </w:rPr>
            </w:pPr>
            <w:r>
              <w:rPr>
                <w:rFonts w:ascii="Arial" w:cs="Arial" w:eastAsia="Arial" w:hAnsi="Arial"/>
                <w:sz w:val="18"/>
                <w:szCs w:val="18"/>
                <w:color w:val="auto"/>
              </w:rPr>
              <w:t>Business Advisory</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57,738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59,315</w:t>
            </w:r>
          </w:p>
        </w:tc>
      </w:tr>
      <w:tr>
        <w:trPr>
          <w:trHeight w:val="230"/>
        </w:trPr>
        <w:tc>
          <w:tcPr>
            <w:tcW w:w="6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Education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38,881</w:t>
            </w:r>
          </w:p>
        </w:tc>
      </w:tr>
      <w:tr>
        <w:trPr>
          <w:trHeight w:val="230"/>
        </w:trPr>
        <w:tc>
          <w:tcPr>
            <w:tcW w:w="6480" w:type="dxa"/>
            <w:vAlign w:val="bottom"/>
            <w:tcBorders>
              <w:bottom w:val="single" w:sz="8" w:color="CCEEFF"/>
            </w:tcBorders>
            <w:gridSpan w:val="2"/>
          </w:tcPr>
          <w:p>
            <w:pPr>
              <w:ind w:left="840"/>
              <w:spacing w:after="0" w:line="230" w:lineRule="exact"/>
              <w:rPr>
                <w:sz w:val="20"/>
                <w:szCs w:val="20"/>
                <w:color w:val="auto"/>
              </w:rPr>
            </w:pPr>
            <w:r>
              <w:rPr>
                <w:rFonts w:ascii="Arial" w:cs="Arial" w:eastAsia="Arial" w:hAnsi="Arial"/>
                <w:sz w:val="18"/>
                <w:szCs w:val="18"/>
                <w:color w:val="auto"/>
              </w:rPr>
              <w:t xml:space="preserve">Unallocated assets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924,960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937,822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933,056</w:t>
            </w:r>
          </w:p>
        </w:tc>
      </w:tr>
      <w:tr>
        <w:trPr>
          <w:trHeight w:val="243"/>
        </w:trPr>
        <w:tc>
          <w:tcPr>
            <w:tcW w:w="6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1,119,349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1,104,271</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340" w:right="460" w:hanging="332"/>
        <w:spacing w:after="0" w:line="256" w:lineRule="auto"/>
        <w:tabs>
          <w:tab w:leader="none" w:pos="3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Unallocated assets include goodwill and intangible assets and our long-term investments, as management does not evaluate these items at the segment level when assessing segment performance or allocating resources. Refer to Note 4 “Goodwill and Intangible Assets” and Note 13 “Fair Value of Financial Instruments” for further information on these assets.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following table illustrates the disaggregation of revenues by billing arrangements, employee types, and timing of revenue recognition, including a reconciliation of the disaggregated revenues to revenues from our three operating segments for the year ended December 31, 2021, 2020 and 2019.</w:t>
      </w:r>
    </w:p>
    <w:p>
      <w:pPr>
        <w:spacing w:after="0" w:line="13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conjunction with our continuous evaluation of the appropriate level of disaggregation of revenues as our business evolves and in consideration of a group hire of approximately 300 employees in our Healthcare Managed Services solution within our Healthcare segment in the second quarter of 2021, we began assessing our operating performance by the following three employee types: billable consultants, full-time equivalents, and Healthcare Managed Services employees. The disaggregation of revenues by employee type previously reported for the twelve months ended December 31, 2020 and 2019 was revised below to reflect this change. This change has no impact on our consolidated total revenues or total revenues by segment.</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8"/>
                <w:szCs w:val="18"/>
                <w:b w:val="1"/>
                <w:bCs w:val="1"/>
                <w:color w:val="auto"/>
                <w:w w:val="99"/>
              </w:rPr>
              <w:t>Year Ended December 31, 2021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Healthcare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14"/>
                <w:szCs w:val="1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Fixed-fee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218,415</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121,648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60,077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400,140</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354,663</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73,360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91,656</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59,181</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377,577</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291,663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236,400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905,640</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billable consultants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250,552</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721,453</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79,307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136,469</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Healthcare Managed Services employees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47,718</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377,577</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291,663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236,400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905,640</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373,148</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900,869</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 at a point in time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377,577</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905,640</w:t>
            </w:r>
          </w:p>
        </w:tc>
        <w:tc>
          <w:tcPr>
            <w:tcW w:w="0" w:type="dxa"/>
            <w:vAlign w:val="bottom"/>
          </w:tcPr>
          <w:p>
            <w:pPr>
              <w:spacing w:after="0"/>
              <w:rPr>
                <w:sz w:val="1"/>
                <w:szCs w:val="1"/>
                <w:color w:val="auto"/>
              </w:rPr>
            </w:pPr>
          </w:p>
        </w:tc>
      </w:tr>
    </w:tbl>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8"/>
                <w:szCs w:val="18"/>
                <w:b w:val="1"/>
                <w:bCs w:val="1"/>
                <w:color w:val="auto"/>
                <w:w w:val="99"/>
              </w:rPr>
              <w:t>Year Ended December 31, 2020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Healthcare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14"/>
                <w:szCs w:val="1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Fixed-fee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202,513</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101,561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44,839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348,913</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366,548</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69,316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78,070</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50,596</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353,437</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267,361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223,329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844,127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billable consultants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234,951</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680,165</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89,823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135,299</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Healthcare Managed Services employees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353,437</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267,361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223,329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844,127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349,676</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840,044</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 at a point in time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353,437</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8"/>
                <w:szCs w:val="18"/>
                <w:b w:val="1"/>
                <w:bCs w:val="1"/>
                <w:color w:val="auto"/>
                <w:w w:val="99"/>
              </w:rPr>
              <w:t>Year Ended December 31, 2019</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Healthcare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14"/>
                <w:szCs w:val="14"/>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2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Fixed-fee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249,479</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100,635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51,826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401,940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349,707</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71,051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77,907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23,487</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47,203</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399,221</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252,508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225,028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876,757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billable consultants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278,733</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717,927</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116,035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154,377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Healthcare Managed Services employees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399,221</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252,508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225,028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876,757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390,884</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867,065</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 at a point in time</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8,337</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399,221</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876,757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380" w:hanging="332"/>
        <w:spacing w:after="0" w:line="252" w:lineRule="auto"/>
        <w:tabs>
          <w:tab w:leader="none" w:pos="4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Billable consultants consist of our consulting professionals who provide consulting services to our clients and are billable to our clients based on the number of hours worked. Full-time equivalent professionals consist of leadership coaches and their support staff within our Culture and Organizational Excellence solution, consultants who work variable schedules as needed by our clients, and full-time employees who provide software support and maintenance services to our clients. Healthcare Managed Services employees manage and provide revenue cycle billing, collections, insurance verification and change integrity services to healthcare clients.</w:t>
      </w:r>
    </w:p>
    <w:p>
      <w:pPr>
        <w:spacing w:after="0" w:line="15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For the years ended December 31, 2021, 2020, and 2019, substantially all of our revenues and long-lived assets were attributed to or located in the United States.</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December 31, 2021 and 2020, no single client accounted for greater than 10% of our combined balance of receivables from clients, net and unbilled services, net. During the years ended December 31, 2021, 2020, and 2019, no single client generated greater than 10% of our consolidated revenues.</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Valuation and Qualifying Accounts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table below sets forth the changes in the carrying amount of our allowances for doubtful accounts and unbilled services and valuation allowance for deferred tax assets for the years ended December 31, 2021, 2020, and 2019. Allowances for doubtful accounts and unbilled services includes allowances for fee adjustments and other discretionary pricing adjustments as well as allowances related to clients' inability to make required payments on accounts receivable.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Beginning</w:t>
            </w:r>
          </w:p>
        </w:tc>
        <w:tc>
          <w:tcPr>
            <w:tcW w:w="14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 xml:space="preserve">Additions </w:t>
            </w:r>
            <w:r>
              <w:rPr>
                <w:rFonts w:ascii="Arial" w:cs="Arial" w:eastAsia="Arial" w:hAnsi="Arial"/>
                <w:sz w:val="23"/>
                <w:szCs w:val="23"/>
                <w:b w:val="1"/>
                <w:bCs w:val="1"/>
                <w:color w:val="auto"/>
                <w:vertAlign w:val="superscript"/>
              </w:rPr>
              <w:t>(1)</w:t>
            </w:r>
          </w:p>
        </w:tc>
        <w:tc>
          <w:tcPr>
            <w:tcW w:w="14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Deductions</w:t>
            </w:r>
          </w:p>
        </w:tc>
        <w:tc>
          <w:tcPr>
            <w:tcW w:w="240" w:type="dxa"/>
            <w:vAlign w:val="bottom"/>
          </w:tcPr>
          <w:p>
            <w:pPr>
              <w:spacing w:after="0"/>
              <w:rPr>
                <w:sz w:val="17"/>
                <w:szCs w:val="17"/>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balance</w:t>
            </w:r>
          </w:p>
        </w:tc>
        <w:tc>
          <w:tcPr>
            <w:tcW w:w="1440" w:type="dxa"/>
            <w:vAlign w:val="bottom"/>
            <w:gridSpan w:val="2"/>
            <w:vMerge w:val="continue"/>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09"/>
        </w:trPr>
        <w:tc>
          <w:tcPr>
            <w:tcW w:w="5500" w:type="dxa"/>
            <w:vAlign w:val="bottom"/>
          </w:tcPr>
          <w:p>
            <w:pPr>
              <w:ind w:left="20"/>
              <w:spacing w:after="0"/>
              <w:rPr>
                <w:sz w:val="20"/>
                <w:szCs w:val="20"/>
                <w:color w:val="auto"/>
              </w:rPr>
            </w:pPr>
            <w:r>
              <w:rPr>
                <w:rFonts w:ascii="Arial" w:cs="Arial" w:eastAsia="Arial" w:hAnsi="Arial"/>
                <w:sz w:val="18"/>
                <w:szCs w:val="18"/>
                <w:color w:val="auto"/>
              </w:rPr>
              <w:t>Year ended December 31, 2019:</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Allowances for doubtful accounts and unbilled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18,668</w:t>
            </w: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Allowances for doubtful accounts and unbilled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18,668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63,268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60,630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21,306</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Year ended December 31, 2021:</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Allowances for doubtful accounts and unbilled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15,795</w:t>
            </w: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right="320" w:hanging="332"/>
        <w:spacing w:after="0" w:line="256" w:lineRule="auto"/>
        <w:tabs>
          <w:tab w:leader="none" w:pos="3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to allowances for doubtful accounts and unbilled services are charged to revenues to the extent the provision relates to fee adjustments and other discretionary pricing adjustments. To the extent the provision relates to a client’s inability to make required payments on accounts receivable, the provision is charged to operating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January 18, 2022, we completed the acquisition of AIMDATA, LLC, (“AIMDATA”), an advisory and implementation consulting services firm focused on strategy, technology and business transformation. The results of operations of AIMDATA will be included within our consolidated financial statements from the close date, and will be allocated among our three operating industries, which are our reportable segments, based on the engagements delivered by the business. AIMDATA revenues will be reported in our Digital capability. The acquisition of AIMDATA is not significant to our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320" w:top="140" w:right="35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LIST OF SUBSIDIARIES OF HURON CONSULTING GROUP INC.</w:t>
      </w:r>
    </w:p>
    <w:p>
      <w:pPr>
        <w:spacing w:after="0" w:line="3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(as of December 31, 2021)</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Name</w:t>
            </w:r>
          </w:p>
        </w:tc>
        <w:tc>
          <w:tcPr>
            <w:tcW w:w="480" w:type="dxa"/>
            <w:vAlign w:val="bottom"/>
          </w:tcPr>
          <w:p>
            <w:pPr>
              <w:spacing w:after="0"/>
              <w:rPr>
                <w:sz w:val="20"/>
                <w:szCs w:val="20"/>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 Organization</w:t>
            </w:r>
          </w:p>
        </w:tc>
      </w:tr>
      <w:tr>
        <w:trPr>
          <w:trHeight w:val="223"/>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Consulting Group Holdings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Consulting Services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rPr>
              <w:t>Huron Consulting Saudi Limited</w:t>
            </w: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Saudi Arabia</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Saudi Limited</w:t>
            </w: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Saudi Arabia</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Advisors Canada Limited</w:t>
            </w: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30"/>
        </w:trPr>
        <w:tc>
          <w:tcPr>
            <w:tcW w:w="49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Huron Public Finance Advisory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9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Huron Transaction Advisory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Eurasia India Private Limited</w:t>
            </w:r>
          </w:p>
        </w:tc>
        <w:tc>
          <w:tcPr>
            <w:tcW w:w="452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29"/>
        </w:trPr>
        <w:tc>
          <w:tcPr>
            <w:tcW w:w="49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Huron Consulting Services U.K. Limited</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England</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Innosight Holdings,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49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Innosight International,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Innosight Consulting Asia Pacific PTE. LTD.</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Innosight Consulting SARL</w:t>
            </w:r>
          </w:p>
        </w:tc>
        <w:tc>
          <w:tcPr>
            <w:tcW w:w="452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Innosight Consulting,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Aviation One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Aviation Two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rPr>
              <w:t>Huron Managed Services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Whiteboard Communications LTD.</w:t>
            </w: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Pennsylvania</w:t>
            </w:r>
          </w:p>
        </w:tc>
      </w:tr>
    </w:tbl>
    <w:p>
      <w:pPr>
        <w:sectPr>
          <w:pgSz w:w="11900" w:h="16838" w:orient="portrait"/>
          <w:cols w:equalWidth="0" w:num="1">
            <w:col w:w="10360"/>
          </w:cols>
          <w:pgMar w:left="1200" w:top="886"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333-166542, 333-181445, 333-196397, 333-204353, 333-218108, 333-231566, 333-238605, 333-238606, and 333-256384) of Huron Consulting Group Inc. of our report dated February 24, 2022 relating to the financial statements and the effectiveness of internal control over financial reporting, which appears in this Form 10-K.</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886"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February 24, 2022</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JAMES H. ROTH</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James H. Roth</w:t>
            </w:r>
          </w:p>
        </w:tc>
      </w:tr>
      <w:tr>
        <w:trPr>
          <w:trHeight w:val="230"/>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bl>
    <w:p>
      <w:pPr>
        <w:sectPr>
          <w:pgSz w:w="11900" w:h="16838" w:orient="portrait"/>
          <w:cols w:equalWidth="0" w:num="1">
            <w:col w:w="11240"/>
          </w:cols>
          <w:pgMar w:left="320" w:top="886"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February 24, 2022</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60" w:type="dxa"/>
            <w:vAlign w:val="bottom"/>
          </w:tcPr>
          <w:p>
            <w:pPr>
              <w:jc w:val="center"/>
              <w:spacing w:after="0" w:line="189" w:lineRule="exact"/>
              <w:rPr>
                <w:sz w:val="20"/>
                <w:szCs w:val="20"/>
                <w:color w:val="auto"/>
              </w:rPr>
            </w:pPr>
            <w:r>
              <w:rPr>
                <w:rFonts w:ascii="Arial" w:cs="Arial" w:eastAsia="Arial" w:hAnsi="Arial"/>
                <w:sz w:val="18"/>
                <w:szCs w:val="18"/>
                <w:color w:val="auto"/>
                <w:w w:val="98"/>
              </w:rPr>
              <w:t>Executive Vice President,</w:t>
            </w:r>
          </w:p>
        </w:tc>
      </w:tr>
      <w:tr>
        <w:trPr>
          <w:trHeight w:val="217"/>
        </w:trPr>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ectPr>
          <w:pgSz w:w="11900" w:h="16838" w:orient="portrait"/>
          <w:cols w:equalWidth="0" w:num="1">
            <w:col w:w="11240"/>
          </w:cols>
          <w:pgMar w:left="320" w:top="886"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Annual Report of Huron Consulting Group Inc. (the "Company") on Form 10-K for the year ended December 31,</w:t>
      </w:r>
    </w:p>
    <w:p>
      <w:pPr>
        <w:spacing w:after="0" w:line="9"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2021 as filed with the Securities and Exchange Commission on the date hereof (the "Report"), I, James H. Roth, Chief Executive Officer of the Company, hereby certify, pursuant to 18 U.S.C. Section 1350, as adopted pursuant to Section 906 of the Sarbanes-Oxley Act of 2002, that:</w:t>
      </w:r>
    </w:p>
    <w:p>
      <w:pPr>
        <w:spacing w:after="0" w:line="148" w:lineRule="exact"/>
        <w:rPr>
          <w:sz w:val="20"/>
          <w:szCs w:val="20"/>
          <w:color w:val="auto"/>
        </w:rPr>
      </w:pPr>
    </w:p>
    <w:p>
      <w:pPr>
        <w:ind w:left="840" w:hanging="346"/>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February 24, 2022</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tc>
      </w:tr>
      <w:tr>
        <w:trPr>
          <w:trHeight w:val="223"/>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James H. Roth</w:t>
            </w:r>
          </w:p>
        </w:tc>
      </w:tr>
      <w:tr>
        <w:trPr>
          <w:trHeight w:val="229"/>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bl>
    <w:p>
      <w:pPr>
        <w:spacing w:after="0" w:line="16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p>
      <w:pPr>
        <w:sectPr>
          <w:pgSz w:w="11900" w:h="16838" w:orient="portrait"/>
          <w:cols w:equalWidth="0" w:num="1">
            <w:col w:w="11240"/>
          </w:cols>
          <w:pgMar w:left="320" w:top="886"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Annual Report of Huron Consulting Group Inc. (the "Company") on Form 10-K for the year ended December 31,</w:t>
      </w:r>
    </w:p>
    <w:p>
      <w:pPr>
        <w:spacing w:after="0" w:line="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2021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48" w:lineRule="exact"/>
        <w:rPr>
          <w:sz w:val="20"/>
          <w:szCs w:val="20"/>
          <w:color w:val="auto"/>
        </w:rPr>
      </w:pPr>
    </w:p>
    <w:p>
      <w:pPr>
        <w:ind w:left="840" w:hanging="346"/>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February 24, 2022</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23"/>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80" w:type="dxa"/>
            <w:vAlign w:val="bottom"/>
          </w:tcPr>
          <w:p>
            <w:pPr>
              <w:jc w:val="center"/>
              <w:spacing w:after="0" w:line="189" w:lineRule="exact"/>
              <w:rPr>
                <w:sz w:val="20"/>
                <w:szCs w:val="20"/>
                <w:color w:val="auto"/>
              </w:rPr>
            </w:pPr>
            <w:r>
              <w:rPr>
                <w:rFonts w:ascii="Arial" w:cs="Arial" w:eastAsia="Arial" w:hAnsi="Arial"/>
                <w:sz w:val="18"/>
                <w:szCs w:val="18"/>
                <w:color w:val="auto"/>
                <w:w w:val="99"/>
              </w:rPr>
              <w:t>Executive Vice President,</w:t>
            </w:r>
          </w:p>
        </w:tc>
      </w:tr>
      <w:tr>
        <w:trPr>
          <w:trHeight w:val="217"/>
        </w:trPr>
        <w:tc>
          <w:tcPr>
            <w:tcW w:w="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16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6"/>
    </w:lvl>
  </w:abstractNum>
  <w:abstractNum w:abstractNumId="16">
    <w:nsid w:val="836C40E"/>
    <w:multiLevelType w:val="hybridMultilevel"/>
    <w:lvl w:ilvl="0">
      <w:lvlJc w:val="left"/>
      <w:lvlText w:val="(%1)"/>
      <w:numFmt w:val="lowerRoman"/>
      <w:start w:val="1"/>
    </w:lvl>
  </w:abstractNum>
  <w:abstractNum w:abstractNumId="17">
    <w:nsid w:val="2901D82"/>
    <w:multiLevelType w:val="hybridMultilevel"/>
    <w:lvl w:ilvl="0">
      <w:lvlJc w:val="left"/>
      <w:lvlText w:val="(%1)"/>
      <w:numFmt w:val="lowerRoman"/>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2"/>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lowerRoman"/>
      <w:start w:val="1"/>
    </w:lvl>
  </w:abstractNum>
  <w:abstractNum w:abstractNumId="25">
    <w:nsid w:val="4516DDE9"/>
    <w:multiLevelType w:val="hybridMultilevel"/>
    <w:lvl w:ilvl="0">
      <w:lvlJc w:val="left"/>
      <w:lvlText w:val="%1."/>
      <w:numFmt w:val="decimal"/>
      <w:start w:val="8"/>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8"/>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72" Type="http://schemas.openxmlformats.org/officeDocument/2006/relationships/image" Target="media/image51.png"/><Relationship Id="rId87" Type="http://schemas.openxmlformats.org/officeDocument/2006/relationships/image" Target="media/image52.png"/><Relationship Id="rId94" Type="http://schemas.openxmlformats.org/officeDocument/2006/relationships/image" Target="media/image53.png"/><Relationship Id="rId95" Type="http://schemas.openxmlformats.org/officeDocument/2006/relationships/image" Target="media/image54.png"/><Relationship Id="rId96" Type="http://schemas.openxmlformats.org/officeDocument/2006/relationships/image" Target="media/image55.png"/><Relationship Id="rId97" Type="http://schemas.openxmlformats.org/officeDocument/2006/relationships/image" Target="media/image56.png"/><Relationship Id="rId98" Type="http://schemas.openxmlformats.org/officeDocument/2006/relationships/image" Target="media/image57.png"/><Relationship Id="rId99" Type="http://schemas.openxmlformats.org/officeDocument/2006/relationships/image" Target="media/image58.png"/><Relationship Id="rId100" Type="http://schemas.openxmlformats.org/officeDocument/2006/relationships/image" Target="media/image59.png"/><Relationship Id="rId101" Type="http://schemas.openxmlformats.org/officeDocument/2006/relationships/image" Target="media/image60.png"/><Relationship Id="rId102" Type="http://schemas.openxmlformats.org/officeDocument/2006/relationships/image" Target="media/image61.png"/><Relationship Id="rId103" Type="http://schemas.openxmlformats.org/officeDocument/2006/relationships/image" Target="media/image62.png"/><Relationship Id="rId104" Type="http://schemas.openxmlformats.org/officeDocument/2006/relationships/image" Target="media/image63.png"/><Relationship Id="rId105" Type="http://schemas.openxmlformats.org/officeDocument/2006/relationships/image" Target="media/image64.png"/><Relationship Id="rId106" Type="http://schemas.openxmlformats.org/officeDocument/2006/relationships/image" Target="media/image65.png"/><Relationship Id="rId107" Type="http://schemas.openxmlformats.org/officeDocument/2006/relationships/image" Target="media/image66.png"/><Relationship Id="rId108" Type="http://schemas.openxmlformats.org/officeDocument/2006/relationships/image" Target="media/image67.png"/><Relationship Id="rId109" Type="http://schemas.openxmlformats.org/officeDocument/2006/relationships/image" Target="media/image68.png"/><Relationship Id="rId110" Type="http://schemas.openxmlformats.org/officeDocument/2006/relationships/image" Target="media/image69.png"/><Relationship Id="rId111" Type="http://schemas.openxmlformats.org/officeDocument/2006/relationships/image" Target="media/image70.png"/><Relationship Id="rId112" Type="http://schemas.openxmlformats.org/officeDocument/2006/relationships/image" Target="media/image71.png"/><Relationship Id="rId113" Type="http://schemas.openxmlformats.org/officeDocument/2006/relationships/image" Target="media/image72.png"/><Relationship Id="rId114" Type="http://schemas.openxmlformats.org/officeDocument/2006/relationships/image" Target="media/image73.png"/><Relationship Id="rId115" Type="http://schemas.openxmlformats.org/officeDocument/2006/relationships/image" Target="media/image74.png"/><Relationship Id="rId116" Type="http://schemas.openxmlformats.org/officeDocument/2006/relationships/image" Target="media/image75.png"/><Relationship Id="rId117" Type="http://schemas.openxmlformats.org/officeDocument/2006/relationships/image" Target="media/image76.png"/><Relationship Id="rId118" Type="http://schemas.openxmlformats.org/officeDocument/2006/relationships/image" Target="media/image77.png"/><Relationship Id="rId119" Type="http://schemas.openxmlformats.org/officeDocument/2006/relationships/image" Target="media/image78.png"/><Relationship Id="rId120" Type="http://schemas.openxmlformats.org/officeDocument/2006/relationships/image" Target="media/image79.png"/><Relationship Id="rId121" Type="http://schemas.openxmlformats.org/officeDocument/2006/relationships/image" Target="media/image80.png"/><Relationship Id="rId122" Type="http://schemas.openxmlformats.org/officeDocument/2006/relationships/image" Target="media/image81.png"/><Relationship Id="rId123" Type="http://schemas.openxmlformats.org/officeDocument/2006/relationships/image" Target="media/image82.png"/><Relationship Id="rId124" Type="http://schemas.openxmlformats.org/officeDocument/2006/relationships/image" Target="media/image83.png"/><Relationship Id="rId125" Type="http://schemas.openxmlformats.org/officeDocument/2006/relationships/image" Target="media/image84.png"/><Relationship Id="rId126" Type="http://schemas.openxmlformats.org/officeDocument/2006/relationships/image" Target="media/image85.png"/><Relationship Id="rId127" Type="http://schemas.openxmlformats.org/officeDocument/2006/relationships/image" Target="media/image86.png"/><Relationship Id="rId128" Type="http://schemas.openxmlformats.org/officeDocument/2006/relationships/image" Target="media/image87.png"/><Relationship Id="rId129" Type="http://schemas.openxmlformats.org/officeDocument/2006/relationships/image" Target="media/image88.png"/><Relationship Id="rId130" Type="http://schemas.openxmlformats.org/officeDocument/2006/relationships/image" Target="media/image89.png"/><Relationship Id="rId131" Type="http://schemas.openxmlformats.org/officeDocument/2006/relationships/image" Target="media/image90.png"/><Relationship Id="rId132" Type="http://schemas.openxmlformats.org/officeDocument/2006/relationships/image" Target="media/image91.png"/><Relationship Id="rId133" Type="http://schemas.openxmlformats.org/officeDocument/2006/relationships/image" Target="media/image92.png"/><Relationship Id="rId134"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58" Type="http://schemas.openxmlformats.org/officeDocument/2006/relationships/hyperlink" Target="http://www.sec.gov/Archives/edgar/data/1289848/000119312505031189/dex31.htm" TargetMode="External"/><Relationship Id="rId59" Type="http://schemas.openxmlformats.org/officeDocument/2006/relationships/hyperlink" Target="http://www.sec.gov/Archives/edgar/data/1289848/000128984815000017/hurn10262015exh31.htm" TargetMode="External"/><Relationship Id="rId60" Type="http://schemas.openxmlformats.org/officeDocument/2006/relationships/hyperlink" Target="http://www.sec.gov/Archives/edgar/data/1289848/000119312504139238/dex41.htm" TargetMode="External"/><Relationship Id="rId61" Type="http://schemas.openxmlformats.org/officeDocument/2006/relationships/hyperlink" Target="http://www.sec.gov/Archives/edgar/data/1289848/000128984820000006/hurn20191231exhibit42.htm" TargetMode="External"/><Relationship Id="rId62" Type="http://schemas.openxmlformats.org/officeDocument/2006/relationships/hyperlink" Target="http://www.sec.gov/Archives/edgar/data/1289848/000094018004000001/dex101.htm" TargetMode="External"/><Relationship Id="rId63" Type="http://schemas.openxmlformats.org/officeDocument/2006/relationships/hyperlink" Target="http://www.sec.gov/Archives/edgar/data/1289848/000095012310044504/c57982exv10w1.htm" TargetMode="External"/><Relationship Id="rId64" Type="http://schemas.openxmlformats.org/officeDocument/2006/relationships/hyperlink" Target="http://www.sec.gov/Archives/edgar/data/1289848/000119312509036340/dex1012.htm" TargetMode="External"/><Relationship Id="rId65" Type="http://schemas.openxmlformats.org/officeDocument/2006/relationships/hyperlink" Target="http://www.sec.gov/Archives/edgar/data/1289848/000128984817000003/exh101sma-kelly.htm" TargetMode="External"/><Relationship Id="rId66" Type="http://schemas.openxmlformats.org/officeDocument/2006/relationships/hyperlink" Target="http://www.sec.gov/Archives/edgar/data/1289848/000128984817000003/exh102sma-roth.htm" TargetMode="External"/><Relationship Id="rId67" Type="http://schemas.openxmlformats.org/officeDocument/2006/relationships/hyperlink" Target="http://www.sec.gov/Archives/edgar/data/1289848/000128984817000003/exh103sma-hussey.htm" TargetMode="External"/><Relationship Id="rId68" Type="http://schemas.openxmlformats.org/officeDocument/2006/relationships/hyperlink" Target="http://www.sec.gov/Archives/edgar/data/1289848/000119312513069461/d444342dex1017.htm" TargetMode="External"/><Relationship Id="rId69" Type="http://schemas.openxmlformats.org/officeDocument/2006/relationships/hyperlink" Target="http://www.sec.gov/Archives/edgar/data/1289848/000119312513069461/d444342dex1018.htm" TargetMode="External"/><Relationship Id="rId70" Type="http://schemas.openxmlformats.org/officeDocument/2006/relationships/hyperlink" Target="http://www.sec.gov/Archives/edgar/data/1289848/000119312513069461/d444342dex1019.htm" TargetMode="External"/><Relationship Id="rId71" Type="http://schemas.openxmlformats.org/officeDocument/2006/relationships/hyperlink" Target="http://www.sec.gov/Archives/edgar/data/1289848/000119312513003657/d461972dex101.htm" TargetMode="External"/><Relationship Id="rId73" Type="http://schemas.openxmlformats.org/officeDocument/2006/relationships/hyperlink" Target="http://www.sec.gov/Archives/edgar/data/1289848/000128984820000006/hurnexhibit1013-fifthamend.htm" TargetMode="External"/><Relationship Id="rId74" Type="http://schemas.openxmlformats.org/officeDocument/2006/relationships/hyperlink" Target="http://www.sec.gov/Archives/edgar/data/1289848/000128984819000040/exh101-chicagolease6th.htm" TargetMode="External"/><Relationship Id="rId75" Type="http://schemas.openxmlformats.org/officeDocument/2006/relationships/hyperlink" Target="http://www.sec.gov/Archives/edgar/data/1289848/000119312513069461/d444342dex1020.htm" TargetMode="External"/><Relationship Id="rId76" Type="http://schemas.openxmlformats.org/officeDocument/2006/relationships/hyperlink" Target="http://www.sec.gov/Archives/edgar/data/1289848/000119312515060049/d836724dex1032.htm" TargetMode="External"/><Relationship Id="rId77" Type="http://schemas.openxmlformats.org/officeDocument/2006/relationships/hyperlink" Target="http://www.sec.gov/Archives/edgar/data/1289848/000119312515060049/d836724dex1033.htm" TargetMode="External"/><Relationship Id="rId78" Type="http://schemas.openxmlformats.org/officeDocument/2006/relationships/hyperlink" Target="http://www.sec.gov/Archives/edgar/data/1289848/000119312515060049/d836724dex1034.htm" TargetMode="External"/><Relationship Id="rId79" Type="http://schemas.openxmlformats.org/officeDocument/2006/relationships/hyperlink" Target="http://www.sec.gov/Archives/edgar/data/1289848/000119312515117552/d901811dex101.htm" TargetMode="External"/><Relationship Id="rId80" Type="http://schemas.openxmlformats.org/officeDocument/2006/relationships/hyperlink" Target="http://www.sec.gov/Archives/edgar/data/1289848/000119312515117552/d901811dex102.htm" TargetMode="External"/><Relationship Id="rId81" Type="http://schemas.openxmlformats.org/officeDocument/2006/relationships/hyperlink" Target="http://www.sec.gov/Archives/edgar/data/1289848/000119312515117552/d901811dex103.htm" TargetMode="External"/><Relationship Id="rId82" Type="http://schemas.openxmlformats.org/officeDocument/2006/relationships/hyperlink" Target="http://www.sec.gov/Archives/edgar/data/1289848/000128984821000009/hurn20201231exhibit1023.htm" TargetMode="External"/><Relationship Id="rId83" Type="http://schemas.openxmlformats.org/officeDocument/2006/relationships/hyperlink" Target="http://www.sec.gov/Archives/edgar/data/1289848/000128984820000006/hurnexhibit1034-amendedand.htm" TargetMode="External"/><Relationship Id="rId84" Type="http://schemas.openxmlformats.org/officeDocument/2006/relationships/hyperlink" Target="http://www.sec.gov/Archives/edgar/data/1289848/000128984817000017/exhibit101-amendmentno1toc.htm" TargetMode="External"/><Relationship Id="rId85" Type="http://schemas.openxmlformats.org/officeDocument/2006/relationships/hyperlink" Target="http://www.sec.gov/Archives/edgar/data/1289848/000128984817000051/exhibit101-amendmentno2tot.htm" TargetMode="External"/><Relationship Id="rId86" Type="http://schemas.openxmlformats.org/officeDocument/2006/relationships/hyperlink" Target="http://www.sec.gov/Archives/edgar/data/1289848/000128984818000015/exh101huronamendmentno3-cr.htm" TargetMode="External"/><Relationship Id="rId88" Type="http://schemas.openxmlformats.org/officeDocument/2006/relationships/hyperlink" Target="http://www.sec.gov/Archives/edgar/data/1289848/000128984819000038/exh101huronamendmentno.htm" TargetMode="External"/><Relationship Id="rId89" Type="http://schemas.openxmlformats.org/officeDocument/2006/relationships/hyperlink" Target="http://www.sec.gov/Archives/edgar/data/1289848/000128984820000012/exh101sma-torain.htm" TargetMode="External"/><Relationship Id="rId90" Type="http://schemas.openxmlformats.org/officeDocument/2006/relationships/hyperlink" Target="http://www.sec.gov/Archives/edgar/data/1289848/000119312520086543/d867233ddef14a.htm" TargetMode="External"/><Relationship Id="rId91" Type="http://schemas.openxmlformats.org/officeDocument/2006/relationships/hyperlink" Target="https://www.sec.gov/Archives/edgar/data/1289848/000128984821000018/hurn2021414exh101.htm" TargetMode="External"/><Relationship Id="rId92" Type="http://schemas.openxmlformats.org/officeDocument/2006/relationships/hyperlink" Target="https://www.sec.gov/Archives/edgar/data/1289848/000119312521096008/d170561ddef14a.htm" TargetMode="External"/><Relationship Id="rId93" Type="http://schemas.openxmlformats.org/officeDocument/2006/relationships/hyperlink" Target="https://www.sec.gov/Archives/edgar/data/1289848/000128984821000042/hurn2021rsuagreement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2022-02-24T15:52:12Z</dcterms:created>
  <dcterms:modified xsi:type="dcterms:W3CDTF">2022-02-24T15:52:12Z</dcterms:modified>
</cp:coreProperties>
</file>