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795020</wp:posOffset>
            </wp:positionV>
            <wp:extent cx="67576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709295</wp:posOffset>
            </wp:positionV>
            <wp:extent cx="67576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76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-199390</wp:posOffset>
            </wp:positionV>
            <wp:extent cx="1311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91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186055</wp:posOffset>
            </wp:positionV>
            <wp:extent cx="1311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71" w:lineRule="exact"/>
        <w:rPr>
          <w:sz w:val="24"/>
          <w:szCs w:val="24"/>
          <w:color w:val="auto"/>
        </w:rPr>
      </w:pPr>
    </w:p>
    <w:p>
      <w:pPr>
        <w:ind w:left="3740" w:right="1560" w:hanging="3705"/>
        <w:spacing w:after="0" w:line="328" w:lineRule="auto"/>
        <w:tabs>
          <w:tab w:leader="none" w:pos="67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320" w:right="1560" w:hanging="4285"/>
        <w:spacing w:after="0" w:line="376" w:lineRule="auto"/>
        <w:tabs>
          <w:tab w:leader="none" w:pos="69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000-50976</w:t>
      </w:r>
    </w:p>
    <w:p>
      <w:pPr>
        <w:spacing w:after="0" w:line="150"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H</w:t>
      </w:r>
      <w:r>
        <w:rPr>
          <w:rFonts w:ascii="Arial" w:cs="Arial" w:eastAsia="Arial" w:hAnsi="Arial"/>
          <w:sz w:val="36"/>
          <w:szCs w:val="36"/>
          <w:b w:val="1"/>
          <w:bCs w:val="1"/>
          <w:color w:val="auto"/>
        </w:rPr>
        <w:t>URON</w:t>
      </w:r>
      <w:r>
        <w:rPr>
          <w:rFonts w:ascii="Arial" w:cs="Arial" w:eastAsia="Arial" w:hAnsi="Arial"/>
          <w:sz w:val="43"/>
          <w:szCs w:val="43"/>
          <w:b w:val="1"/>
          <w:bCs w:val="1"/>
          <w:color w:val="auto"/>
        </w:rPr>
        <w:t xml:space="preserve"> C</w:t>
      </w:r>
      <w:r>
        <w:rPr>
          <w:rFonts w:ascii="Arial" w:cs="Arial" w:eastAsia="Arial" w:hAnsi="Arial"/>
          <w:sz w:val="36"/>
          <w:szCs w:val="36"/>
          <w:b w:val="1"/>
          <w:bCs w:val="1"/>
          <w:color w:val="auto"/>
        </w:rPr>
        <w:t>ONSULTING</w:t>
      </w:r>
      <w:r>
        <w:rPr>
          <w:rFonts w:ascii="Arial" w:cs="Arial" w:eastAsia="Arial" w:hAnsi="Arial"/>
          <w:sz w:val="43"/>
          <w:szCs w:val="43"/>
          <w:b w:val="1"/>
          <w:bCs w:val="1"/>
          <w:color w:val="auto"/>
        </w:rPr>
        <w:t xml:space="preserve"> G</w:t>
      </w:r>
      <w:r>
        <w:rPr>
          <w:rFonts w:ascii="Arial" w:cs="Arial" w:eastAsia="Arial" w:hAnsi="Arial"/>
          <w:sz w:val="36"/>
          <w:szCs w:val="36"/>
          <w:b w:val="1"/>
          <w:bCs w:val="1"/>
          <w:color w:val="auto"/>
        </w:rPr>
        <w:t>ROUP</w:t>
      </w:r>
      <w:r>
        <w:rPr>
          <w:rFonts w:ascii="Arial" w:cs="Arial" w:eastAsia="Arial" w:hAnsi="Arial"/>
          <w:sz w:val="43"/>
          <w:szCs w:val="43"/>
          <w:b w:val="1"/>
          <w:bCs w:val="1"/>
          <w:color w:val="auto"/>
        </w:rPr>
        <w:t xml:space="preserve"> I</w:t>
      </w:r>
      <w:r>
        <w:rPr>
          <w:rFonts w:ascii="Arial" w:cs="Arial" w:eastAsia="Arial" w:hAnsi="Arial"/>
          <w:sz w:val="36"/>
          <w:szCs w:val="36"/>
          <w:b w:val="1"/>
          <w:bCs w:val="1"/>
          <w:color w:val="auto"/>
        </w:rPr>
        <w:t>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-302895</wp:posOffset>
            </wp:positionV>
            <wp:extent cx="1311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5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172085</wp:posOffset>
            </wp:positionV>
            <wp:extent cx="1311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tbl>
      <w:tblPr>
        <w:tblLayout w:type="fixed"/>
        <w:tblInd w:w="1680" w:type="dxa"/>
        <w:tblCellMar>
          <w:top w:w="0" w:type="dxa"/>
          <w:left w:w="0" w:type="dxa"/>
          <w:bottom w:w="0" w:type="dxa"/>
          <w:right w:w="0" w:type="dxa"/>
        </w:tblCellMar>
      </w:tblPr>
      <w:tr>
        <w:trPr>
          <w:trHeight w:val="234"/>
        </w:trPr>
        <w:tc>
          <w:tcPr>
            <w:tcW w:w="2140" w:type="dxa"/>
            <w:vAlign w:val="bottom"/>
          </w:tcPr>
          <w:p>
            <w:pPr>
              <w:jc w:val="center"/>
              <w:ind w:right="182"/>
              <w:spacing w:after="0"/>
              <w:rPr>
                <w:sz w:val="20"/>
                <w:szCs w:val="20"/>
                <w:color w:val="auto"/>
              </w:rPr>
            </w:pPr>
            <w:r>
              <w:rPr>
                <w:rFonts w:ascii="Arial" w:cs="Arial" w:eastAsia="Arial" w:hAnsi="Arial"/>
                <w:sz w:val="18"/>
                <w:szCs w:val="18"/>
                <w:b w:val="1"/>
                <w:bCs w:val="1"/>
                <w:color w:val="auto"/>
                <w:w w:val="91"/>
              </w:rPr>
              <w:t>Delaware</w:t>
            </w:r>
          </w:p>
        </w:tc>
        <w:tc>
          <w:tcPr>
            <w:tcW w:w="5000" w:type="dxa"/>
            <w:vAlign w:val="bottom"/>
          </w:tcPr>
          <w:p>
            <w:pPr>
              <w:jc w:val="center"/>
              <w:ind w:left="3459"/>
              <w:spacing w:after="0"/>
              <w:rPr>
                <w:sz w:val="20"/>
                <w:szCs w:val="20"/>
                <w:color w:val="auto"/>
              </w:rPr>
            </w:pPr>
            <w:r>
              <w:rPr>
                <w:rFonts w:ascii="Arial" w:cs="Arial" w:eastAsia="Arial" w:hAnsi="Arial"/>
                <w:sz w:val="18"/>
                <w:szCs w:val="18"/>
                <w:b w:val="1"/>
                <w:bCs w:val="1"/>
                <w:color w:val="auto"/>
                <w:w w:val="89"/>
              </w:rPr>
              <w:t>01-0666114</w:t>
            </w:r>
          </w:p>
        </w:tc>
      </w:tr>
      <w:tr>
        <w:trPr>
          <w:trHeight w:val="180"/>
        </w:trPr>
        <w:tc>
          <w:tcPr>
            <w:tcW w:w="2140" w:type="dxa"/>
            <w:vAlign w:val="bottom"/>
          </w:tcPr>
          <w:p>
            <w:pPr>
              <w:jc w:val="center"/>
              <w:ind w:right="182"/>
              <w:spacing w:after="0"/>
              <w:rPr>
                <w:sz w:val="20"/>
                <w:szCs w:val="20"/>
                <w:color w:val="auto"/>
              </w:rPr>
            </w:pPr>
            <w:r>
              <w:rPr>
                <w:rFonts w:ascii="Arial" w:cs="Arial" w:eastAsia="Arial" w:hAnsi="Arial"/>
                <w:sz w:val="14"/>
                <w:szCs w:val="14"/>
                <w:b w:val="1"/>
                <w:bCs w:val="1"/>
                <w:color w:val="auto"/>
                <w:w w:val="93"/>
              </w:rPr>
              <w:t>(State or other jurisdiction of</w:t>
            </w:r>
          </w:p>
        </w:tc>
        <w:tc>
          <w:tcPr>
            <w:tcW w:w="5000" w:type="dxa"/>
            <w:vAlign w:val="bottom"/>
          </w:tcPr>
          <w:p>
            <w:pPr>
              <w:jc w:val="center"/>
              <w:ind w:left="3479"/>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2140" w:type="dxa"/>
            <w:vAlign w:val="bottom"/>
          </w:tcPr>
          <w:p>
            <w:pPr>
              <w:jc w:val="center"/>
              <w:ind w:right="182"/>
              <w:spacing w:after="0"/>
              <w:rPr>
                <w:sz w:val="20"/>
                <w:szCs w:val="20"/>
                <w:color w:val="auto"/>
              </w:rPr>
            </w:pPr>
            <w:r>
              <w:rPr>
                <w:rFonts w:ascii="Arial" w:cs="Arial" w:eastAsia="Arial" w:hAnsi="Arial"/>
                <w:sz w:val="14"/>
                <w:szCs w:val="14"/>
                <w:b w:val="1"/>
                <w:bCs w:val="1"/>
                <w:color w:val="auto"/>
                <w:w w:val="94"/>
              </w:rPr>
              <w:t>incorporation or organization)</w:t>
            </w:r>
          </w:p>
        </w:tc>
        <w:tc>
          <w:tcPr>
            <w:tcW w:w="5000" w:type="dxa"/>
            <w:vAlign w:val="bottom"/>
          </w:tcPr>
          <w:p>
            <w:pPr>
              <w:jc w:val="center"/>
              <w:ind w:left="3479"/>
              <w:spacing w:after="0"/>
              <w:rPr>
                <w:sz w:val="20"/>
                <w:szCs w:val="20"/>
                <w:color w:val="auto"/>
              </w:rPr>
            </w:pPr>
            <w:r>
              <w:rPr>
                <w:rFonts w:ascii="Arial" w:cs="Arial" w:eastAsia="Arial" w:hAnsi="Arial"/>
                <w:sz w:val="14"/>
                <w:szCs w:val="14"/>
                <w:b w:val="1"/>
                <w:bCs w:val="1"/>
                <w:color w:val="auto"/>
                <w:w w:val="96"/>
              </w:rPr>
              <w:t>Identification Number)</w:t>
            </w:r>
          </w:p>
        </w:tc>
      </w:tr>
      <w:tr>
        <w:trPr>
          <w:trHeight w:val="216"/>
        </w:trPr>
        <w:tc>
          <w:tcPr>
            <w:tcW w:w="2140" w:type="dxa"/>
            <w:vAlign w:val="bottom"/>
          </w:tcPr>
          <w:p>
            <w:pPr>
              <w:spacing w:after="0"/>
              <w:rPr>
                <w:sz w:val="18"/>
                <w:szCs w:val="18"/>
                <w:color w:val="auto"/>
              </w:rPr>
            </w:pPr>
          </w:p>
        </w:tc>
        <w:tc>
          <w:tcPr>
            <w:tcW w:w="5000" w:type="dxa"/>
            <w:vAlign w:val="bottom"/>
          </w:tcPr>
          <w:p>
            <w:pPr>
              <w:jc w:val="center"/>
              <w:ind w:right="1139"/>
              <w:spacing w:after="0"/>
              <w:rPr>
                <w:sz w:val="20"/>
                <w:szCs w:val="20"/>
                <w:color w:val="auto"/>
              </w:rPr>
            </w:pPr>
            <w:r>
              <w:rPr>
                <w:rFonts w:ascii="Arial" w:cs="Arial" w:eastAsia="Arial" w:hAnsi="Arial"/>
                <w:sz w:val="18"/>
                <w:szCs w:val="18"/>
                <w:b w:val="1"/>
                <w:bCs w:val="1"/>
                <w:color w:val="auto"/>
                <w:w w:val="89"/>
              </w:rPr>
              <w:t>550 West Van Buren Street</w:t>
            </w:r>
          </w:p>
        </w:tc>
      </w:tr>
      <w:tr>
        <w:trPr>
          <w:trHeight w:val="216"/>
        </w:trPr>
        <w:tc>
          <w:tcPr>
            <w:tcW w:w="2140" w:type="dxa"/>
            <w:vAlign w:val="bottom"/>
          </w:tcPr>
          <w:p>
            <w:pPr>
              <w:spacing w:after="0"/>
              <w:rPr>
                <w:sz w:val="18"/>
                <w:szCs w:val="18"/>
                <w:color w:val="auto"/>
              </w:rPr>
            </w:pPr>
          </w:p>
        </w:tc>
        <w:tc>
          <w:tcPr>
            <w:tcW w:w="5000" w:type="dxa"/>
            <w:vAlign w:val="bottom"/>
          </w:tcPr>
          <w:p>
            <w:pPr>
              <w:jc w:val="center"/>
              <w:ind w:right="1139"/>
              <w:spacing w:after="0"/>
              <w:rPr>
                <w:sz w:val="20"/>
                <w:szCs w:val="20"/>
                <w:color w:val="auto"/>
              </w:rPr>
            </w:pPr>
            <w:r>
              <w:rPr>
                <w:rFonts w:ascii="Arial" w:cs="Arial" w:eastAsia="Arial" w:hAnsi="Arial"/>
                <w:sz w:val="18"/>
                <w:szCs w:val="18"/>
                <w:b w:val="1"/>
                <w:bCs w:val="1"/>
                <w:color w:val="auto"/>
                <w:w w:val="91"/>
              </w:rPr>
              <w:t>Chicago, Illinois</w:t>
            </w:r>
          </w:p>
        </w:tc>
      </w:tr>
      <w:tr>
        <w:trPr>
          <w:trHeight w:val="212"/>
        </w:trPr>
        <w:tc>
          <w:tcPr>
            <w:tcW w:w="2140" w:type="dxa"/>
            <w:vAlign w:val="bottom"/>
          </w:tcPr>
          <w:p>
            <w:pPr>
              <w:spacing w:after="0"/>
              <w:rPr>
                <w:sz w:val="18"/>
                <w:szCs w:val="18"/>
                <w:color w:val="auto"/>
              </w:rPr>
            </w:pPr>
          </w:p>
        </w:tc>
        <w:tc>
          <w:tcPr>
            <w:tcW w:w="5000" w:type="dxa"/>
            <w:vAlign w:val="bottom"/>
          </w:tcPr>
          <w:p>
            <w:pPr>
              <w:jc w:val="right"/>
              <w:ind w:right="2799"/>
              <w:spacing w:after="0"/>
              <w:rPr>
                <w:sz w:val="20"/>
                <w:szCs w:val="20"/>
                <w:color w:val="auto"/>
              </w:rPr>
            </w:pPr>
            <w:r>
              <w:rPr>
                <w:rFonts w:ascii="Arial" w:cs="Arial" w:eastAsia="Arial" w:hAnsi="Arial"/>
                <w:sz w:val="18"/>
                <w:szCs w:val="18"/>
                <w:b w:val="1"/>
                <w:bCs w:val="1"/>
                <w:color w:val="auto"/>
              </w:rPr>
              <w:t>60607</w:t>
            </w:r>
          </w:p>
        </w:tc>
      </w:tr>
      <w:tr>
        <w:trPr>
          <w:trHeight w:val="162"/>
        </w:trPr>
        <w:tc>
          <w:tcPr>
            <w:tcW w:w="2140" w:type="dxa"/>
            <w:vAlign w:val="bottom"/>
          </w:tcPr>
          <w:p>
            <w:pPr>
              <w:spacing w:after="0"/>
              <w:rPr>
                <w:sz w:val="14"/>
                <w:szCs w:val="14"/>
                <w:color w:val="auto"/>
              </w:rPr>
            </w:pPr>
          </w:p>
        </w:tc>
        <w:tc>
          <w:tcPr>
            <w:tcW w:w="5000" w:type="dxa"/>
            <w:vAlign w:val="bottom"/>
          </w:tcPr>
          <w:p>
            <w:pPr>
              <w:jc w:val="center"/>
              <w:ind w:right="1139"/>
              <w:spacing w:after="0"/>
              <w:rPr>
                <w:sz w:val="20"/>
                <w:szCs w:val="20"/>
                <w:color w:val="auto"/>
              </w:rPr>
            </w:pPr>
            <w:r>
              <w:rPr>
                <w:rFonts w:ascii="Arial" w:cs="Arial" w:eastAsia="Arial" w:hAnsi="Arial"/>
                <w:sz w:val="14"/>
                <w:szCs w:val="14"/>
                <w:b w:val="1"/>
                <w:bCs w:val="1"/>
                <w:color w:val="auto"/>
                <w:w w:val="91"/>
              </w:rPr>
              <w:t>(Address of principal executive offices)</w:t>
            </w:r>
          </w:p>
        </w:tc>
      </w:tr>
      <w:tr>
        <w:trPr>
          <w:trHeight w:val="186"/>
        </w:trPr>
        <w:tc>
          <w:tcPr>
            <w:tcW w:w="2140" w:type="dxa"/>
            <w:vAlign w:val="bottom"/>
          </w:tcPr>
          <w:p>
            <w:pPr>
              <w:spacing w:after="0"/>
              <w:rPr>
                <w:sz w:val="16"/>
                <w:szCs w:val="16"/>
                <w:color w:val="auto"/>
              </w:rPr>
            </w:pPr>
          </w:p>
        </w:tc>
        <w:tc>
          <w:tcPr>
            <w:tcW w:w="5000" w:type="dxa"/>
            <w:vAlign w:val="bottom"/>
          </w:tcPr>
          <w:p>
            <w:pPr>
              <w:jc w:val="center"/>
              <w:ind w:right="1139"/>
              <w:spacing w:after="0"/>
              <w:rPr>
                <w:sz w:val="20"/>
                <w:szCs w:val="20"/>
                <w:color w:val="auto"/>
              </w:rPr>
            </w:pPr>
            <w:r>
              <w:rPr>
                <w:rFonts w:ascii="Arial" w:cs="Arial" w:eastAsia="Arial" w:hAnsi="Arial"/>
                <w:sz w:val="14"/>
                <w:szCs w:val="14"/>
                <w:b w:val="1"/>
                <w:bCs w:val="1"/>
                <w:color w:val="auto"/>
                <w:w w:val="95"/>
              </w:rPr>
              <w:t>(Zip Code)</w:t>
            </w:r>
          </w:p>
        </w:tc>
      </w:tr>
      <w:tr>
        <w:trPr>
          <w:trHeight w:val="300"/>
        </w:trPr>
        <w:tc>
          <w:tcPr>
            <w:tcW w:w="2140" w:type="dxa"/>
            <w:vAlign w:val="bottom"/>
          </w:tcPr>
          <w:p>
            <w:pPr>
              <w:spacing w:after="0"/>
              <w:rPr>
                <w:sz w:val="24"/>
                <w:szCs w:val="24"/>
                <w:color w:val="auto"/>
              </w:rPr>
            </w:pPr>
          </w:p>
        </w:tc>
        <w:tc>
          <w:tcPr>
            <w:tcW w:w="5000" w:type="dxa"/>
            <w:vAlign w:val="bottom"/>
          </w:tcPr>
          <w:p>
            <w:pPr>
              <w:jc w:val="right"/>
              <w:ind w:right="2459"/>
              <w:spacing w:after="0"/>
              <w:rPr>
                <w:sz w:val="20"/>
                <w:szCs w:val="20"/>
                <w:color w:val="auto"/>
              </w:rPr>
            </w:pPr>
            <w:r>
              <w:rPr>
                <w:rFonts w:ascii="Arial" w:cs="Arial" w:eastAsia="Arial" w:hAnsi="Arial"/>
                <w:sz w:val="18"/>
                <w:szCs w:val="18"/>
                <w:b w:val="1"/>
                <w:bCs w:val="1"/>
                <w:color w:val="auto"/>
              </w:rPr>
              <w:t>(312) 583-8700</w:t>
            </w:r>
          </w:p>
        </w:tc>
      </w:tr>
      <w:tr>
        <w:trPr>
          <w:trHeight w:val="186"/>
        </w:trPr>
        <w:tc>
          <w:tcPr>
            <w:tcW w:w="2140" w:type="dxa"/>
            <w:vAlign w:val="bottom"/>
          </w:tcPr>
          <w:p>
            <w:pPr>
              <w:spacing w:after="0"/>
              <w:rPr>
                <w:sz w:val="16"/>
                <w:szCs w:val="16"/>
                <w:color w:val="auto"/>
              </w:rPr>
            </w:pPr>
          </w:p>
        </w:tc>
        <w:tc>
          <w:tcPr>
            <w:tcW w:w="5000" w:type="dxa"/>
            <w:vAlign w:val="bottom"/>
          </w:tcPr>
          <w:p>
            <w:pPr>
              <w:jc w:val="center"/>
              <w:ind w:right="1139"/>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161925</wp:posOffset>
            </wp:positionV>
            <wp:extent cx="1311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85" w:lineRule="exact"/>
        <w:rPr>
          <w:sz w:val="24"/>
          <w:szCs w:val="24"/>
          <w:color w:val="auto"/>
        </w:rPr>
      </w:pPr>
    </w:p>
    <w:p>
      <w:pPr>
        <w:ind w:right="160"/>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22" w:lineRule="exact"/>
        <w:rPr>
          <w:sz w:val="24"/>
          <w:szCs w:val="24"/>
          <w:color w:val="auto"/>
        </w:rPr>
      </w:pPr>
    </w:p>
    <w:p>
      <w:pPr>
        <w:spacing w:after="0" w:line="214"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22" w:lineRule="exact"/>
        <w:rPr>
          <w:sz w:val="24"/>
          <w:szCs w:val="24"/>
          <w:color w:val="auto"/>
        </w:rPr>
      </w:pPr>
    </w:p>
    <w:p>
      <w:pPr>
        <w:ind w:right="100"/>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3" w:lineRule="exact"/>
        <w:rPr>
          <w:sz w:val="24"/>
          <w:szCs w:val="24"/>
          <w:color w:val="auto"/>
        </w:rPr>
      </w:pPr>
    </w:p>
    <w:tbl>
      <w:tblPr>
        <w:tblLayout w:type="fixed"/>
        <w:tblInd w:w="40" w:type="dxa"/>
        <w:tblCellMar>
          <w:top w:w="0" w:type="dxa"/>
          <w:left w:w="0" w:type="dxa"/>
          <w:bottom w:w="0" w:type="dxa"/>
          <w:right w:w="0" w:type="dxa"/>
        </w:tblCellMar>
      </w:tblPr>
      <w:tr>
        <w:trPr>
          <w:trHeight w:val="269"/>
        </w:trPr>
        <w:tc>
          <w:tcPr>
            <w:tcW w:w="19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456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3280" w:type="dxa"/>
            <w:vAlign w:val="bottom"/>
          </w:tcPr>
          <w:p>
            <w:pPr>
              <w:ind w:left="860"/>
              <w:spacing w:after="0"/>
              <w:rPr>
                <w:sz w:val="20"/>
                <w:szCs w:val="20"/>
                <w:color w:val="auto"/>
              </w:rPr>
            </w:pPr>
            <w:r>
              <w:rPr>
                <w:rFonts w:ascii="Arial" w:cs="Arial" w:eastAsia="Arial" w:hAnsi="Arial"/>
                <w:sz w:val="17"/>
                <w:szCs w:val="17"/>
                <w:color w:val="auto"/>
              </w:rPr>
              <w:t>Accelerated filer</w:t>
            </w:r>
          </w:p>
        </w:tc>
        <w:tc>
          <w:tcPr>
            <w:tcW w:w="640" w:type="dxa"/>
            <w:vAlign w:val="bottom"/>
          </w:tcPr>
          <w:p>
            <w:pPr>
              <w:ind w:left="560"/>
              <w:spacing w:after="0"/>
              <w:rPr>
                <w:sz w:val="20"/>
                <w:szCs w:val="20"/>
                <w:color w:val="auto"/>
              </w:rPr>
            </w:pPr>
            <w:r>
              <w:rPr>
                <w:rFonts w:ascii="Arial" w:cs="Arial" w:eastAsia="Arial" w:hAnsi="Arial"/>
                <w:sz w:val="15"/>
                <w:szCs w:val="15"/>
                <w:color w:val="auto"/>
                <w:w w:val="71"/>
              </w:rPr>
              <w:t>o</w:t>
            </w:r>
          </w:p>
        </w:tc>
      </w:tr>
      <w:tr>
        <w:trPr>
          <w:trHeight w:val="358"/>
        </w:trPr>
        <w:tc>
          <w:tcPr>
            <w:tcW w:w="1940" w:type="dxa"/>
            <w:vAlign w:val="bottom"/>
          </w:tcPr>
          <w:p>
            <w:pPr>
              <w:spacing w:after="0"/>
              <w:rPr>
                <w:sz w:val="20"/>
                <w:szCs w:val="20"/>
                <w:color w:val="auto"/>
              </w:rPr>
            </w:pPr>
            <w:r>
              <w:rPr>
                <w:rFonts w:ascii="Arial" w:cs="Arial" w:eastAsia="Arial" w:hAnsi="Arial"/>
                <w:sz w:val="17"/>
                <w:szCs w:val="17"/>
                <w:color w:val="auto"/>
              </w:rPr>
              <w:t>Non-accelerated filer</w:t>
            </w:r>
          </w:p>
        </w:tc>
        <w:tc>
          <w:tcPr>
            <w:tcW w:w="4560" w:type="dxa"/>
            <w:vAlign w:val="bottom"/>
          </w:tcPr>
          <w:p>
            <w:pPr>
              <w:ind w:left="400"/>
              <w:spacing w:after="0"/>
              <w:rPr>
                <w:sz w:val="20"/>
                <w:szCs w:val="20"/>
                <w:color w:val="auto"/>
              </w:rPr>
            </w:pPr>
            <w:r>
              <w:rPr>
                <w:rFonts w:ascii="Arial" w:cs="Arial" w:eastAsia="Arial" w:hAnsi="Arial"/>
                <w:sz w:val="17"/>
                <w:szCs w:val="17"/>
                <w:color w:val="auto"/>
              </w:rPr>
              <w:t>o (Do not check if a smaller reporting company)</w:t>
            </w:r>
          </w:p>
        </w:tc>
        <w:tc>
          <w:tcPr>
            <w:tcW w:w="3280" w:type="dxa"/>
            <w:vAlign w:val="bottom"/>
          </w:tcPr>
          <w:p>
            <w:pPr>
              <w:ind w:left="860"/>
              <w:spacing w:after="0"/>
              <w:rPr>
                <w:sz w:val="20"/>
                <w:szCs w:val="20"/>
                <w:color w:val="auto"/>
              </w:rPr>
            </w:pPr>
            <w:r>
              <w:rPr>
                <w:rFonts w:ascii="Arial" w:cs="Arial" w:eastAsia="Arial" w:hAnsi="Arial"/>
                <w:sz w:val="17"/>
                <w:szCs w:val="17"/>
                <w:color w:val="auto"/>
              </w:rPr>
              <w:t>Smaller reporting company</w:t>
            </w:r>
          </w:p>
        </w:tc>
        <w:tc>
          <w:tcPr>
            <w:tcW w:w="640" w:type="dxa"/>
            <w:vAlign w:val="bottom"/>
          </w:tcPr>
          <w:p>
            <w:pPr>
              <w:ind w:left="560"/>
              <w:spacing w:after="0"/>
              <w:rPr>
                <w:sz w:val="20"/>
                <w:szCs w:val="20"/>
                <w:color w:val="auto"/>
              </w:rPr>
            </w:pPr>
            <w:r>
              <w:rPr>
                <w:rFonts w:ascii="Arial" w:cs="Arial" w:eastAsia="Arial" w:hAnsi="Arial"/>
                <w:sz w:val="15"/>
                <w:szCs w:val="15"/>
                <w:color w:val="auto"/>
                <w:w w:val="71"/>
              </w:rPr>
              <w:t>o</w:t>
            </w:r>
          </w:p>
        </w:tc>
      </w:tr>
      <w:tr>
        <w:trPr>
          <w:trHeight w:val="392"/>
        </w:trPr>
        <w:tc>
          <w:tcPr>
            <w:tcW w:w="19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280" w:type="dxa"/>
            <w:vAlign w:val="bottom"/>
          </w:tcPr>
          <w:p>
            <w:pPr>
              <w:ind w:left="860"/>
              <w:spacing w:after="0"/>
              <w:rPr>
                <w:sz w:val="20"/>
                <w:szCs w:val="20"/>
                <w:color w:val="auto"/>
              </w:rPr>
            </w:pPr>
            <w:r>
              <w:rPr>
                <w:rFonts w:ascii="Arial" w:cs="Arial" w:eastAsia="Arial" w:hAnsi="Arial"/>
                <w:sz w:val="17"/>
                <w:szCs w:val="17"/>
                <w:color w:val="auto"/>
              </w:rPr>
              <w:t>Emerging growth company</w:t>
            </w:r>
          </w:p>
        </w:tc>
        <w:tc>
          <w:tcPr>
            <w:tcW w:w="640" w:type="dxa"/>
            <w:vAlign w:val="bottom"/>
          </w:tcPr>
          <w:p>
            <w:pPr>
              <w:ind w:left="560"/>
              <w:spacing w:after="0"/>
              <w:rPr>
                <w:sz w:val="20"/>
                <w:szCs w:val="20"/>
                <w:color w:val="auto"/>
              </w:rPr>
            </w:pPr>
            <w:r>
              <w:rPr>
                <w:rFonts w:ascii="Arial" w:cs="Arial" w:eastAsia="Arial" w:hAnsi="Arial"/>
                <w:sz w:val="15"/>
                <w:szCs w:val="15"/>
                <w:color w:val="auto"/>
                <w:w w:val="71"/>
              </w:rPr>
              <w:t>o</w:t>
            </w:r>
          </w:p>
        </w:tc>
      </w:tr>
    </w:tbl>
    <w:p>
      <w:pPr>
        <w:spacing w:after="0" w:line="67" w:lineRule="exact"/>
        <w:rPr>
          <w:sz w:val="24"/>
          <w:szCs w:val="24"/>
          <w:color w:val="auto"/>
        </w:rPr>
      </w:pPr>
    </w:p>
    <w:p>
      <w:pPr>
        <w:ind w:right="160"/>
        <w:spacing w:after="0" w:line="270"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spacing w:after="0" w:line="196" w:lineRule="exact"/>
        <w:tabs>
          <w:tab w:leader="none" w:pos="7920" w:val="left"/>
          <w:tab w:leader="none" w:pos="85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Yes o</w:t>
        <w:tab/>
        <w:t xml:space="preserve">No </w:t>
      </w:r>
      <w:r>
        <w:rPr>
          <w:rFonts w:ascii="MS PGothic" w:cs="MS PGothic" w:eastAsia="MS PGothic" w:hAnsi="MS PGothic"/>
          <w:sz w:val="17"/>
          <w:szCs w:val="17"/>
          <w:color w:val="auto"/>
        </w:rPr>
        <w:t>☒</w:t>
      </w:r>
    </w:p>
    <w:p>
      <w:pPr>
        <w:spacing w:after="0" w:line="107"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75" w:lineRule="exact"/>
        <w:rPr>
          <w:sz w:val="24"/>
          <w:szCs w:val="24"/>
          <w:color w:val="auto"/>
        </w:rPr>
      </w:pPr>
    </w:p>
    <w:p>
      <w:pPr>
        <w:spacing w:after="0"/>
        <w:rPr>
          <w:sz w:val="20"/>
          <w:szCs w:val="20"/>
          <w:color w:val="auto"/>
        </w:rPr>
      </w:pPr>
      <w:r>
        <w:rPr>
          <w:rFonts w:ascii="Arial" w:cs="Arial" w:eastAsia="Arial" w:hAnsi="Arial"/>
          <w:sz w:val="17"/>
          <w:szCs w:val="17"/>
          <w:color w:val="auto"/>
        </w:rPr>
        <w:t>As of October 26, 2017, 22,129,393 shares of the registrant’s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187325</wp:posOffset>
            </wp:positionV>
            <wp:extent cx="67576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101600</wp:posOffset>
            </wp:positionV>
            <wp:extent cx="67576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5767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34290</wp:posOffset>
            </wp:positionV>
            <wp:extent cx="6869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246"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HURON CONSULTING GROUP INC.</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8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9"/>
        </w:trPr>
        <w:tc>
          <w:tcPr>
            <w:tcW w:w="2340" w:type="dxa"/>
            <w:vAlign w:val="bottom"/>
            <w:tcBorders>
              <w:bottom w:val="single" w:sz="8" w:color="0000EE"/>
            </w:tcBorders>
            <w:gridSpan w:val="5"/>
          </w:tcPr>
          <w:p>
            <w:pPr>
              <w:spacing w:after="0" w:line="189" w:lineRule="exact"/>
              <w:rPr>
                <w:rFonts w:ascii="Arial" w:cs="Arial" w:eastAsia="Arial" w:hAnsi="Arial"/>
                <w:sz w:val="18"/>
                <w:szCs w:val="18"/>
                <w:b w:val="1"/>
                <w:bCs w:val="1"/>
                <w:color w:val="0000EE"/>
                <w:w w:val="93"/>
              </w:rPr>
            </w:pPr>
            <w:hyperlink w:anchor="page3">
              <w:r>
                <w:rPr>
                  <w:rFonts w:ascii="Arial" w:cs="Arial" w:eastAsia="Arial" w:hAnsi="Arial"/>
                  <w:sz w:val="18"/>
                  <w:szCs w:val="18"/>
                  <w:b w:val="1"/>
                  <w:bCs w:val="1"/>
                  <w:color w:val="0000EE"/>
                  <w:w w:val="93"/>
                </w:rPr>
                <w:t>Part I – Financial Information</w:t>
              </w:r>
            </w:hyperlink>
          </w:p>
        </w:tc>
        <w:tc>
          <w:tcPr>
            <w:tcW w:w="7580" w:type="dxa"/>
            <w:vAlign w:val="bottom"/>
            <w:gridSpan w:val="12"/>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1.</w:t>
            </w:r>
          </w:p>
        </w:tc>
        <w:tc>
          <w:tcPr>
            <w:tcW w:w="34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Financial Statements (Unaudited)</w:t>
              </w:r>
            </w:hyperlink>
          </w:p>
        </w:tc>
        <w:tc>
          <w:tcPr>
            <w:tcW w:w="5300" w:type="dxa"/>
            <w:vAlign w:val="bottom"/>
            <w:gridSpan w:val="5"/>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86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32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and Other Comprehensive Income</w:t>
              </w:r>
            </w:hyperlink>
          </w:p>
        </w:tc>
        <w:tc>
          <w:tcPr>
            <w:tcW w:w="3380" w:type="dxa"/>
            <w:vAlign w:val="bottom"/>
            <w:gridSpan w:val="2"/>
          </w:tcPr>
          <w:p>
            <w:pPr>
              <w:spacing w:after="0"/>
              <w:rPr>
                <w:sz w:val="21"/>
                <w:szCs w:val="21"/>
                <w:color w:val="auto"/>
              </w:rPr>
            </w:pPr>
          </w:p>
        </w:tc>
        <w:tc>
          <w:tcPr>
            <w:tcW w:w="7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 of Stockholders’ Equity</w:t>
              </w:r>
            </w:hyperlink>
          </w:p>
        </w:tc>
        <w:tc>
          <w:tcPr>
            <w:tcW w:w="5240" w:type="dxa"/>
            <w:vAlign w:val="bottom"/>
            <w:gridSpan w:val="4"/>
          </w:tcPr>
          <w:p>
            <w:pPr>
              <w:spacing w:after="0"/>
              <w:rPr>
                <w:sz w:val="21"/>
                <w:szCs w:val="21"/>
                <w:color w:val="auto"/>
              </w:rPr>
            </w:pPr>
          </w:p>
        </w:tc>
        <w:tc>
          <w:tcPr>
            <w:tcW w:w="7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86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w:t>
              </w:r>
            </w:hyperlink>
          </w:p>
        </w:tc>
        <w:tc>
          <w:tcPr>
            <w:tcW w:w="86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2.</w:t>
            </w:r>
          </w:p>
        </w:tc>
        <w:tc>
          <w:tcPr>
            <w:tcW w:w="6440" w:type="dxa"/>
            <w:vAlign w:val="bottom"/>
            <w:gridSpan w:val="14"/>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Management’s Discussion and Analysis of Financial Condition and Results of Operations</w:t>
              </w:r>
            </w:hyperlink>
          </w:p>
        </w:tc>
        <w:tc>
          <w:tcPr>
            <w:tcW w:w="2260" w:type="dxa"/>
            <w:vAlign w:val="bottom"/>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28</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3.</w:t>
            </w:r>
          </w:p>
        </w:tc>
        <w:tc>
          <w:tcPr>
            <w:tcW w:w="4320" w:type="dxa"/>
            <w:vAlign w:val="bottom"/>
            <w:gridSpan w:val="12"/>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Quantitative and Qualitative Disclosures About Market Risk</w:t>
              </w:r>
            </w:hyperlink>
          </w:p>
        </w:tc>
        <w:tc>
          <w:tcPr>
            <w:tcW w:w="2120" w:type="dxa"/>
            <w:vAlign w:val="bottom"/>
            <w:gridSpan w:val="2"/>
          </w:tcPr>
          <w:p>
            <w:pPr>
              <w:spacing w:after="0"/>
              <w:rPr>
                <w:sz w:val="24"/>
                <w:szCs w:val="24"/>
                <w:color w:val="auto"/>
              </w:rPr>
            </w:pPr>
          </w:p>
        </w:tc>
        <w:tc>
          <w:tcPr>
            <w:tcW w:w="2260" w:type="dxa"/>
            <w:vAlign w:val="bottom"/>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4380" w:type="dxa"/>
            <w:vAlign w:val="bottom"/>
            <w:tcBorders>
              <w:left w:val="single" w:sz="8" w:color="0000EE"/>
            </w:tcBorders>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4.</w:t>
            </w:r>
          </w:p>
        </w:tc>
        <w:tc>
          <w:tcPr>
            <w:tcW w:w="4320" w:type="dxa"/>
            <w:vAlign w:val="bottom"/>
            <w:gridSpan w:val="12"/>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Controls and Procedures</w:t>
              </w:r>
            </w:hyperlink>
          </w:p>
        </w:tc>
        <w:tc>
          <w:tcPr>
            <w:tcW w:w="4380" w:type="dxa"/>
            <w:vAlign w:val="bottom"/>
            <w:gridSpan w:val="3"/>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55">
              <w:r>
                <w:rPr>
                  <w:rFonts w:ascii="Arial" w:cs="Arial" w:eastAsia="Arial" w:hAnsi="Arial"/>
                  <w:sz w:val="18"/>
                  <w:szCs w:val="18"/>
                  <w:color w:val="0000EE"/>
                </w:rPr>
                <w:t>52</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920" w:type="dxa"/>
            <w:vAlign w:val="bottom"/>
            <w:gridSpan w:val="17"/>
          </w:tcPr>
          <w:p>
            <w:pPr>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Part II – Other Information</w:t>
              </w:r>
            </w:hyperlink>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1.</w:t>
            </w:r>
          </w:p>
        </w:tc>
        <w:tc>
          <w:tcPr>
            <w:tcW w:w="1300" w:type="dxa"/>
            <w:vAlign w:val="bottom"/>
            <w:gridSpan w:val="4"/>
          </w:tcPr>
          <w:p>
            <w:pPr>
              <w:spacing w:after="0"/>
              <w:rPr>
                <w:rFonts w:ascii="Arial" w:cs="Arial" w:eastAsia="Arial" w:hAnsi="Arial"/>
                <w:sz w:val="18"/>
                <w:szCs w:val="18"/>
                <w:color w:val="0000EE"/>
                <w:w w:val="84"/>
              </w:rPr>
            </w:pPr>
            <w:hyperlink w:anchor="page55">
              <w:r>
                <w:rPr>
                  <w:rFonts w:ascii="Arial" w:cs="Arial" w:eastAsia="Arial" w:hAnsi="Arial"/>
                  <w:sz w:val="18"/>
                  <w:szCs w:val="18"/>
                  <w:color w:val="0000EE"/>
                  <w:w w:val="84"/>
                </w:rPr>
                <w:t>Legal Proceedings</w:t>
              </w:r>
            </w:hyperlink>
          </w:p>
        </w:tc>
        <w:tc>
          <w:tcPr>
            <w:tcW w:w="7400" w:type="dxa"/>
            <w:vAlign w:val="bottom"/>
            <w:gridSpan w:val="11"/>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55">
              <w:r>
                <w:rPr>
                  <w:rFonts w:ascii="Arial" w:cs="Arial" w:eastAsia="Arial" w:hAnsi="Arial"/>
                  <w:sz w:val="18"/>
                  <w:szCs w:val="18"/>
                  <w:color w:val="0000EE"/>
                </w:rPr>
                <w:t>52</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1A.</w:t>
            </w:r>
          </w:p>
        </w:tc>
        <w:tc>
          <w:tcPr>
            <w:tcW w:w="1300" w:type="dxa"/>
            <w:vAlign w:val="bottom"/>
            <w:gridSpan w:val="4"/>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Risk Factors</w:t>
              </w:r>
            </w:hyperlink>
          </w:p>
        </w:tc>
        <w:tc>
          <w:tcPr>
            <w:tcW w:w="7400" w:type="dxa"/>
            <w:vAlign w:val="bottom"/>
            <w:gridSpan w:val="11"/>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55">
              <w:r>
                <w:rPr>
                  <w:rFonts w:ascii="Arial" w:cs="Arial" w:eastAsia="Arial" w:hAnsi="Arial"/>
                  <w:sz w:val="18"/>
                  <w:szCs w:val="18"/>
                  <w:color w:val="0000EE"/>
                </w:rPr>
                <w:t>52</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2.</w:t>
            </w:r>
          </w:p>
        </w:tc>
        <w:tc>
          <w:tcPr>
            <w:tcW w:w="8700" w:type="dxa"/>
            <w:vAlign w:val="bottom"/>
            <w:gridSpan w:val="15"/>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Unregistered Sales of Equity Securities and Use of Proceeds</w:t>
              </w:r>
            </w:hyperlink>
          </w:p>
        </w:tc>
        <w:tc>
          <w:tcPr>
            <w:tcW w:w="860" w:type="dxa"/>
            <w:vAlign w:val="bottom"/>
            <w:gridSpan w:val="4"/>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3.</w:t>
            </w:r>
          </w:p>
        </w:tc>
        <w:tc>
          <w:tcPr>
            <w:tcW w:w="4320" w:type="dxa"/>
            <w:vAlign w:val="bottom"/>
            <w:gridSpan w:val="12"/>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Defaults Upon Senior Securities</w:t>
              </w:r>
            </w:hyperlink>
          </w:p>
        </w:tc>
        <w:tc>
          <w:tcPr>
            <w:tcW w:w="4380" w:type="dxa"/>
            <w:vAlign w:val="bottom"/>
            <w:gridSpan w:val="3"/>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640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4.</w:t>
            </w:r>
          </w:p>
        </w:tc>
        <w:tc>
          <w:tcPr>
            <w:tcW w:w="2300" w:type="dxa"/>
            <w:vAlign w:val="bottom"/>
            <w:gridSpan w:val="7"/>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Mine Safety Disclosures</w:t>
              </w:r>
            </w:hyperlink>
          </w:p>
        </w:tc>
        <w:tc>
          <w:tcPr>
            <w:tcW w:w="6400" w:type="dxa"/>
            <w:vAlign w:val="bottom"/>
            <w:gridSpan w:val="8"/>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696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5.</w:t>
            </w:r>
          </w:p>
        </w:tc>
        <w:tc>
          <w:tcPr>
            <w:tcW w:w="1300" w:type="dxa"/>
            <w:vAlign w:val="bottom"/>
            <w:gridSpan w:val="4"/>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Other Information</w:t>
              </w:r>
            </w:hyperlink>
          </w:p>
        </w:tc>
        <w:tc>
          <w:tcPr>
            <w:tcW w:w="440" w:type="dxa"/>
            <w:vAlign w:val="bottom"/>
          </w:tcPr>
          <w:p>
            <w:pPr>
              <w:spacing w:after="0"/>
              <w:rPr>
                <w:sz w:val="24"/>
                <w:szCs w:val="24"/>
                <w:color w:val="auto"/>
              </w:rPr>
            </w:pPr>
          </w:p>
        </w:tc>
        <w:tc>
          <w:tcPr>
            <w:tcW w:w="6960" w:type="dxa"/>
            <w:vAlign w:val="bottom"/>
            <w:gridSpan w:val="10"/>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740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6.</w:t>
            </w:r>
          </w:p>
        </w:tc>
        <w:tc>
          <w:tcPr>
            <w:tcW w:w="1300" w:type="dxa"/>
            <w:vAlign w:val="bottom"/>
            <w:gridSpan w:val="4"/>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Exhibits</w:t>
              </w:r>
            </w:hyperlink>
          </w:p>
        </w:tc>
        <w:tc>
          <w:tcPr>
            <w:tcW w:w="7400" w:type="dxa"/>
            <w:vAlign w:val="bottom"/>
            <w:gridSpan w:val="11"/>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55</w:t>
              </w:r>
            </w:hyperlink>
          </w:p>
        </w:tc>
        <w:tc>
          <w:tcPr>
            <w:tcW w:w="0" w:type="dxa"/>
            <w:vAlign w:val="bottom"/>
          </w:tcPr>
          <w:p>
            <w:pPr>
              <w:spacing w:after="0"/>
              <w:rPr>
                <w:sz w:val="1"/>
                <w:szCs w:val="1"/>
                <w:color w:val="auto"/>
              </w:rPr>
            </w:pPr>
          </w:p>
        </w:tc>
      </w:tr>
      <w:tr>
        <w:trPr>
          <w:trHeight w:val="20"/>
        </w:trPr>
        <w:tc>
          <w:tcPr>
            <w:tcW w:w="1220" w:type="dxa"/>
            <w:vAlign w:val="bottom"/>
            <w:gridSpan w:val="2"/>
            <w:vMerge w:val="restart"/>
          </w:tcPr>
          <w:p>
            <w:pPr>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Signature</w:t>
              </w:r>
            </w:hyperlink>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56</w:t>
              </w:r>
            </w:hyperlink>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820"/>
          </w:cols>
          <w:pgMar w:left="240" w:top="125" w:right="8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ind w:left="5220"/>
              <w:spacing w:after="0"/>
              <w:rPr>
                <w:sz w:val="20"/>
                <w:szCs w:val="20"/>
                <w:color w:val="auto"/>
              </w:rPr>
            </w:pPr>
            <w:r>
              <w:rPr>
                <w:rFonts w:ascii="Arial" w:cs="Arial" w:eastAsia="Arial" w:hAnsi="Arial"/>
                <w:sz w:val="18"/>
                <w:szCs w:val="18"/>
                <w:b w:val="1"/>
                <w:bCs w:val="1"/>
                <w:color w:val="auto"/>
              </w:rPr>
              <w:t>(Unaudited)</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8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17,027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Receivables from clients, 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94,025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94,246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Unbilled services,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51,290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Income tax receivable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4,018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4,211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13,308</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187,241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180,082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32,434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taxes, 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15,159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34,675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26,149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24,814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81,348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689,375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799,862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1,077,797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1,153,215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10,259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7,273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19,788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payroll and related benefits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62,451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82,669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contingent consideration for business acquisitions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revenues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25,495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24,053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128,794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135,768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compensation and other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24,171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contingent consideration for business acquisitions, net of current portion</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14,726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6,842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374,328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292,065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lease incentives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15,236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10,703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 net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35,633</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non-current liabilities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424,626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369,414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Common stock; $0.01 par value; 500,000,000 shares authorized; 24,560,468 and 24,126,118 shares issued at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2017 and December 31, 2016,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w w:val="98"/>
              </w:rPr>
              <w:t>Treasury stock, at cost, 2,428,971 and 2,408,343 shares at September 30, 2017 and December 31, 2016,</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(121,395)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(113,195)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431,211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405,895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210,543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351,483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3,615</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524,377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648,033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1,077,797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1,153,215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5" w:right="239" w:bottom="8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5" w:right="239" w:bottom="8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OTHER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7"/>
                <w:szCs w:val="17"/>
                <w:b w:val="1"/>
                <w:bCs w:val="1"/>
                <w:color w:val="auto"/>
                <w:w w:val="91"/>
              </w:rPr>
              <w:t>Three Months Ended</w:t>
            </w:r>
          </w:p>
        </w:tc>
        <w:tc>
          <w:tcPr>
            <w:tcW w:w="280" w:type="dxa"/>
            <w:vAlign w:val="bottom"/>
          </w:tcPr>
          <w:p>
            <w:pPr>
              <w:spacing w:after="0"/>
              <w:rPr>
                <w:sz w:val="17"/>
                <w:szCs w:val="17"/>
                <w:color w:val="auto"/>
              </w:rPr>
            </w:pPr>
          </w:p>
        </w:tc>
        <w:tc>
          <w:tcPr>
            <w:tcW w:w="2340" w:type="dxa"/>
            <w:vAlign w:val="bottom"/>
            <w:gridSpan w:val="4"/>
          </w:tcPr>
          <w:p>
            <w:pPr>
              <w:jc w:val="right"/>
              <w:ind w:right="475"/>
              <w:spacing w:after="0"/>
              <w:rPr>
                <w:sz w:val="20"/>
                <w:szCs w:val="20"/>
                <w:color w:val="auto"/>
              </w:rPr>
            </w:pPr>
            <w:r>
              <w:rPr>
                <w:rFonts w:ascii="Arial" w:cs="Arial" w:eastAsia="Arial" w:hAnsi="Arial"/>
                <w:sz w:val="17"/>
                <w:szCs w:val="17"/>
                <w:b w:val="1"/>
                <w:bCs w:val="1"/>
                <w:color w:val="auto"/>
              </w:rPr>
              <w:t>Nine Months Ended</w:t>
            </w:r>
          </w:p>
        </w:tc>
      </w:tr>
      <w:tr>
        <w:trPr>
          <w:trHeight w:val="222"/>
        </w:trPr>
        <w:tc>
          <w:tcPr>
            <w:tcW w:w="6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7"/>
                <w:szCs w:val="17"/>
                <w:b w:val="1"/>
                <w:bCs w:val="1"/>
                <w:color w:val="auto"/>
                <w:w w:val="91"/>
              </w:rPr>
              <w:t>September 30,</w:t>
            </w:r>
          </w:p>
        </w:tc>
        <w:tc>
          <w:tcPr>
            <w:tcW w:w="280" w:type="dxa"/>
            <w:vAlign w:val="bottom"/>
          </w:tcPr>
          <w:p>
            <w:pPr>
              <w:spacing w:after="0"/>
              <w:rPr>
                <w:sz w:val="19"/>
                <w:szCs w:val="19"/>
                <w:color w:val="auto"/>
              </w:rPr>
            </w:pPr>
          </w:p>
        </w:tc>
        <w:tc>
          <w:tcPr>
            <w:tcW w:w="2340" w:type="dxa"/>
            <w:vAlign w:val="bottom"/>
            <w:gridSpan w:val="4"/>
          </w:tcPr>
          <w:p>
            <w:pPr>
              <w:jc w:val="right"/>
              <w:ind w:right="695"/>
              <w:spacing w:after="0"/>
              <w:rPr>
                <w:sz w:val="20"/>
                <w:szCs w:val="20"/>
                <w:color w:val="auto"/>
              </w:rPr>
            </w:pPr>
            <w:r>
              <w:rPr>
                <w:rFonts w:ascii="Arial" w:cs="Arial" w:eastAsia="Arial" w:hAnsi="Arial"/>
                <w:sz w:val="17"/>
                <w:szCs w:val="17"/>
                <w:b w:val="1"/>
                <w:bCs w:val="1"/>
                <w:color w:val="auto"/>
              </w:rPr>
              <w:t>September 30,</w:t>
            </w:r>
          </w:p>
        </w:tc>
      </w:tr>
      <w:tr>
        <w:trPr>
          <w:trHeight w:val="31"/>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3"/>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5"/>
              <w:spacing w:after="0"/>
              <w:rPr>
                <w:sz w:val="20"/>
                <w:szCs w:val="20"/>
                <w:color w:val="auto"/>
              </w:rPr>
            </w:pPr>
            <w:r>
              <w:rPr>
                <w:rFonts w:ascii="Arial" w:cs="Arial" w:eastAsia="Arial" w:hAnsi="Arial"/>
                <w:sz w:val="17"/>
                <w:szCs w:val="17"/>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5"/>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5"/>
              <w:spacing w:after="0"/>
              <w:rPr>
                <w:sz w:val="20"/>
                <w:szCs w:val="20"/>
                <w:color w:val="auto"/>
              </w:rPr>
            </w:pPr>
            <w:r>
              <w:rPr>
                <w:rFonts w:ascii="Arial" w:cs="Arial" w:eastAsia="Arial" w:hAnsi="Arial"/>
                <w:sz w:val="17"/>
                <w:szCs w:val="17"/>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5"/>
              <w:spacing w:after="0"/>
              <w:rPr>
                <w:sz w:val="20"/>
                <w:szCs w:val="20"/>
                <w:color w:val="auto"/>
              </w:rPr>
            </w:pPr>
            <w:r>
              <w:rPr>
                <w:rFonts w:ascii="Arial" w:cs="Arial" w:eastAsia="Arial" w:hAnsi="Arial"/>
                <w:sz w:val="17"/>
                <w:szCs w:val="17"/>
                <w:b w:val="1"/>
                <w:bCs w:val="1"/>
                <w:color w:val="auto"/>
              </w:rPr>
              <w:t>2016</w:t>
            </w:r>
          </w:p>
        </w:tc>
      </w:tr>
      <w:tr>
        <w:trPr>
          <w:trHeight w:val="31"/>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Revenues and reimbursable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9"/>
        </w:trPr>
        <w:tc>
          <w:tcPr>
            <w:tcW w:w="6060" w:type="dxa"/>
            <w:vAlign w:val="bottom"/>
          </w:tcPr>
          <w:p>
            <w:pPr>
              <w:ind w:left="40"/>
              <w:spacing w:after="0"/>
              <w:rPr>
                <w:sz w:val="20"/>
                <w:szCs w:val="20"/>
                <w:color w:val="auto"/>
              </w:rPr>
            </w:pPr>
            <w:r>
              <w:rPr>
                <w:rFonts w:ascii="Arial" w:cs="Arial" w:eastAsia="Arial" w:hAnsi="Arial"/>
                <w:sz w:val="17"/>
                <w:szCs w:val="17"/>
                <w:color w:val="auto"/>
              </w:rPr>
              <w:t>Revenues</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176,376</w:t>
            </w:r>
          </w:p>
        </w:tc>
        <w:tc>
          <w:tcPr>
            <w:tcW w:w="120" w:type="dxa"/>
            <w:vAlign w:val="bottom"/>
          </w:tcPr>
          <w:p>
            <w:pPr>
              <w:spacing w:after="0"/>
              <w:rPr>
                <w:sz w:val="20"/>
                <w:szCs w:val="20"/>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183,400</w:t>
            </w:r>
          </w:p>
        </w:tc>
        <w:tc>
          <w:tcPr>
            <w:tcW w:w="100" w:type="dxa"/>
            <w:vAlign w:val="bottom"/>
          </w:tcPr>
          <w:p>
            <w:pPr>
              <w:spacing w:after="0"/>
              <w:rPr>
                <w:sz w:val="20"/>
                <w:szCs w:val="20"/>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546,643</w:t>
            </w:r>
          </w:p>
        </w:tc>
        <w:tc>
          <w:tcPr>
            <w:tcW w:w="100" w:type="dxa"/>
            <w:vAlign w:val="bottom"/>
          </w:tcPr>
          <w:p>
            <w:pPr>
              <w:spacing w:after="0"/>
              <w:rPr>
                <w:sz w:val="20"/>
                <w:szCs w:val="20"/>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548,148</w:t>
            </w:r>
          </w:p>
        </w:tc>
      </w:tr>
      <w:tr>
        <w:trPr>
          <w:trHeight w:val="31"/>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Reimbursable expenses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17,982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19,093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55,862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54,636</w:t>
            </w:r>
          </w:p>
        </w:tc>
      </w:tr>
      <w:tr>
        <w:trPr>
          <w:trHeight w:val="219"/>
        </w:trPr>
        <w:tc>
          <w:tcPr>
            <w:tcW w:w="6060" w:type="dxa"/>
            <w:vAlign w:val="bottom"/>
          </w:tcPr>
          <w:p>
            <w:pPr>
              <w:ind w:left="380"/>
              <w:spacing w:after="0"/>
              <w:rPr>
                <w:sz w:val="20"/>
                <w:szCs w:val="20"/>
                <w:color w:val="auto"/>
              </w:rPr>
            </w:pPr>
            <w:r>
              <w:rPr>
                <w:rFonts w:ascii="Arial" w:cs="Arial" w:eastAsia="Arial" w:hAnsi="Arial"/>
                <w:sz w:val="17"/>
                <w:szCs w:val="17"/>
                <w:color w:val="auto"/>
              </w:rPr>
              <w:t>Total revenues and reimbursable expenses</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194,358</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202,493</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602,505</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602,784</w:t>
            </w:r>
          </w:p>
        </w:tc>
      </w:tr>
      <w:tr>
        <w:trPr>
          <w:trHeight w:val="31"/>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2"/>
        </w:trPr>
        <w:tc>
          <w:tcPr>
            <w:tcW w:w="606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w w:val="91"/>
              </w:rPr>
              <w:t xml:space="preserve">Direct costs and reimbursable expenses </w:t>
            </w:r>
            <w:r>
              <w:rPr>
                <w:rFonts w:ascii="Arial" w:cs="Arial" w:eastAsia="Arial" w:hAnsi="Arial"/>
                <w:sz w:val="17"/>
                <w:szCs w:val="17"/>
                <w:color w:val="auto"/>
                <w:w w:val="91"/>
              </w:rPr>
              <w:t>(exclusive of depreciation and amortization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shown in operating expenses):</w:t>
            </w: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r>
      <w:tr>
        <w:trPr>
          <w:trHeight w:val="239"/>
        </w:trPr>
        <w:tc>
          <w:tcPr>
            <w:tcW w:w="6060" w:type="dxa"/>
            <w:vAlign w:val="bottom"/>
          </w:tcPr>
          <w:p>
            <w:pPr>
              <w:ind w:left="40"/>
              <w:spacing w:after="0"/>
              <w:rPr>
                <w:sz w:val="20"/>
                <w:szCs w:val="20"/>
                <w:color w:val="auto"/>
              </w:rPr>
            </w:pPr>
            <w:r>
              <w:rPr>
                <w:rFonts w:ascii="Arial" w:cs="Arial" w:eastAsia="Arial" w:hAnsi="Arial"/>
                <w:sz w:val="17"/>
                <w:szCs w:val="17"/>
                <w:color w:val="auto"/>
              </w:rPr>
              <w:t>Direct costs</w:t>
            </w:r>
          </w:p>
        </w:tc>
        <w:tc>
          <w:tcPr>
            <w:tcW w:w="2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113,775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108,354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343,185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323,310</w:t>
            </w:r>
          </w:p>
        </w:tc>
      </w:tr>
      <w:tr>
        <w:trPr>
          <w:trHeight w:val="31"/>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Amortization of intangible assets and software development costs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4,052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8,388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11,278</w:t>
            </w:r>
          </w:p>
        </w:tc>
      </w:tr>
      <w:tr>
        <w:trPr>
          <w:trHeight w:val="239"/>
        </w:trPr>
        <w:tc>
          <w:tcPr>
            <w:tcW w:w="6060" w:type="dxa"/>
            <w:vAlign w:val="bottom"/>
          </w:tcPr>
          <w:p>
            <w:pPr>
              <w:ind w:left="40"/>
              <w:spacing w:after="0"/>
              <w:rPr>
                <w:sz w:val="20"/>
                <w:szCs w:val="20"/>
                <w:color w:val="auto"/>
              </w:rPr>
            </w:pPr>
            <w:r>
              <w:rPr>
                <w:rFonts w:ascii="Arial" w:cs="Arial" w:eastAsia="Arial" w:hAnsi="Arial"/>
                <w:sz w:val="17"/>
                <w:szCs w:val="17"/>
                <w:color w:val="auto"/>
              </w:rPr>
              <w:t>Reimbursable expenses</w:t>
            </w:r>
          </w:p>
        </w:tc>
        <w:tc>
          <w:tcPr>
            <w:tcW w:w="2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18,079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18,956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55,901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54,747</w:t>
            </w:r>
          </w:p>
        </w:tc>
      </w:tr>
      <w:tr>
        <w:trPr>
          <w:trHeight w:val="31"/>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Total direct costs and reimbursable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134,511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131,362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407,474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389,335</w:t>
            </w:r>
          </w:p>
        </w:tc>
      </w:tr>
      <w:tr>
        <w:trPr>
          <w:trHeight w:val="206"/>
        </w:trPr>
        <w:tc>
          <w:tcPr>
            <w:tcW w:w="6060" w:type="dxa"/>
            <w:vAlign w:val="bottom"/>
          </w:tcPr>
          <w:p>
            <w:pPr>
              <w:ind w:left="40"/>
              <w:spacing w:after="0"/>
              <w:rPr>
                <w:sz w:val="20"/>
                <w:szCs w:val="20"/>
                <w:color w:val="auto"/>
              </w:rPr>
            </w:pPr>
            <w:r>
              <w:rPr>
                <w:rFonts w:ascii="Arial" w:cs="Arial" w:eastAsia="Arial" w:hAnsi="Arial"/>
                <w:sz w:val="17"/>
                <w:szCs w:val="17"/>
                <w:b w:val="1"/>
                <w:bCs w:val="1"/>
                <w:color w:val="auto"/>
              </w:rPr>
              <w:t>Operating expenses and other losses (gains), net:</w:t>
            </w: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r>
      <w:tr>
        <w:trPr>
          <w:trHeight w:val="58"/>
        </w:trPr>
        <w:tc>
          <w:tcPr>
            <w:tcW w:w="60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Selling, 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41,576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38,256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132,137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119,937</w:t>
            </w:r>
          </w:p>
        </w:tc>
      </w:tr>
      <w:tr>
        <w:trPr>
          <w:trHeight w:val="239"/>
        </w:trPr>
        <w:tc>
          <w:tcPr>
            <w:tcW w:w="6060" w:type="dxa"/>
            <w:vAlign w:val="bottom"/>
          </w:tcPr>
          <w:p>
            <w:pPr>
              <w:ind w:left="40"/>
              <w:spacing w:after="0"/>
              <w:rPr>
                <w:sz w:val="20"/>
                <w:szCs w:val="20"/>
                <w:color w:val="auto"/>
              </w:rPr>
            </w:pPr>
            <w:r>
              <w:rPr>
                <w:rFonts w:ascii="Arial" w:cs="Arial" w:eastAsia="Arial" w:hAnsi="Arial"/>
                <w:sz w:val="17"/>
                <w:szCs w:val="17"/>
                <w:color w:val="auto"/>
              </w:rPr>
              <w:t>Restructuring charges</w:t>
            </w:r>
          </w:p>
        </w:tc>
        <w:tc>
          <w:tcPr>
            <w:tcW w:w="2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1,347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1,049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5,295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4,129</w:t>
            </w:r>
          </w:p>
        </w:tc>
      </w:tr>
      <w:tr>
        <w:trPr>
          <w:trHeight w:val="31"/>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losses (gains),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494</w:t>
            </w:r>
          </w:p>
        </w:tc>
      </w:tr>
      <w:tr>
        <w:trPr>
          <w:trHeight w:val="239"/>
        </w:trPr>
        <w:tc>
          <w:tcPr>
            <w:tcW w:w="6060" w:type="dxa"/>
            <w:vAlign w:val="bottom"/>
          </w:tcPr>
          <w:p>
            <w:pPr>
              <w:ind w:left="40"/>
              <w:spacing w:after="0"/>
              <w:rPr>
                <w:sz w:val="20"/>
                <w:szCs w:val="20"/>
                <w:color w:val="auto"/>
              </w:rPr>
            </w:pPr>
            <w:r>
              <w:rPr>
                <w:rFonts w:ascii="Arial" w:cs="Arial" w:eastAsia="Arial" w:hAnsi="Arial"/>
                <w:sz w:val="17"/>
                <w:szCs w:val="17"/>
                <w:color w:val="auto"/>
              </w:rPr>
              <w:t>Depreciation and amortization</w:t>
            </w:r>
          </w:p>
        </w:tc>
        <w:tc>
          <w:tcPr>
            <w:tcW w:w="2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9,946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8,092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28,549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23,064</w:t>
            </w:r>
          </w:p>
        </w:tc>
      </w:tr>
      <w:tr>
        <w:trPr>
          <w:trHeight w:val="31"/>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Goodwill impairment charge</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209,600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19"/>
        </w:trPr>
        <w:tc>
          <w:tcPr>
            <w:tcW w:w="6060" w:type="dxa"/>
            <w:vAlign w:val="bottom"/>
          </w:tcPr>
          <w:p>
            <w:pPr>
              <w:ind w:left="380"/>
              <w:spacing w:after="0"/>
              <w:rPr>
                <w:sz w:val="20"/>
                <w:szCs w:val="20"/>
                <w:color w:val="auto"/>
              </w:rPr>
            </w:pPr>
            <w:r>
              <w:rPr>
                <w:rFonts w:ascii="Arial" w:cs="Arial" w:eastAsia="Arial" w:hAnsi="Arial"/>
                <w:sz w:val="17"/>
                <w:szCs w:val="17"/>
                <w:color w:val="auto"/>
              </w:rPr>
              <w:t>Total operating expenses and other losses (gains), net</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53,749</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47,891</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375,359</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147,624</w:t>
            </w:r>
          </w:p>
        </w:tc>
      </w:tr>
      <w:tr>
        <w:trPr>
          <w:trHeight w:val="31"/>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income (loss)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6,098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23,240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(180,328)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65,825</w:t>
            </w:r>
          </w:p>
        </w:tc>
      </w:tr>
      <w:tr>
        <w:trPr>
          <w:trHeight w:val="226"/>
        </w:trPr>
        <w:tc>
          <w:tcPr>
            <w:tcW w:w="6060" w:type="dxa"/>
            <w:vAlign w:val="bottom"/>
          </w:tcPr>
          <w:p>
            <w:pPr>
              <w:ind w:left="40"/>
              <w:spacing w:after="0"/>
              <w:rPr>
                <w:sz w:val="20"/>
                <w:szCs w:val="20"/>
                <w:color w:val="auto"/>
              </w:rPr>
            </w:pPr>
            <w:r>
              <w:rPr>
                <w:rFonts w:ascii="Arial" w:cs="Arial" w:eastAsia="Arial" w:hAnsi="Arial"/>
                <w:sz w:val="17"/>
                <w:szCs w:val="17"/>
                <w:b w:val="1"/>
                <w:bCs w:val="1"/>
                <w:color w:val="auto"/>
              </w:rPr>
              <w:t>Other income (expense), net: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5"/>
        </w:trPr>
        <w:tc>
          <w:tcPr>
            <w:tcW w:w="6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Interest expense, net of 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(13,811)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(12,270)</w:t>
            </w:r>
          </w:p>
        </w:tc>
      </w:tr>
      <w:tr>
        <w:trPr>
          <w:trHeight w:val="239"/>
        </w:trPr>
        <w:tc>
          <w:tcPr>
            <w:tcW w:w="6060" w:type="dxa"/>
            <w:vAlign w:val="bottom"/>
          </w:tcPr>
          <w:p>
            <w:pPr>
              <w:ind w:left="40"/>
              <w:spacing w:after="0"/>
              <w:rPr>
                <w:sz w:val="20"/>
                <w:szCs w:val="20"/>
                <w:color w:val="auto"/>
              </w:rPr>
            </w:pPr>
            <w:r>
              <w:rPr>
                <w:rFonts w:ascii="Arial" w:cs="Arial" w:eastAsia="Arial" w:hAnsi="Arial"/>
                <w:sz w:val="17"/>
                <w:szCs w:val="17"/>
                <w:color w:val="auto"/>
              </w:rPr>
              <w:t>Other income, net</w:t>
            </w:r>
          </w:p>
        </w:tc>
        <w:tc>
          <w:tcPr>
            <w:tcW w:w="2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930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489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3,204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1,236</w:t>
            </w:r>
          </w:p>
        </w:tc>
      </w:tr>
      <w:tr>
        <w:trPr>
          <w:trHeight w:val="31"/>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Total other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(10,607)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(11,034)</w:t>
            </w:r>
          </w:p>
        </w:tc>
      </w:tr>
      <w:tr>
        <w:trPr>
          <w:trHeight w:val="219"/>
        </w:trPr>
        <w:tc>
          <w:tcPr>
            <w:tcW w:w="6060" w:type="dxa"/>
            <w:vAlign w:val="bottom"/>
          </w:tcPr>
          <w:p>
            <w:pPr>
              <w:ind w:left="40"/>
              <w:spacing w:after="0"/>
              <w:rPr>
                <w:sz w:val="20"/>
                <w:szCs w:val="20"/>
                <w:color w:val="auto"/>
              </w:rPr>
            </w:pPr>
            <w:r>
              <w:rPr>
                <w:rFonts w:ascii="Arial" w:cs="Arial" w:eastAsia="Arial" w:hAnsi="Arial"/>
                <w:sz w:val="17"/>
                <w:szCs w:val="17"/>
                <w:color w:val="auto"/>
              </w:rPr>
              <w:t>Income (loss) from continuing operations before income tax expense</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2,148</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19,553</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(190,935)</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54,791</w:t>
            </w:r>
          </w:p>
        </w:tc>
      </w:tr>
      <w:tr>
        <w:trPr>
          <w:trHeight w:val="31"/>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tax expense (benefit)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(1,984)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7,265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(49,740)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19,498</w:t>
            </w:r>
          </w:p>
        </w:tc>
      </w:tr>
      <w:tr>
        <w:trPr>
          <w:trHeight w:val="219"/>
        </w:trPr>
        <w:tc>
          <w:tcPr>
            <w:tcW w:w="6060" w:type="dxa"/>
            <w:vAlign w:val="bottom"/>
          </w:tcPr>
          <w:p>
            <w:pPr>
              <w:ind w:left="40"/>
              <w:spacing w:after="0"/>
              <w:rPr>
                <w:sz w:val="20"/>
                <w:szCs w:val="20"/>
                <w:color w:val="auto"/>
              </w:rPr>
            </w:pPr>
            <w:r>
              <w:rPr>
                <w:rFonts w:ascii="Arial" w:cs="Arial" w:eastAsia="Arial" w:hAnsi="Arial"/>
                <w:sz w:val="17"/>
                <w:szCs w:val="17"/>
                <w:color w:val="auto"/>
              </w:rPr>
              <w:t>Net income (loss) from continuing operations</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4,132</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12,288</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(141,195)</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35,293</w:t>
            </w:r>
          </w:p>
        </w:tc>
      </w:tr>
      <w:tr>
        <w:trPr>
          <w:trHeight w:val="31"/>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(loss) from discontinued operations, net of tax</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690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(1,830)</w:t>
            </w:r>
          </w:p>
        </w:tc>
      </w:tr>
      <w:tr>
        <w:trPr>
          <w:trHeight w:val="219"/>
        </w:trPr>
        <w:tc>
          <w:tcPr>
            <w:tcW w:w="6060" w:type="dxa"/>
            <w:vAlign w:val="bottom"/>
          </w:tcPr>
          <w:p>
            <w:pPr>
              <w:ind w:left="40"/>
              <w:spacing w:after="0"/>
              <w:rPr>
                <w:sz w:val="20"/>
                <w:szCs w:val="20"/>
                <w:color w:val="auto"/>
              </w:rPr>
            </w:pPr>
            <w:r>
              <w:rPr>
                <w:rFonts w:ascii="Arial" w:cs="Arial" w:eastAsia="Arial" w:hAnsi="Arial"/>
                <w:sz w:val="17"/>
                <w:szCs w:val="17"/>
                <w:color w:val="auto"/>
              </w:rPr>
              <w:t>Net income (loss)</w:t>
            </w:r>
          </w:p>
        </w:tc>
        <w:tc>
          <w:tcPr>
            <w:tcW w:w="2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4,370</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12,292</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(140,505)</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33,463</w:t>
            </w:r>
          </w:p>
        </w:tc>
      </w:tr>
      <w:tr>
        <w:trPr>
          <w:trHeight w:val="71"/>
        </w:trPr>
        <w:tc>
          <w:tcPr>
            <w:tcW w:w="60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r>
      <w:tr>
        <w:trPr>
          <w:trHeight w:val="179"/>
        </w:trPr>
        <w:tc>
          <w:tcPr>
            <w:tcW w:w="6060" w:type="dxa"/>
            <w:vAlign w:val="bottom"/>
            <w:shd w:val="clear" w:color="auto" w:fill="CCEEFF"/>
          </w:tcPr>
          <w:p>
            <w:pPr>
              <w:ind w:left="40"/>
              <w:spacing w:after="0" w:line="179" w:lineRule="exact"/>
              <w:rPr>
                <w:sz w:val="20"/>
                <w:szCs w:val="20"/>
                <w:color w:val="auto"/>
              </w:rPr>
            </w:pPr>
            <w:r>
              <w:rPr>
                <w:rFonts w:ascii="Arial" w:cs="Arial" w:eastAsia="Arial" w:hAnsi="Arial"/>
                <w:sz w:val="17"/>
                <w:szCs w:val="17"/>
                <w:color w:val="auto"/>
              </w:rPr>
              <w:t>Net earnings (loss) per basic share:</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72"/>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r>
      <w:tr>
        <w:trPr>
          <w:trHeight w:val="239"/>
        </w:trPr>
        <w:tc>
          <w:tcPr>
            <w:tcW w:w="6060" w:type="dxa"/>
            <w:vAlign w:val="bottom"/>
          </w:tcPr>
          <w:p>
            <w:pPr>
              <w:ind w:left="380"/>
              <w:spacing w:after="0"/>
              <w:rPr>
                <w:sz w:val="20"/>
                <w:szCs w:val="20"/>
                <w:color w:val="auto"/>
              </w:rPr>
            </w:pPr>
            <w:r>
              <w:rPr>
                <w:rFonts w:ascii="Arial" w:cs="Arial" w:eastAsia="Arial" w:hAnsi="Arial"/>
                <w:sz w:val="17"/>
                <w:szCs w:val="17"/>
                <w:color w:val="auto"/>
              </w:rPr>
              <w:t>Net income (loss) from continuing operations</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0.19</w:t>
            </w:r>
          </w:p>
        </w:tc>
        <w:tc>
          <w:tcPr>
            <w:tcW w:w="120" w:type="dxa"/>
            <w:vAlign w:val="bottom"/>
          </w:tcPr>
          <w:p>
            <w:pPr>
              <w:spacing w:after="0"/>
              <w:rPr>
                <w:sz w:val="20"/>
                <w:szCs w:val="20"/>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0.58</w:t>
            </w:r>
          </w:p>
        </w:tc>
        <w:tc>
          <w:tcPr>
            <w:tcW w:w="100" w:type="dxa"/>
            <w:vAlign w:val="bottom"/>
          </w:tcPr>
          <w:p>
            <w:pPr>
              <w:spacing w:after="0"/>
              <w:rPr>
                <w:sz w:val="20"/>
                <w:szCs w:val="20"/>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(6.59)</w:t>
            </w:r>
          </w:p>
        </w:tc>
        <w:tc>
          <w:tcPr>
            <w:tcW w:w="100" w:type="dxa"/>
            <w:vAlign w:val="bottom"/>
          </w:tcPr>
          <w:p>
            <w:pPr>
              <w:spacing w:after="0"/>
              <w:rPr>
                <w:sz w:val="20"/>
                <w:szCs w:val="20"/>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1.67</w:t>
            </w:r>
          </w:p>
        </w:tc>
      </w:tr>
      <w:tr>
        <w:trPr>
          <w:trHeight w:val="31"/>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Income (loss) from discontinued operations, net of tax</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0.03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(0.08)</w:t>
            </w:r>
          </w:p>
        </w:tc>
      </w:tr>
      <w:tr>
        <w:trPr>
          <w:trHeight w:val="219"/>
        </w:trPr>
        <w:tc>
          <w:tcPr>
            <w:tcW w:w="6060" w:type="dxa"/>
            <w:vAlign w:val="bottom"/>
          </w:tcPr>
          <w:p>
            <w:pPr>
              <w:ind w:left="380"/>
              <w:spacing w:after="0"/>
              <w:rPr>
                <w:sz w:val="20"/>
                <w:szCs w:val="20"/>
                <w:color w:val="auto"/>
              </w:rPr>
            </w:pPr>
            <w:r>
              <w:rPr>
                <w:rFonts w:ascii="Arial" w:cs="Arial" w:eastAsia="Arial" w:hAnsi="Arial"/>
                <w:sz w:val="17"/>
                <w:szCs w:val="17"/>
                <w:color w:val="auto"/>
              </w:rPr>
              <w:t>Net income (loss)</w:t>
            </w:r>
          </w:p>
        </w:tc>
        <w:tc>
          <w:tcPr>
            <w:tcW w:w="2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0.20</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0.58</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(6.56)</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1.59</w:t>
            </w:r>
          </w:p>
        </w:tc>
      </w:tr>
      <w:tr>
        <w:trPr>
          <w:trHeight w:val="71"/>
        </w:trPr>
        <w:tc>
          <w:tcPr>
            <w:tcW w:w="60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r>
      <w:tr>
        <w:trPr>
          <w:trHeight w:val="179"/>
        </w:trPr>
        <w:tc>
          <w:tcPr>
            <w:tcW w:w="6060" w:type="dxa"/>
            <w:vAlign w:val="bottom"/>
            <w:shd w:val="clear" w:color="auto" w:fill="CCEEFF"/>
          </w:tcPr>
          <w:p>
            <w:pPr>
              <w:ind w:left="40"/>
              <w:spacing w:after="0" w:line="179" w:lineRule="exact"/>
              <w:rPr>
                <w:sz w:val="20"/>
                <w:szCs w:val="20"/>
                <w:color w:val="auto"/>
              </w:rPr>
            </w:pPr>
            <w:r>
              <w:rPr>
                <w:rFonts w:ascii="Arial" w:cs="Arial" w:eastAsia="Arial" w:hAnsi="Arial"/>
                <w:sz w:val="17"/>
                <w:szCs w:val="17"/>
                <w:color w:val="auto"/>
              </w:rPr>
              <w:t>Net earnings (loss) per diluted share:</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72"/>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r>
      <w:tr>
        <w:trPr>
          <w:trHeight w:val="239"/>
        </w:trPr>
        <w:tc>
          <w:tcPr>
            <w:tcW w:w="6060" w:type="dxa"/>
            <w:vAlign w:val="bottom"/>
          </w:tcPr>
          <w:p>
            <w:pPr>
              <w:ind w:left="380"/>
              <w:spacing w:after="0"/>
              <w:rPr>
                <w:sz w:val="20"/>
                <w:szCs w:val="20"/>
                <w:color w:val="auto"/>
              </w:rPr>
            </w:pPr>
            <w:r>
              <w:rPr>
                <w:rFonts w:ascii="Arial" w:cs="Arial" w:eastAsia="Arial" w:hAnsi="Arial"/>
                <w:sz w:val="17"/>
                <w:szCs w:val="17"/>
                <w:color w:val="auto"/>
              </w:rPr>
              <w:t>Net income (loss) from continuing operations</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0.19</w:t>
            </w:r>
          </w:p>
        </w:tc>
        <w:tc>
          <w:tcPr>
            <w:tcW w:w="120" w:type="dxa"/>
            <w:vAlign w:val="bottom"/>
          </w:tcPr>
          <w:p>
            <w:pPr>
              <w:spacing w:after="0"/>
              <w:rPr>
                <w:sz w:val="20"/>
                <w:szCs w:val="20"/>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0.57</w:t>
            </w:r>
          </w:p>
        </w:tc>
        <w:tc>
          <w:tcPr>
            <w:tcW w:w="100" w:type="dxa"/>
            <w:vAlign w:val="bottom"/>
          </w:tcPr>
          <w:p>
            <w:pPr>
              <w:spacing w:after="0"/>
              <w:rPr>
                <w:sz w:val="20"/>
                <w:szCs w:val="20"/>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(6.59)</w:t>
            </w:r>
          </w:p>
        </w:tc>
        <w:tc>
          <w:tcPr>
            <w:tcW w:w="100" w:type="dxa"/>
            <w:vAlign w:val="bottom"/>
          </w:tcPr>
          <w:p>
            <w:pPr>
              <w:spacing w:after="0"/>
              <w:rPr>
                <w:sz w:val="20"/>
                <w:szCs w:val="20"/>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1.65</w:t>
            </w:r>
          </w:p>
        </w:tc>
      </w:tr>
      <w:tr>
        <w:trPr>
          <w:trHeight w:val="31"/>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Income (loss) from discontinued operations, net of tax</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0.03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(0.09)</w:t>
            </w:r>
          </w:p>
        </w:tc>
      </w:tr>
      <w:tr>
        <w:trPr>
          <w:trHeight w:val="219"/>
        </w:trPr>
        <w:tc>
          <w:tcPr>
            <w:tcW w:w="6060" w:type="dxa"/>
            <w:vAlign w:val="bottom"/>
          </w:tcPr>
          <w:p>
            <w:pPr>
              <w:ind w:left="380"/>
              <w:spacing w:after="0"/>
              <w:rPr>
                <w:sz w:val="20"/>
                <w:szCs w:val="20"/>
                <w:color w:val="auto"/>
              </w:rPr>
            </w:pPr>
            <w:r>
              <w:rPr>
                <w:rFonts w:ascii="Arial" w:cs="Arial" w:eastAsia="Arial" w:hAnsi="Arial"/>
                <w:sz w:val="17"/>
                <w:szCs w:val="17"/>
                <w:color w:val="auto"/>
              </w:rPr>
              <w:t>Net income (loss)</w:t>
            </w:r>
          </w:p>
        </w:tc>
        <w:tc>
          <w:tcPr>
            <w:tcW w:w="2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0.20</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0.57</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(6.56)</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1.56</w:t>
            </w:r>
          </w:p>
        </w:tc>
      </w:tr>
      <w:tr>
        <w:trPr>
          <w:trHeight w:val="71"/>
        </w:trPr>
        <w:tc>
          <w:tcPr>
            <w:tcW w:w="60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r>
      <w:tr>
        <w:trPr>
          <w:trHeight w:val="179"/>
        </w:trPr>
        <w:tc>
          <w:tcPr>
            <w:tcW w:w="6060" w:type="dxa"/>
            <w:vAlign w:val="bottom"/>
            <w:shd w:val="clear" w:color="auto" w:fill="CCEEFF"/>
          </w:tcPr>
          <w:p>
            <w:pPr>
              <w:ind w:left="40"/>
              <w:spacing w:after="0" w:line="179" w:lineRule="exact"/>
              <w:rPr>
                <w:sz w:val="20"/>
                <w:szCs w:val="20"/>
                <w:color w:val="auto"/>
              </w:rPr>
            </w:pPr>
            <w:r>
              <w:rPr>
                <w:rFonts w:ascii="Arial" w:cs="Arial" w:eastAsia="Arial" w:hAnsi="Arial"/>
                <w:sz w:val="17"/>
                <w:szCs w:val="17"/>
                <w:color w:val="auto"/>
              </w:rPr>
              <w:t>Weighted average shares used in calculating earnings per share:</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72"/>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r>
      <w:tr>
        <w:trPr>
          <w:trHeight w:val="239"/>
        </w:trPr>
        <w:tc>
          <w:tcPr>
            <w:tcW w:w="6060" w:type="dxa"/>
            <w:vAlign w:val="bottom"/>
          </w:tcPr>
          <w:p>
            <w:pPr>
              <w:ind w:left="380"/>
              <w:spacing w:after="0"/>
              <w:rPr>
                <w:sz w:val="20"/>
                <w:szCs w:val="20"/>
                <w:color w:val="auto"/>
              </w:rPr>
            </w:pPr>
            <w:r>
              <w:rPr>
                <w:rFonts w:ascii="Arial" w:cs="Arial" w:eastAsia="Arial" w:hAnsi="Arial"/>
                <w:sz w:val="17"/>
                <w:szCs w:val="17"/>
                <w:color w:val="auto"/>
              </w:rPr>
              <w:t>Basic</w:t>
            </w:r>
          </w:p>
        </w:tc>
        <w:tc>
          <w:tcPr>
            <w:tcW w:w="2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21,505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21,076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21,413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21,084</w:t>
            </w:r>
          </w:p>
        </w:tc>
      </w:tr>
      <w:tr>
        <w:trPr>
          <w:trHeight w:val="31"/>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21,622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21,445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21,413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21,427</w:t>
            </w:r>
          </w:p>
        </w:tc>
      </w:tr>
      <w:tr>
        <w:trPr>
          <w:trHeight w:val="239"/>
        </w:trPr>
        <w:tc>
          <w:tcPr>
            <w:tcW w:w="6060" w:type="dxa"/>
            <w:vAlign w:val="bottom"/>
          </w:tcPr>
          <w:p>
            <w:pPr>
              <w:ind w:left="40"/>
              <w:spacing w:after="0"/>
              <w:rPr>
                <w:sz w:val="20"/>
                <w:szCs w:val="20"/>
                <w:color w:val="auto"/>
              </w:rPr>
            </w:pPr>
            <w:r>
              <w:rPr>
                <w:rFonts w:ascii="Arial" w:cs="Arial" w:eastAsia="Arial" w:hAnsi="Arial"/>
                <w:sz w:val="17"/>
                <w:szCs w:val="17"/>
                <w:b w:val="1"/>
                <w:bCs w:val="1"/>
                <w:color w:val="auto"/>
              </w:rPr>
              <w:t>Comprehensive income (loss):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1"/>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(loss)</w:t>
            </w: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12,292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(140,505)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33,463</w:t>
            </w:r>
          </w:p>
        </w:tc>
      </w:tr>
      <w:tr>
        <w:trPr>
          <w:trHeight w:val="239"/>
        </w:trPr>
        <w:tc>
          <w:tcPr>
            <w:tcW w:w="6060" w:type="dxa"/>
            <w:vAlign w:val="bottom"/>
          </w:tcPr>
          <w:p>
            <w:pPr>
              <w:ind w:left="40"/>
              <w:spacing w:after="0"/>
              <w:rPr>
                <w:sz w:val="20"/>
                <w:szCs w:val="20"/>
                <w:color w:val="auto"/>
              </w:rPr>
            </w:pPr>
            <w:r>
              <w:rPr>
                <w:rFonts w:ascii="Arial" w:cs="Arial" w:eastAsia="Arial" w:hAnsi="Arial"/>
                <w:sz w:val="17"/>
                <w:szCs w:val="17"/>
                <w:color w:val="auto"/>
              </w:rPr>
              <w:t>Foreign currency translation adjustments, net of tax</w:t>
            </w:r>
          </w:p>
        </w:tc>
        <w:tc>
          <w:tcPr>
            <w:tcW w:w="2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609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1,835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52</w:t>
            </w:r>
          </w:p>
        </w:tc>
      </w:tr>
      <w:tr>
        <w:trPr>
          <w:trHeight w:val="31"/>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Unrealized loss on investment,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(1,163)</w:t>
            </w:r>
          </w:p>
        </w:tc>
      </w:tr>
      <w:tr>
        <w:trPr>
          <w:trHeight w:val="239"/>
        </w:trPr>
        <w:tc>
          <w:tcPr>
            <w:tcW w:w="6060" w:type="dxa"/>
            <w:vAlign w:val="bottom"/>
          </w:tcPr>
          <w:p>
            <w:pPr>
              <w:ind w:left="40"/>
              <w:spacing w:after="0"/>
              <w:rPr>
                <w:sz w:val="20"/>
                <w:szCs w:val="20"/>
                <w:color w:val="auto"/>
              </w:rPr>
            </w:pPr>
            <w:r>
              <w:rPr>
                <w:rFonts w:ascii="Arial" w:cs="Arial" w:eastAsia="Arial" w:hAnsi="Arial"/>
                <w:sz w:val="17"/>
                <w:szCs w:val="17"/>
                <w:color w:val="auto"/>
              </w:rPr>
              <w:t>Unrealized gain (loss) on cash flow hedging instruments, net of tax</w:t>
            </w:r>
          </w:p>
        </w:tc>
        <w:tc>
          <w:tcPr>
            <w:tcW w:w="2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121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31"/>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comprehensive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(1,138)</w:t>
            </w:r>
          </w:p>
        </w:tc>
      </w:tr>
      <w:tr>
        <w:trPr>
          <w:trHeight w:val="219"/>
        </w:trPr>
        <w:tc>
          <w:tcPr>
            <w:tcW w:w="6060" w:type="dxa"/>
            <w:vAlign w:val="bottom"/>
          </w:tcPr>
          <w:p>
            <w:pPr>
              <w:ind w:left="40"/>
              <w:spacing w:after="0"/>
              <w:rPr>
                <w:sz w:val="20"/>
                <w:szCs w:val="20"/>
                <w:color w:val="auto"/>
              </w:rPr>
            </w:pPr>
            <w:r>
              <w:rPr>
                <w:rFonts w:ascii="Arial" w:cs="Arial" w:eastAsia="Arial" w:hAnsi="Arial"/>
                <w:sz w:val="17"/>
                <w:szCs w:val="17"/>
                <w:color w:val="auto"/>
              </w:rPr>
              <w:t>Comprehensive income (loss)</w:t>
            </w:r>
          </w:p>
        </w:tc>
        <w:tc>
          <w:tcPr>
            <w:tcW w:w="2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2,802</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10,425</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(140,343)</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32,325</w:t>
            </w:r>
          </w:p>
        </w:tc>
      </w:tr>
      <w:tr>
        <w:trPr>
          <w:trHeight w:val="31"/>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5" w:right="239" w:bottom="11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5" w:right="239" w:bottom="111"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0" w:right="500"/>
        <w:spacing w:after="0" w:line="414" w:lineRule="auto"/>
        <w:rPr>
          <w:sz w:val="20"/>
          <w:szCs w:val="20"/>
          <w:color w:val="auto"/>
        </w:rPr>
      </w:pPr>
      <w:r>
        <w:rPr>
          <w:rFonts w:ascii="Arial" w:cs="Arial" w:eastAsia="Arial" w:hAnsi="Arial"/>
          <w:sz w:val="12"/>
          <w:szCs w:val="12"/>
          <w:b w:val="1"/>
          <w:bCs w:val="1"/>
          <w:color w:val="auto"/>
        </w:rPr>
        <w:t xml:space="preserve">Balance at December 31, 2016 </w:t>
      </w:r>
      <w:r>
        <w:rPr>
          <w:rFonts w:ascii="Arial" w:cs="Arial" w:eastAsia="Arial" w:hAnsi="Arial"/>
          <w:sz w:val="12"/>
          <w:szCs w:val="12"/>
          <w:color w:val="auto"/>
        </w:rPr>
        <w:t>Comprehensive income (loss)</w:t>
      </w:r>
    </w:p>
    <w:p>
      <w:pPr>
        <w:spacing w:after="0" w:line="1"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Issuance of common stock in connection with:</w:t>
      </w:r>
    </w:p>
    <w:p>
      <w:pPr>
        <w:spacing w:after="0" w:line="12" w:lineRule="exact"/>
        <w:rPr>
          <w:sz w:val="20"/>
          <w:szCs w:val="20"/>
          <w:color w:val="auto"/>
        </w:rPr>
      </w:pPr>
    </w:p>
    <w:p>
      <w:pPr>
        <w:ind w:left="380" w:right="220"/>
        <w:spacing w:after="0" w:line="253" w:lineRule="auto"/>
        <w:rPr>
          <w:sz w:val="20"/>
          <w:szCs w:val="20"/>
          <w:color w:val="auto"/>
        </w:rPr>
      </w:pPr>
      <w:r>
        <w:rPr>
          <w:rFonts w:ascii="Arial" w:cs="Arial" w:eastAsia="Arial" w:hAnsi="Arial"/>
          <w:sz w:val="14"/>
          <w:szCs w:val="14"/>
          <w:color w:val="auto"/>
        </w:rPr>
        <w:t>Restricted stock awards, net of cancellations</w:t>
      </w:r>
    </w:p>
    <w:p>
      <w:pPr>
        <w:spacing w:after="0" w:line="1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Business acquisition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Share-based compensation</w:t>
      </w:r>
    </w:p>
    <w:p>
      <w:pPr>
        <w:spacing w:after="0" w:line="109" w:lineRule="exact"/>
        <w:rPr>
          <w:sz w:val="20"/>
          <w:szCs w:val="20"/>
          <w:color w:val="auto"/>
        </w:rPr>
      </w:pPr>
    </w:p>
    <w:p>
      <w:pPr>
        <w:ind w:left="40" w:right="360"/>
        <w:spacing w:after="0" w:line="253" w:lineRule="auto"/>
        <w:rPr>
          <w:sz w:val="20"/>
          <w:szCs w:val="20"/>
          <w:color w:val="auto"/>
        </w:rPr>
      </w:pPr>
      <w:r>
        <w:rPr>
          <w:rFonts w:ascii="Arial" w:cs="Arial" w:eastAsia="Arial" w:hAnsi="Arial"/>
          <w:sz w:val="14"/>
          <w:szCs w:val="14"/>
          <w:color w:val="auto"/>
        </w:rPr>
        <w:t>Shares redeemed for employee tax withholdings</w:t>
      </w:r>
    </w:p>
    <w:p>
      <w:pPr>
        <w:spacing w:after="0" w:line="12" w:lineRule="exact"/>
        <w:rPr>
          <w:sz w:val="20"/>
          <w:szCs w:val="20"/>
          <w:color w:val="auto"/>
        </w:rPr>
      </w:pPr>
    </w:p>
    <w:p>
      <w:pPr>
        <w:ind w:left="40" w:right="320"/>
        <w:spacing w:after="0" w:line="253" w:lineRule="auto"/>
        <w:rPr>
          <w:sz w:val="20"/>
          <w:szCs w:val="20"/>
          <w:color w:val="auto"/>
        </w:rPr>
      </w:pPr>
      <w:r>
        <w:rPr>
          <w:rFonts w:ascii="Arial" w:cs="Arial" w:eastAsia="Arial" w:hAnsi="Arial"/>
          <w:sz w:val="14"/>
          <w:szCs w:val="14"/>
          <w:color w:val="auto"/>
        </w:rPr>
        <w:t>Cumulative-effect adjustment from adoption of ASU 2016-09</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September 30, 2017</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00" w:type="dxa"/>
            <w:vAlign w:val="bottom"/>
            <w:gridSpan w:val="5"/>
          </w:tcPr>
          <w:p>
            <w:pPr>
              <w:ind w:left="520"/>
              <w:spacing w:after="0"/>
              <w:rPr>
                <w:sz w:val="20"/>
                <w:szCs w:val="20"/>
                <w:color w:val="auto"/>
              </w:rPr>
            </w:pPr>
            <w:r>
              <w:rPr>
                <w:rFonts w:ascii="Arial" w:cs="Arial" w:eastAsia="Arial" w:hAnsi="Arial"/>
                <w:sz w:val="14"/>
                <w:szCs w:val="14"/>
                <w:b w:val="1"/>
                <w:bCs w:val="1"/>
                <w:color w:val="auto"/>
              </w:rPr>
              <w:t>Common Stock</w:t>
            </w:r>
          </w:p>
        </w:tc>
        <w:tc>
          <w:tcPr>
            <w:tcW w:w="2100" w:type="dxa"/>
            <w:vAlign w:val="bottom"/>
            <w:gridSpan w:val="5"/>
          </w:tcPr>
          <w:p>
            <w:pPr>
              <w:ind w:left="54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4"/>
                <w:szCs w:val="4"/>
                <w:color w:val="auto"/>
              </w:rPr>
            </w:pPr>
          </w:p>
        </w:tc>
        <w:tc>
          <w:tcPr>
            <w:tcW w:w="88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4"/>
                <w:szCs w:val="4"/>
                <w:color w:val="auto"/>
              </w:rPr>
            </w:pPr>
          </w:p>
        </w:tc>
        <w:tc>
          <w:tcPr>
            <w:tcW w:w="154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4"/>
                <w:szCs w:val="4"/>
                <w:color w:val="auto"/>
              </w:rPr>
            </w:pPr>
          </w:p>
        </w:tc>
        <w:tc>
          <w:tcPr>
            <w:tcW w:w="1000" w:type="dxa"/>
            <w:vAlign w:val="bottom"/>
            <w:vMerge w:val="restart"/>
          </w:tcPr>
          <w:p>
            <w:pPr>
              <w:jc w:val="right"/>
              <w:ind w:right="68"/>
              <w:spacing w:after="0" w:line="13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5"/>
        </w:trPr>
        <w:tc>
          <w:tcPr>
            <w:tcW w:w="11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5"/>
                <w:szCs w:val="5"/>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6"/>
                <w:szCs w:val="16"/>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4"/>
        </w:trPr>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23,478,016</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21"/>
                <w:szCs w:val="21"/>
                <w:color w:val="auto"/>
              </w:rPr>
            </w:pPr>
          </w:p>
        </w:tc>
        <w:tc>
          <w:tcPr>
            <w:tcW w:w="9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(2,420,913)</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(113,195)</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405,895</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351,483</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3,615</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648,033</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(140,505)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(140,343)</w:t>
            </w:r>
          </w:p>
        </w:tc>
        <w:tc>
          <w:tcPr>
            <w:tcW w:w="0" w:type="dxa"/>
            <w:vAlign w:val="bottom"/>
          </w:tcPr>
          <w:p>
            <w:pPr>
              <w:spacing w:after="0"/>
              <w:rPr>
                <w:sz w:val="1"/>
                <w:szCs w:val="1"/>
                <w:color w:val="auto"/>
              </w:rPr>
            </w:pPr>
          </w:p>
        </w:tc>
      </w:tr>
      <w:tr>
        <w:trPr>
          <w:trHeight w:val="702"/>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367,278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(56,315)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(3,750)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3,746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221,558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9,558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9,560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11,577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11,577</w:t>
            </w:r>
          </w:p>
        </w:tc>
        <w:tc>
          <w:tcPr>
            <w:tcW w:w="0" w:type="dxa"/>
            <w:vAlign w:val="bottom"/>
          </w:tcPr>
          <w:p>
            <w:pPr>
              <w:spacing w:after="0"/>
              <w:rPr>
                <w:sz w:val="1"/>
                <w:szCs w:val="1"/>
                <w:color w:val="auto"/>
              </w:rPr>
            </w:pPr>
          </w:p>
        </w:tc>
      </w:tr>
      <w:tr>
        <w:trPr>
          <w:trHeight w:val="351"/>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(102,179)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(4,450)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(4,450)</w:t>
            </w:r>
          </w:p>
        </w:tc>
        <w:tc>
          <w:tcPr>
            <w:tcW w:w="0" w:type="dxa"/>
            <w:vAlign w:val="bottom"/>
          </w:tcPr>
          <w:p>
            <w:pPr>
              <w:spacing w:after="0"/>
              <w:rPr>
                <w:sz w:val="1"/>
                <w:szCs w:val="1"/>
                <w:color w:val="auto"/>
              </w:rPr>
            </w:pPr>
          </w:p>
        </w:tc>
      </w:tr>
      <w:tr>
        <w:trPr>
          <w:trHeight w:val="357"/>
        </w:trPr>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435</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24,066,852</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(2,579,407)</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(121,395)</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431,211</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210,543</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3,777</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524,377</w:t>
            </w:r>
          </w:p>
        </w:tc>
        <w:tc>
          <w:tcPr>
            <w:tcW w:w="0" w:type="dxa"/>
            <w:vAlign w:val="bottom"/>
          </w:tcPr>
          <w:p>
            <w:pPr>
              <w:spacing w:after="0"/>
              <w:rPr>
                <w:sz w:val="1"/>
                <w:szCs w:val="1"/>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-1765935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-1423035</wp:posOffset>
            </wp:positionV>
            <wp:extent cx="724662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-977265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-633730</wp:posOffset>
            </wp:positionV>
            <wp:extent cx="7246620"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-187960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2380" w:space="40"/>
            <w:col w:w="900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jc w:val="center"/>
        <w:ind w:left="836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jc w:val="center"/>
        <w:ind w:left="836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33020</wp:posOffset>
            </wp:positionV>
            <wp:extent cx="19551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(140,505)</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33,463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37,881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34,344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13,145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Amortization of debt discount and issuance costs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7,604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7,171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impairment charge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209,600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Allowances for doubtful accounts and unbilled services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3,812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7,107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4,980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Gain on sale of business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(931)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fair value of contingent consideration liabilities</w:t>
            </w:r>
          </w:p>
        </w:tc>
        <w:tc>
          <w:tcPr>
            <w:tcW w:w="340" w:type="dxa"/>
            <w:vAlign w:val="bottom"/>
            <w:shd w:val="clear" w:color="auto" w:fill="CCEEFF"/>
          </w:tcPr>
          <w:p>
            <w:pPr>
              <w:spacing w:after="0"/>
              <w:rPr>
                <w:sz w:val="19"/>
                <w:szCs w:val="19"/>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216"/>
        </w:trPr>
        <w:tc>
          <w:tcPr>
            <w:tcW w:w="83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Changes in operating assets and liabilities, net of acquisitions: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receivables from clients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9,442</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(Increase) decrease in unbilled services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(12,251)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(21,492)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current income tax receivable / payable,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(3,039)</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(Increase) decrease in other assets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(1,802)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12,669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accounts payable and accrued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(2,860)</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Increase (decrease) in accrued payroll and related benefits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(21,928)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(17,707)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deferred revenues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2,028</w:t>
            </w:r>
          </w:p>
        </w:tc>
        <w:tc>
          <w:tcPr>
            <w:tcW w:w="0" w:type="dxa"/>
            <w:vAlign w:val="bottom"/>
          </w:tcPr>
          <w:p>
            <w:pPr>
              <w:spacing w:after="0"/>
              <w:rPr>
                <w:sz w:val="1"/>
                <w:szCs w:val="1"/>
                <w:color w:val="auto"/>
              </w:rPr>
            </w:pPr>
          </w:p>
        </w:tc>
      </w:tr>
      <w:tr>
        <w:trPr>
          <w:trHeight w:val="217"/>
        </w:trPr>
        <w:tc>
          <w:tcPr>
            <w:tcW w:w="8340" w:type="dxa"/>
            <w:vAlign w:val="bottom"/>
          </w:tcPr>
          <w:p>
            <w:pPr>
              <w:ind w:left="72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52,432</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79,745</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Purchases of property and equipment, net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(20,139)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(9,372)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life insurance policies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Distributions from life insurance policies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2,889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Purchases of businesses, net of cash acquired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(106,915)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(69,133)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Capitalization of internally developed software costs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(938)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note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Proceeds from sale of business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1,499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(125,253)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(81,233)</w:t>
            </w:r>
          </w:p>
        </w:tc>
        <w:tc>
          <w:tcPr>
            <w:tcW w:w="0" w:type="dxa"/>
            <w:vAlign w:val="bottom"/>
          </w:tcPr>
          <w:p>
            <w:pPr>
              <w:spacing w:after="0"/>
              <w:rPr>
                <w:sz w:val="1"/>
                <w:szCs w:val="1"/>
                <w:color w:val="auto"/>
              </w:rPr>
            </w:pPr>
          </w:p>
        </w:tc>
      </w:tr>
      <w:tr>
        <w:trPr>
          <w:trHeight w:val="204"/>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exercise of stock options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Shares redeemed for employee tax withholdings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(4,450)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(4,837)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 repurchases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(55,265)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Proceeds from borrowings under credit facility</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241,000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168,000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of debt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(170,082)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(156,000)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Payments for debt issuance costs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Payments of contingent consideration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340" w:type="dxa"/>
            <w:vAlign w:val="bottom"/>
          </w:tcPr>
          <w:p>
            <w:pPr>
              <w:ind w:left="720"/>
              <w:spacing w:after="0"/>
              <w:rPr>
                <w:sz w:val="20"/>
                <w:szCs w:val="20"/>
                <w:color w:val="auto"/>
              </w:rPr>
            </w:pPr>
            <w:r>
              <w:rPr>
                <w:rFonts w:ascii="Arial" w:cs="Arial" w:eastAsia="Arial" w:hAnsi="Arial"/>
                <w:sz w:val="16"/>
                <w:szCs w:val="16"/>
                <w:color w:val="auto"/>
              </w:rPr>
              <w:t>Net cash provided by (used in) financing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64,262</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(47,979)</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(8,367)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(49,334)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the period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17,027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58,437</w:t>
            </w:r>
          </w:p>
        </w:tc>
        <w:tc>
          <w:tcPr>
            <w:tcW w:w="0" w:type="dxa"/>
            <w:vAlign w:val="bottom"/>
          </w:tcPr>
          <w:p>
            <w:pPr>
              <w:spacing w:after="0"/>
              <w:rPr>
                <w:sz w:val="1"/>
                <w:szCs w:val="1"/>
                <w:color w:val="auto"/>
              </w:rPr>
            </w:pP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Cash and cash equivalents at end of the period</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8,660</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9,103</w:t>
            </w:r>
          </w:p>
        </w:tc>
        <w:tc>
          <w:tcPr>
            <w:tcW w:w="0" w:type="dxa"/>
            <w:vAlign w:val="bottom"/>
          </w:tcPr>
          <w:p>
            <w:pPr>
              <w:spacing w:after="0"/>
              <w:rPr>
                <w:sz w:val="1"/>
                <w:szCs w:val="1"/>
                <w:color w:val="auto"/>
              </w:rPr>
            </w:pPr>
          </w:p>
        </w:tc>
      </w:tr>
      <w:tr>
        <w:trPr>
          <w:trHeight w:val="73"/>
        </w:trPr>
        <w:tc>
          <w:tcPr>
            <w:tcW w:w="834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3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Supplemental disclosure of cash flow information:</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3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Property and equipment expenditures included in accounts payable and accrued expenses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2,928</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Promissory note assumed for purchase of property and equipment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5,113</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Contingent consideration related to business acquisitions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8,754</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Common stock issued related to a business acquisition</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9,560</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27" w:lineRule="exact"/>
        <w:rPr>
          <w:sz w:val="20"/>
          <w:szCs w:val="20"/>
          <w:color w:val="auto"/>
        </w:rPr>
      </w:pPr>
    </w:p>
    <w:p>
      <w:pPr>
        <w:sectPr>
          <w:pgSz w:w="11900" w:h="16838" w:orient="portrait"/>
          <w:cols w:equalWidth="0" w:num="1">
            <w:col w:w="11420"/>
          </w:cols>
          <w:pgMar w:left="240" w:top="125" w:right="239" w:bottom="0" w:gutter="0" w:footer="0" w:header="0"/>
        </w:sect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ectPr>
          <w:pgSz w:w="11900" w:h="16838" w:orient="portrait"/>
          <w:cols w:equalWidth="0" w:num="1">
            <w:col w:w="11420"/>
          </w:cols>
          <w:pgMar w:left="240" w:top="125" w:right="239" w:bottom="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368" w:right="1440"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Huron is a global professional services firm committed to achieving sustainable results in partnership with its clients. We bring a depth of expertise in strategy, technology, operations, advisory services and analytics to drive lasting and measurable results in the healthcare, higher education, life sciences and commercial sectors. Through focus, passion, and collaboration, we provide guidance to support organizations as they contend with the changes transforming their industries and businesses.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7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accompanying unaudited consolidated financial statements reflect the financial position, results of operations, and cash flows as of and for the three and nine months ended September 30, 2017 and 2016. These financial statements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In the opinion of management, these financial statements reflect all adjustments of a normal, recurring nature necessary for the fair statement of our financial position, results of operations, and cash flows for the interim periods presented in conformity with GAAP. These financial statements should be read in conjunction with our consolidated financial statements and notes thereto for the year ended December 31, 2016 included in our Annual Report on Form 10-K and our Quarterly Reports on Form 10-Q for the periods ended March 31, 2017 and June 30, 2017. Our results for any interim period are not necessarily indicative of results for a full year or any other interim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New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January 2017, the Financial Accounting Standards Board ("FASB") issued Accounting Standards Update ("ASU") 2017-04, </w:t>
      </w:r>
      <w:r>
        <w:rPr>
          <w:rFonts w:ascii="Arial" w:cs="Arial" w:eastAsia="Arial" w:hAnsi="Arial"/>
          <w:sz w:val="17"/>
          <w:szCs w:val="17"/>
          <w:i w:val="1"/>
          <w:iCs w:val="1"/>
          <w:color w:val="auto"/>
        </w:rPr>
        <w:t>Intangibles-Goodwill and</w:t>
      </w:r>
      <w:r>
        <w:rPr>
          <w:rFonts w:ascii="Arial" w:cs="Arial" w:eastAsia="Arial" w:hAnsi="Arial"/>
          <w:sz w:val="17"/>
          <w:szCs w:val="17"/>
          <w:color w:val="auto"/>
        </w:rPr>
        <w:t xml:space="preserve"> </w:t>
      </w:r>
      <w:r>
        <w:rPr>
          <w:rFonts w:ascii="Arial" w:cs="Arial" w:eastAsia="Arial" w:hAnsi="Arial"/>
          <w:sz w:val="17"/>
          <w:szCs w:val="17"/>
          <w:i w:val="1"/>
          <w:iCs w:val="1"/>
          <w:color w:val="auto"/>
        </w:rPr>
        <w:t>Other (Topic 350): Simplifying the Test for Goodwill Impairment</w:t>
      </w:r>
      <w:r>
        <w:rPr>
          <w:rFonts w:ascii="Arial" w:cs="Arial" w:eastAsia="Arial" w:hAnsi="Arial"/>
          <w:sz w:val="17"/>
          <w:szCs w:val="17"/>
          <w:color w:val="auto"/>
        </w:rPr>
        <w:t>. ASU 2017-04 eliminates Step 2 of the goodwill impairment test, which required us to</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 the implied fair value of goodwill by allocating the reporting unit's fair value to each of its assets and liabilities as if the reporting unit was acquired in a business acquisition. Instead, the updated guidance requires an entity to perform its annual or interim goodwill impairment test by comparing the fair value of the reporting unit to its carrying value, and recognizing a non-cash impairment charge for the amount by which the carrying value exceeds the reporting unit's fair value with the loss not exceeding the total amount of goodwill allocated to that reporting unit. We adopted this ASU in the second quarter of 2017 on a prospective basis and applied the new guidance to our interim goodwill impairment tests performed in the second quarter of 2017. Refer to Note 6 “Goodwill and Intangible Assets” for additional information on our interim goodwill impairment tests performed.</w:t>
      </w:r>
    </w:p>
    <w:p>
      <w:pPr>
        <w:spacing w:after="0" w:line="1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ASU 2016-09 simplifies several aspects of the accounting for share-based payment transactions, including the accounting for income taxes, classification of excess tax benefits on the statement of cash flows, and forfeitures. We adopted this guidance in the first quarter of 2017, at which time we began recognizing excess tax benefits and deficiencies as income tax benefit or expense in our consolidated statements of operations on a prospective basis. We recognized $0.1 million and $1.8 million of net excess tax deficiencies as income tax expense in our consolidated statement of operations for the three and nine months ended September 30, 2017, respectively. Refer to Note 13 "Income Taxes" for additional information on our effective tax rate for the three and nine months ended September 30, 2017. Additionally, upon adoption, we began classifying excess tax benefits as an operating activity on the statement of cash flows on a retrospective basis. As a result, we reclassified $0.9 million of excess tax benefits for the first nine months of 2016 from cash flows from financing activities to cash flows from operating activities on our statement of cash flows. We elected to account for share-based award forfeitures as they occur, and applied this accounting change on a modified retrospective basis as a cumulative-effect adjustment to retained earnings of $0.4 million during the first quarter of 2017.</w:t>
      </w:r>
    </w:p>
    <w:p>
      <w:pPr>
        <w:spacing w:after="0" w:line="11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 xml:space="preserve">In March 2016, the FASB issued ASU 2016-06, </w:t>
      </w:r>
      <w:r>
        <w:rPr>
          <w:rFonts w:ascii="Arial" w:cs="Arial" w:eastAsia="Arial" w:hAnsi="Arial"/>
          <w:sz w:val="16"/>
          <w:szCs w:val="16"/>
          <w:i w:val="1"/>
          <w:iCs w:val="1"/>
          <w:color w:val="auto"/>
        </w:rPr>
        <w:t>Derivatives and Hedging: Contingent Put and Call Options in Debt Instruments</w:t>
      </w:r>
      <w:r>
        <w:rPr>
          <w:rFonts w:ascii="Arial" w:cs="Arial" w:eastAsia="Arial" w:hAnsi="Arial"/>
          <w:sz w:val="16"/>
          <w:szCs w:val="16"/>
          <w:color w:val="auto"/>
        </w:rPr>
        <w:t>. ASU 2016-06 clarifies that in assessing whether an embedded contingent put or call option is clearly and closely related to the debt host, an entity is required to perform only the four-step decision sequence in ASC 815-15-25-42 (as amended by the ASU). The entity does not have to separately assess whether the event that triggers its ability to exercise the contingent option is itself indexed only to interest rates or credit risk. We adopted these amendments in the first quarter of 2017 on a</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2000"/>
        <w:spacing w:after="0" w:line="438" w:lineRule="auto"/>
        <w:rPr>
          <w:sz w:val="20"/>
          <w:szCs w:val="20"/>
          <w:color w:val="auto"/>
        </w:rPr>
      </w:pPr>
      <w:r>
        <w:rPr>
          <w:rFonts w:ascii="Arial" w:cs="Arial" w:eastAsia="Arial" w:hAnsi="Arial"/>
          <w:sz w:val="18"/>
          <w:szCs w:val="18"/>
          <w:color w:val="auto"/>
        </w:rPr>
        <w:t xml:space="preserve">modified retrospective basis. The adoption of these amendments did not have any impact on our consolidated financial statements. </w:t>
      </w:r>
      <w:r>
        <w:rPr>
          <w:rFonts w:ascii="Arial" w:cs="Arial" w:eastAsia="Arial" w:hAnsi="Arial"/>
          <w:sz w:val="18"/>
          <w:szCs w:val="18"/>
          <w:i w:val="1"/>
          <w:iCs w:val="1"/>
          <w:color w:val="auto"/>
        </w:rPr>
        <w:t>Not Yet Adopted</w:t>
      </w:r>
    </w:p>
    <w:p>
      <w:pPr>
        <w:spacing w:after="0" w:line="1"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 xml:space="preserve">In August 2017, the FASB issued ASU 2017-12, </w:t>
      </w:r>
      <w:r>
        <w:rPr>
          <w:rFonts w:ascii="Arial" w:cs="Arial" w:eastAsia="Arial" w:hAnsi="Arial"/>
          <w:sz w:val="17"/>
          <w:szCs w:val="17"/>
          <w:i w:val="1"/>
          <w:iCs w:val="1"/>
          <w:color w:val="auto"/>
        </w:rPr>
        <w:t>Derivatives and Hedging (Topic 815): Targeted Improvements to Accounting for Hedging Activities</w:t>
      </w:r>
      <w:r>
        <w:rPr>
          <w:rFonts w:ascii="Arial" w:cs="Arial" w:eastAsia="Arial" w:hAnsi="Arial"/>
          <w:sz w:val="17"/>
          <w:szCs w:val="17"/>
          <w:color w:val="auto"/>
        </w:rPr>
        <w:t>. The amendments to the guidance improve and simplify accounting rules for hedge accounting to better present the economic results of an entity’s risk management activities in its financial statements and improve the disclosures of hedging arrangements. Additionally, ASU 2017-12 simplifies the hedge documentation and effectiveness assessment requirements. The updated guidance is effective for us beginning January 1, 2019. We do not expect this guidance to have a material impact on our consolidated financial statements.</w:t>
      </w:r>
    </w:p>
    <w:p>
      <w:pPr>
        <w:spacing w:after="0" w:line="28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March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which supersedes ASC Topic 840, </w:t>
      </w:r>
      <w:r>
        <w:rPr>
          <w:rFonts w:ascii="Arial" w:cs="Arial" w:eastAsia="Arial" w:hAnsi="Arial"/>
          <w:sz w:val="17"/>
          <w:szCs w:val="17"/>
          <w:i w:val="1"/>
          <w:iCs w:val="1"/>
          <w:color w:val="auto"/>
        </w:rPr>
        <w:t>Leases</w:t>
      </w:r>
      <w:r>
        <w:rPr>
          <w:rFonts w:ascii="Arial" w:cs="Arial" w:eastAsia="Arial" w:hAnsi="Arial"/>
          <w:sz w:val="17"/>
          <w:szCs w:val="17"/>
          <w:color w:val="auto"/>
        </w:rPr>
        <w:t>, and sets forth the principles for the recognition, measurement, presentation, and disclosure of leases for both lessees and lessors. ASU 2016-02 requires lessees to classify leases as either finance or operating leases and to record on the balance sheet a right-of-use asset and a lease liability, equal to the present value of the remaining lease payments, for all leases with a term greater than 12 months regardless of the lease classification. The lease classification will determine whether the lease expense is recognized based on an effective interest rate method or a straight-line basis over the term of the lease. ASU 2016-02 will be effective for us beginning January 1, 2019, with early adoption permitted. Entities are required to use a modified retrospective transition method for existing leases. We are currently evaluating the potential impact this guidance will have on our consolidated financial statements.</w:t>
      </w:r>
    </w:p>
    <w:p>
      <w:pPr>
        <w:spacing w:after="0" w:line="28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 - Overall (Subtopic 825-10): Recognition and Measurement of Financial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Liabilities</w:t>
      </w:r>
      <w:r>
        <w:rPr>
          <w:rFonts w:ascii="Arial" w:cs="Arial" w:eastAsia="Arial" w:hAnsi="Arial"/>
          <w:sz w:val="18"/>
          <w:szCs w:val="18"/>
          <w:color w:val="auto"/>
        </w:rPr>
        <w:t>. The amendments to the guidance enhance the reporting model for financial instruments, which includes amendments to address aspects</w:t>
      </w:r>
      <w:r>
        <w:rPr>
          <w:rFonts w:ascii="Arial" w:cs="Arial" w:eastAsia="Arial" w:hAnsi="Arial"/>
          <w:sz w:val="18"/>
          <w:szCs w:val="18"/>
          <w:i w:val="1"/>
          <w:iCs w:val="1"/>
          <w:color w:val="auto"/>
        </w:rPr>
        <w:t xml:space="preserve"> </w:t>
      </w:r>
      <w:r>
        <w:rPr>
          <w:rFonts w:ascii="Arial" w:cs="Arial" w:eastAsia="Arial" w:hAnsi="Arial"/>
          <w:sz w:val="18"/>
          <w:szCs w:val="18"/>
          <w:color w:val="auto"/>
        </w:rPr>
        <w:t>of recognition, measurement, presentation, and disclosure. The updated guidance is effective for us beginning January 1, 2018. We do not expect this guidance to have a material impact on our consolidated financial statements.</w:t>
      </w:r>
    </w:p>
    <w:p>
      <w:pPr>
        <w:spacing w:after="0" w:line="13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 a new Topic</w:t>
      </w:r>
      <w:r>
        <w:rPr>
          <w:rFonts w:ascii="Arial" w:cs="Arial" w:eastAsia="Arial" w:hAnsi="Arial"/>
          <w:sz w:val="17"/>
          <w:szCs w:val="17"/>
          <w:i w:val="1"/>
          <w:iCs w:val="1"/>
          <w:color w:val="auto"/>
        </w:rPr>
        <w:t>,</w:t>
      </w:r>
      <w:r>
        <w:rPr>
          <w:rFonts w:ascii="Arial" w:cs="Arial" w:eastAsia="Arial" w:hAnsi="Arial"/>
          <w:sz w:val="17"/>
          <w:szCs w:val="17"/>
          <w:color w:val="auto"/>
        </w:rPr>
        <w:t xml:space="preserve"> ASC 606. The new revenue recognition standard provides a five-step analysis of transactions to determine when and how revenue is recognized. The core principle is that a company should recognize revenue to depict the transfer of promised goods or services to customers in an amount that reflects the consideration to which the entity expects to be entitled in exchange for those goods or services. In accordance with the new standard, we will adopt ASU 2014-09 on January 1, 2018. Companies may apply the new guidance using either the full retrospective transition method, which requires restating each prior period presented, or the modified retrospective transition method, under which the new guidance is applied to the current period presented in the financial statements and a cumulative-effect adjustment is recorded as of the date of adoption. We expect to apply the new guidance using the modified retrospective transition method. We are currently evaluating the potential impact this guidance will have on our consolidated financial statements; most notably the impact on our revenue recognition for performance-based fee billing arrangements. Currently, we recognize revenue under performance-based fee billing arrangements once all related performance criteria are met and the amount to be recognized is fixed or determinable. However, ASC 606 will require us to estimate these amounts and recognize a significant portion of the estimated amounts over the term of the engagement. As a result, we expect to recognize revenue under performance-based fee billing arrangements earlier under ASC 606 than we do under current guidance.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Discontinued Operations</w:t>
      </w:r>
    </w:p>
    <w:p>
      <w:pPr>
        <w:spacing w:after="0" w:line="17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On December 31, 2015, we sold our Huron Legal segment to Consilio, Inc. ("Consilio"). Huron Legal provided eDiscovery services, consulting services and contract management services related to law department management, information governance and compliance, legal discovery, litigation management, and legal analytics.</w:t>
      </w:r>
    </w:p>
    <w:p>
      <w:pPr>
        <w:spacing w:after="0" w:line="12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divestiture of the Huron Legal segment represented a strategic shift that had a major effect on our operations and financial results. As such, the operations of our Huron Legal segment have been classified as discontinued operations in our consolidated statements of operations for all periods presented. As of September 30, 2017 and December 31, 2016, no assets or liabilities of the disposed business remained on our consolidated balance sheet.</w:t>
      </w:r>
    </w:p>
    <w:p>
      <w:pPr>
        <w:spacing w:after="0" w:line="9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For the three and nine months ended September 30, 2017, we recognized income from discontinued operations, net of tax, of $0.2 million and $0.7 million, respectively, primarily related to updated lease assumptions for vacated office space directly related to the sale of the Huron Legal segment. For the nine months ended September 30, 2016, we recognized losses from</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discontinued operations, net of tax, of $1.8 million, primarily related to obligations for former employees, legal fees, and updated lease assumptions for vacated office space directly related to the sale of the Huron Legal segment.</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the sale of Huron Legal, we entered into a transition services agreement ("TSA") with Consilio, under which we provided certain post-closing services, support, and facilities to Consilio to facilitate an orderly transfer of the Huron Legal business operations. Billings under the TSA, which we did not consider to be significant, were recorded as a reduction of the costs to provide the respective services, primarily in selling, general and administrative expenses in the consolidated statements of operations. Services under the TSA ended as of June 30, 2017. We have no continuing involvement with the Huron Legal segment.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ADI Strategies, Inc.</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April 1, 2017, we completed our acquisition of the international assets of ADI Strategies, Inc. ("ADI Strategies") in Dubai and India. We acquired the U.S. assets of ADI Strategies in the second quarter of 2016. ADI Strategies is a leading enterprise performance management, risk management and business intelligence firm. The acquisition strengthens our technology and analytics competencies and expands our global reach. The international results of operations of ADI Strategies have been included in our consolidated financial statements and results of operations of the Business Advisory segment from the date of acquisition.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Pope Woodhead and Associates Limited</w:t>
      </w:r>
    </w:p>
    <w:p>
      <w:pPr>
        <w:spacing w:after="0" w:line="17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On January 9, 2017, we completed our acquisition of Pope Woodhead and Associates Limited ("Pope Woodhead"), a U.K.-based consulting firm providing market access capabilities to assist clients in developing value propositions for innovative medicines and technologies. The acquisition expands our life sciences strategy expertise and strengthens our ability to lead clients through complex payer and regulatory environments. Pope Woodhead's results of operations have been included in our consolidated financial statements and the results of operations of our Business Advisory segment from the date of acquisition.</w:t>
      </w:r>
    </w:p>
    <w:p>
      <w:pPr>
        <w:spacing w:after="0" w:line="13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Pro forma results of operations are not presented for ADI Strategies or Pope Woodhead because these acquisitions were not material in relation to our consolidated financial position or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Innosight Holdings, LLC</w:t>
      </w:r>
    </w:p>
    <w:p>
      <w:pPr>
        <w:spacing w:after="0" w:line="17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On March 1, 2017, we acquired 100% of the membership interests of Innosight Holdings, LLC ("Innosight"). Innosight is a growth strategy firm focused on helping companies navigate disruptive change and manage strategic transformation. Together with Innosight, we use our strategic, operational, and technology capabilities to help clients across multiple industries develop pioneering solutions to address disruption and achieve sustained growth.</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acquisition was accounted for using the acquisition method of accounting. Tangible and identifiable intangible assets acquired and liabilities assumed are recorded at fair value as of the acquisition date. The current fair values of assets acquired and liabilities assumed are considered preliminary and are based on the information that was available as of the date of the acquisition. We believe that the information provides a reasonable basis for estimating the preliminary fair values of assets acquired and liabilities assumed, but certain items, such as working capital amounts, may be subject to change as additional information is received. Thus, the provisional measurements of fair value and goodwill are subject to change. We expect to finalize the valuation as soon as practicable, but not later than one year from the acquisition date.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date fair value of the consideration transferred for Innosight was $113.6 million, which consisted of the following:</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Fair value of consideration transferred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3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740" w:type="dxa"/>
            <w:vAlign w:val="bottom"/>
            <w:tcBorders>
              <w:top w:val="single" w:sz="8" w:color="auto"/>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90,725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9,560</w:t>
            </w:r>
          </w:p>
        </w:tc>
      </w:tr>
      <w:tr>
        <w:trPr>
          <w:trHeight w:val="27"/>
        </w:trPr>
        <w:tc>
          <w:tcPr>
            <w:tcW w:w="9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liability</w:t>
            </w: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12,050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Net working capital adjustment</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1,272</w:t>
            </w:r>
          </w:p>
        </w:tc>
      </w:tr>
      <w:tr>
        <w:trPr>
          <w:trHeight w:val="27"/>
        </w:trPr>
        <w:tc>
          <w:tcPr>
            <w:tcW w:w="93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consideration transferred</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113,607</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funded the cash component of the purchase price with cash on hand and borrowings of $89.0 million under our senior secured credit facility. We issued 221,558 shares of our common stock as part of the consideration transferred, with an acquisition date fair value of $9.6 million based on our common stock's closing price of $43.15 on the date of acquisition. The preliminary contingent consideration liability of $12.1 million represents the acquisition date fair value of the contingent consideration arrangement, pursuant to which we may be required to pay additional consideration to the sellers if specific financial performance targets are met over a four-year term. The maximum amount that may be paid is $35.0 million. See Note 11 "Fair Value of Financial Instruments" for additional information on the valuation of contingent consideration liabilities.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following table summarizes the preliminary allocation of the purchase price to the fair value of assets acquired and liabilities assumed as of the acquisition date.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jc w:val="right"/>
              <w:ind w:right="390"/>
              <w:spacing w:after="0"/>
              <w:rPr>
                <w:sz w:val="20"/>
                <w:szCs w:val="20"/>
                <w:color w:val="auto"/>
              </w:rPr>
            </w:pPr>
            <w:r>
              <w:rPr>
                <w:rFonts w:ascii="Arial" w:cs="Arial" w:eastAsia="Arial" w:hAnsi="Arial"/>
                <w:sz w:val="18"/>
                <w:szCs w:val="18"/>
                <w:b w:val="1"/>
                <w:bCs w:val="1"/>
                <w:color w:val="auto"/>
              </w:rPr>
              <w:t>March 1, 2017</w:t>
            </w:r>
          </w:p>
        </w:tc>
        <w:tc>
          <w:tcPr>
            <w:tcW w:w="0" w:type="dxa"/>
            <w:vAlign w:val="bottom"/>
          </w:tcPr>
          <w:p>
            <w:pPr>
              <w:spacing w:after="0"/>
              <w:rPr>
                <w:sz w:val="1"/>
                <w:szCs w:val="1"/>
                <w:color w:val="auto"/>
              </w:rPr>
            </w:pPr>
          </w:p>
        </w:tc>
      </w:tr>
      <w:tr>
        <w:trPr>
          <w:trHeight w:val="27"/>
        </w:trPr>
        <w:tc>
          <w:tcPr>
            <w:tcW w:w="9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 acquired:</w:t>
            </w: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3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9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7,752</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Unbilled services</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18,015</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 and related benefits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Deferred revenues</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9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identifiable net assets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26,175</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87,432</w:t>
            </w:r>
          </w:p>
        </w:tc>
        <w:tc>
          <w:tcPr>
            <w:tcW w:w="0" w:type="dxa"/>
            <w:vAlign w:val="bottom"/>
          </w:tcPr>
          <w:p>
            <w:pPr>
              <w:spacing w:after="0"/>
              <w:rPr>
                <w:sz w:val="1"/>
                <w:szCs w:val="1"/>
                <w:color w:val="auto"/>
              </w:rPr>
            </w:pPr>
          </w:p>
        </w:tc>
      </w:tr>
      <w:tr>
        <w:trPr>
          <w:trHeight w:val="27"/>
        </w:trPr>
        <w:tc>
          <w:tcPr>
            <w:tcW w:w="9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purchase price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113,607</w:t>
            </w:r>
          </w:p>
        </w:tc>
        <w:tc>
          <w:tcPr>
            <w:tcW w:w="0" w:type="dxa"/>
            <w:vAlign w:val="bottom"/>
          </w:tcPr>
          <w:p>
            <w:pPr>
              <w:spacing w:after="0"/>
              <w:rPr>
                <w:sz w:val="1"/>
                <w:szCs w:val="1"/>
                <w:color w:val="auto"/>
              </w:rPr>
            </w:pP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identifiable intangible assets acquired and their estimated useful lives as of the acquisition date.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 in</w:t>
            </w:r>
          </w:p>
        </w:tc>
      </w:tr>
      <w:tr>
        <w:trPr>
          <w:trHeight w:val="234"/>
        </w:trPr>
        <w:tc>
          <w:tcPr>
            <w:tcW w:w="7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right"/>
              <w:ind w:right="49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5"/>
              </w:rPr>
              <w:t>Years</w:t>
            </w:r>
          </w:p>
        </w:tc>
      </w:tr>
      <w:tr>
        <w:trPr>
          <w:trHeight w:val="27"/>
        </w:trPr>
        <w:tc>
          <w:tcPr>
            <w:tcW w:w="7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9,500</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6,000</w:t>
            </w:r>
          </w:p>
        </w:tc>
        <w:tc>
          <w:tcPr>
            <w:tcW w:w="20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6</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1,300</w:t>
            </w:r>
          </w:p>
        </w:tc>
        <w:tc>
          <w:tcPr>
            <w:tcW w:w="20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5</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lease contract</w:t>
            </w: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1</w:t>
            </w: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Total intangible assets subject to amortization</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18,015</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weighted average amortization period for the identifiable intangible assets shown above is 5.6 years. Customer relationships and customer contracts represent the fair values of the underlying relationships and agreements with Innosight customers. The trade name represents the fair value of the brand and name recognition associated with the marketing of Innosight's service offerings. Non-compete agreements represent the value derived from preventing certain Innosight executives from entering into or starting a similar, competing business. The favorable lease contract represents the difference between the fair value and minimum lease obligations under the current outstanding lease. Goodwill is recognized for the excess of purchase price over the net fair value of assets acquired and liabilities assumed, and largely reflects the expanded market opportunities expected from combining the service offerings of Huron and Innosight, as well as the assembled workforce of Innosight. Goodwill recognized in conjunction with the acquisition of Innosight was recorded in the Business Advisory segment. Goodwill of $87.4 million is expected to be deductible for income tax purposes.</w:t>
      </w:r>
    </w:p>
    <w:p>
      <w:pPr>
        <w:spacing w:after="0" w:line="1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Innosight’s results of operations have been included in our unaudited consolidated statements of operations and results of operations of our Business Advisory segment from the date of acquisition. For the three months ended September 30, 2017, revenues from Innosight were $11.0 million and operating loss was $0.6 million, which included $0.9 million of amortization expense for intangible assets acquired. For the nine months ended September 30, 2017, revenues from Innosight were $27.2 million and operating income was $0.8 million, which included $2.7 million of amortization expense for intangible assets acquired. In connection with the acquisition of Innosight, we incurred $1.7 million of transaction and acquisition-related expenses. Of the $1.7 million of expense, $1.4 million was incurred in the first quarter of 2017 and $0.3 million was incurred in the second quarter in 2017. These costs are recorded in selling, general and administrative expenses.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following unaudited supplemental pro forma information summarizes the combined results of operations of Huron and Innosight as though the companies were combined on January 1, 2016.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Three Months Ended</w:t>
            </w:r>
          </w:p>
        </w:tc>
        <w:tc>
          <w:tcPr>
            <w:tcW w:w="280" w:type="dxa"/>
            <w:vAlign w:val="bottom"/>
          </w:tcPr>
          <w:p>
            <w:pPr>
              <w:spacing w:after="0"/>
              <w:rPr>
                <w:sz w:val="18"/>
                <w:szCs w:val="18"/>
                <w:color w:val="auto"/>
              </w:rPr>
            </w:pPr>
          </w:p>
        </w:tc>
        <w:tc>
          <w:tcPr>
            <w:tcW w:w="23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0"/>
                <w:szCs w:val="20"/>
                <w:color w:val="auto"/>
              </w:rPr>
            </w:pPr>
          </w:p>
        </w:tc>
        <w:tc>
          <w:tcPr>
            <w:tcW w:w="23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176,376</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194,968</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555,768</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578,924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36,558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 (loss) from continuing operations per share - 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 per share - diluted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historical financial information has been adjusted to give effect to pro forma adjustments consisting of intangible asset amortization expense, acquisition-related costs, interest expense, and the related income tax effects. The unaudited pro forma information above includes adjustments to decrease expense for the three months ended September 30, 2017 by less than $0.1 million and include additional expense of $2.8 million for the three months ended September 30, 2016. We have included additional expense of $0.5 million and $8.4 million, for the nine months ended September 30, 2017 and 2016, respectively. Additionally, the historical financial information has been adjusted to give effect to the shares issued as consideration. All of these adjustments are based upon currently available information and certain assumptions. Therefore, the pro forma consolidated results are not necessarily indicative of what our consolidated results of operations actually would have been had it completed the acquisition on January 1, 2016. The historical results included in the pro forma consolidated results do not purport to project future results of operations of the combined companies nor do they reflect the expected realization of any cost savings or revenue synergies associated with the acquisition.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the changes in the carrying amount of goodwill by reportable segment for the nine months ended September 30, 2017.</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Business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6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Healthcare</w:t>
            </w:r>
          </w:p>
        </w:tc>
        <w:tc>
          <w:tcPr>
            <w:tcW w:w="18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Education</w:t>
            </w:r>
          </w:p>
        </w:tc>
        <w:tc>
          <w:tcPr>
            <w:tcW w:w="20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Advisory</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636,802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102,906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203,137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942,845</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impairment losses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(142,983)</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Goodwill, net as of December 31, 2016</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636,802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102,906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60,154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799,862</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60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Goodwill recorded in connection with business acquisitions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10,252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88,286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98,545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Goodwill impairment charge</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(209,600)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(209,600)</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reallocation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0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Goodwill allocated to disposal of business </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(568)</w:t>
            </w: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Goodwill, net as of September 30, 2017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427,209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102,830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159,336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689,375</w:t>
            </w:r>
          </w:p>
        </w:tc>
      </w:tr>
      <w:tr>
        <w:trPr>
          <w:trHeight w:val="27"/>
        </w:trPr>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Refer to Note 5 "Acquisitions" for additional information on the goodwill recorded in connection with business acquisitions.</w:t>
      </w:r>
    </w:p>
    <w:p>
      <w:pPr>
        <w:spacing w:after="0" w:line="171" w:lineRule="exact"/>
        <w:rPr>
          <w:rFonts w:ascii="Arial" w:cs="Arial" w:eastAsia="Arial" w:hAnsi="Arial"/>
          <w:sz w:val="18"/>
          <w:szCs w:val="18"/>
          <w:color w:val="auto"/>
        </w:rPr>
      </w:pPr>
    </w:p>
    <w:p>
      <w:pPr>
        <w:ind w:left="660" w:right="120" w:hanging="652"/>
        <w:spacing w:after="0" w:line="27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June 16, 2017, we sold our Life Sciences Compliance and Operations practice ("Life Sciences C&amp;O") to a third-party, and allocated a portion of goodwill within the Life Sciences reporting unit to the disposed business based on the relative fair values of Life Sciences C&amp;O and the remaining reporting unit. The allocated goodwill of $0.6 million was written off and included in the gain on sale of Life Sciences C&amp;O. The sale of Life Sciences C&amp;O did not meet the criteria for reporting separately as discontinued operations. In connection with the sale, we recorded a $0.9 million gain which is included in other income, net in our consolidated statements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2017 Goodwill Impairment Charge</w:t>
      </w:r>
    </w:p>
    <w:p>
      <w:pPr>
        <w:spacing w:after="0" w:line="17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Since the first quarter of 2016, the Healthcare segment, which is also a reporting unit, has experienced declining revenues, primarily driven by softness in our revenue cycle offering within our performance improvement solution. This softness is attributable to decreased demand for our services, the winding down of some of our larger projects, and a growing trend toward smaller projects, as well as fewer large integrated projects. In light of these challenges, several initiatives have been undertaken to improve the segment's financial performance, including repositioning our solutions to address the most critical needs of our clients, the expansion of our existing services such as those in our Studer Group, strategy, physician and technology offerings, and workforce reductions to better align resources with market demand. While the initiatives undertaken to improve the financial performance of our Healthcare segment are yielding some positive impacts, hospitals and health systems continue to face regulatory and funding uncertainty; therefore, we remain cautious about near-term growth. As we have previously disclosed in prior quarters, if the financial performance of our Healthcare segment continued to decline and did not meet our expectations, we could be required to perform an interim impairment analysis with respect to our carrying value of goodwill for the Healthcare reporting unit prior to our usual annual test. Based on forecasts prepared in the second quarter of 2017 in connection with our quarterly forecasting cycle, we determined that the likely time frame to improve the financial results of this segment would take longer than originally anticipated. As such, we concluded, during the second quarter of 2017, that the fair value of the Healthcare reporting unit may no longer exceed its carrying value. In connection with the preparation of our financial statements for the quarter ended June 30, 2017, we performed an interim impairment test on the Healthcare reporting unit.</w:t>
      </w:r>
    </w:p>
    <w:p>
      <w:pPr>
        <w:spacing w:after="0" w:line="121"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Our goodwill impairment test was performed by comparing the fair value of the Healthcare reporting unit with its carrying value and, in accordance with ASU 2017-04 which we adopted in the second quarter of 2017, recognizing an impairment charge for the amount by which the carrying value exceeded the fair value. To estimate the fair value of the Healthcare reporting unit, we relied on a combination of the income approach and the market approach, utilizing the guideline company method, with a fifty-fifty weighting. Based on the estimated fair value of the Healthcare reporting unit, we recorded a $209.6</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million non-cash pretax charge in the second quarter of 2017 to reduce the carrying value of goodwill in our Healthcare reporting unit.</w:t>
      </w:r>
    </w:p>
    <w:p>
      <w:pPr>
        <w:spacing w:after="0" w:line="17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connection with the goodwill impairment test performed on the Healthcare reporting unit, we performed an impairment test on the long-lived assets allocated to the asset groups within the Healthcare reporting unit. Based on the impairment test performed, we concluded that the long-lived assets allocated to the asset groups within the Healthcare reporting unit were not impaired as of June 30, 2017.</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2017 Goodwill Reallocation</w:t>
      </w:r>
    </w:p>
    <w:p>
      <w:pPr>
        <w:spacing w:after="0" w:line="17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Effective June 1, 2017, we reorganized our internal financial reporting structure, which management uses to assess performance and allocate resources, by moving our Life Sciences practice from the Education and Life Sciences segment to the Business Advisory segment. The remaining Education and Life Sciences segment is now referred to as the Education segment. The Life Sciences practice is a separate reporting unit for purposes of goodwill impairment testing. We continue to operate under three reportable segments: Healthcare, Education, and Business Advisory. These three reportable segments are comprised of the following six reporting units for goodwill impairment testing purposes: Healthcare, Education, Business Advisory, Enterprise Solutions and Analytics, Strategy and Innovation, and Life Sciences. The Business Advisory, Enterprise Solutions and Analytics, Strategy and Innovation, and Life Sciences reporting units comprise our Business Advisory segment. See Note 15 "Segment Information" for additional information on our reportable segments.</w:t>
      </w:r>
    </w:p>
    <w:p>
      <w:pPr>
        <w:spacing w:after="0" w:line="1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result of the reorganization, we reallocated $10.8 million of the goodwill balance associated with the previous Education and Life Sciences reporting unit to the new Life Sciences reporting unit based on the relative fair values of the Life Sciences reporting unit and the remaining Education reporting unit. The estimated fair values were determined using a combination of the income approach and the market approach, utilizing the guideline company method, with a fifty-fifty weighting.</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conjunction with the goodwill reallocation, we performed a goodwill impairment test for the goodwill balances within our Education reporting unit and Life Sciences reporting unit as of June 1, 2017. Based on the results of the goodwill impairment test, we determined that the fair values of our Education reporting unit and Life Sciences reporting unit exceeded their carrying values. As such, we concluded that there was no indication of goodwill impairment for either reporting unit.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September 30, 2017 and December 31, 2016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340"/>
              <w:spacing w:after="0"/>
              <w:rPr>
                <w:sz w:val="20"/>
                <w:szCs w:val="20"/>
                <w:color w:val="auto"/>
              </w:rPr>
            </w:pPr>
            <w:r>
              <w:rPr>
                <w:rFonts w:ascii="Arial" w:cs="Arial" w:eastAsia="Arial" w:hAnsi="Arial"/>
                <w:sz w:val="18"/>
                <w:szCs w:val="18"/>
                <w:b w:val="1"/>
                <w:bCs w:val="1"/>
                <w:color w:val="auto"/>
              </w:rPr>
              <w:t>As of September 30, 2017</w:t>
            </w:r>
          </w:p>
        </w:tc>
        <w:tc>
          <w:tcPr>
            <w:tcW w:w="260" w:type="dxa"/>
            <w:vAlign w:val="bottom"/>
          </w:tcPr>
          <w:p>
            <w:pPr>
              <w:spacing w:after="0"/>
              <w:rPr>
                <w:sz w:val="20"/>
                <w:szCs w:val="20"/>
                <w:color w:val="auto"/>
              </w:rPr>
            </w:pPr>
          </w:p>
        </w:tc>
        <w:tc>
          <w:tcPr>
            <w:tcW w:w="280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As of December 31, 2016</w:t>
            </w:r>
          </w:p>
        </w:tc>
      </w:tr>
      <w:tr>
        <w:trPr>
          <w:trHeight w:val="27"/>
        </w:trPr>
        <w:tc>
          <w:tcPr>
            <w:tcW w:w="36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366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Useful</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Life in</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Accumulated</w:t>
            </w:r>
          </w:p>
        </w:tc>
      </w:tr>
      <w:tr>
        <w:trPr>
          <w:trHeight w:val="234"/>
        </w:trPr>
        <w:tc>
          <w:tcPr>
            <w:tcW w:w="3660" w:type="dxa"/>
            <w:vAlign w:val="bottom"/>
          </w:tcPr>
          <w:p>
            <w:pPr>
              <w:spacing w:after="0"/>
              <w:rPr>
                <w:sz w:val="20"/>
                <w:szCs w:val="20"/>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Years</w:t>
            </w:r>
          </w:p>
        </w:tc>
        <w:tc>
          <w:tcPr>
            <w:tcW w:w="26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Amortization</w:t>
            </w:r>
          </w:p>
        </w:tc>
      </w:tr>
      <w:tr>
        <w:trPr>
          <w:trHeight w:val="27"/>
        </w:trPr>
        <w:tc>
          <w:tcPr>
            <w:tcW w:w="36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5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4 to 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106,174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34,827</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2 to 6</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29,016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17,065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22,930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11,652</w:t>
            </w:r>
          </w:p>
        </w:tc>
      </w:tr>
      <w:tr>
        <w:trPr>
          <w:trHeight w:val="27"/>
        </w:trPr>
        <w:tc>
          <w:tcPr>
            <w:tcW w:w="3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contracts</w:t>
            </w:r>
          </w:p>
        </w:tc>
        <w:tc>
          <w:tcPr>
            <w:tcW w:w="1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1 to 4</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21,295</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Technology and software</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3 to 5</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9,340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8,970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2,667</w:t>
            </w:r>
          </w:p>
        </w:tc>
      </w:tr>
      <w:tr>
        <w:trPr>
          <w:trHeight w:val="27"/>
        </w:trPr>
        <w:tc>
          <w:tcPr>
            <w:tcW w:w="3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Non-competition agreements</w:t>
            </w:r>
          </w:p>
        </w:tc>
        <w:tc>
          <w:tcPr>
            <w:tcW w:w="1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1 to 5</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1,697</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Publishing content</w:t>
            </w:r>
          </w:p>
        </w:tc>
        <w:tc>
          <w:tcPr>
            <w:tcW w:w="13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3,300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2,062</w:t>
            </w:r>
          </w:p>
        </w:tc>
      </w:tr>
      <w:tr>
        <w:trPr>
          <w:trHeight w:val="27"/>
        </w:trPr>
        <w:tc>
          <w:tcPr>
            <w:tcW w:w="3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lease contract</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In-process technology</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Indefinite</w:t>
            </w:r>
          </w:p>
        </w:tc>
        <w:tc>
          <w:tcPr>
            <w:tcW w:w="2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181,399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155,751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74,403</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Identifiable intangible assets with finite lives are amortized over their estimated useful lives. Customer relationships and customer contracts, as well as certain trade names and technology and software, are amortized on an accelerated basis to correspond to the cash flows expected to be derived from the assets. All other intangible assets with finite lives are amortized on a straight-line basis. In connection with the acquisition of MyRounding Solutions, LLC, we acquired in-process technology which was accounted for as an indefinite-lived intangible asset until the development of the technology was complete, which occurred in the first quarter of 2017. Upon completion, we reclassified the technology to definite-lived technology and software, and began amortizing the asset over a five-year useful life on a straight-line basis.</w:t>
      </w:r>
    </w:p>
    <w:p>
      <w:pPr>
        <w:spacing w:after="0" w:line="30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Intangible asset amortization expense was $8.8 million for the three months ended both September 30, 2017 and 2016. Intangible asset amortization expense was $26.4 million and $24.4 million for the nine months ended September 30, 2017 and 2016, respectively. The table below sets forth the estimated annual amortization expense for the year ending December 31, 2017 and each of the five succeeding years for the definite-lived intangible assets recorded as of September 30, 2017.</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Estimated Amortization</w:t>
            </w:r>
          </w:p>
        </w:tc>
      </w:tr>
      <w:tr>
        <w:trPr>
          <w:trHeight w:val="234"/>
        </w:trPr>
        <w:tc>
          <w:tcPr>
            <w:tcW w:w="9020" w:type="dxa"/>
            <w:vAlign w:val="bottom"/>
            <w:gridSpan w:val="2"/>
          </w:tcPr>
          <w:p>
            <w:pPr>
              <w:ind w:left="3440"/>
              <w:spacing w:after="0"/>
              <w:rPr>
                <w:sz w:val="20"/>
                <w:szCs w:val="20"/>
                <w:color w:val="auto"/>
              </w:rPr>
            </w:pPr>
            <w:r>
              <w:rPr>
                <w:rFonts w:ascii="Arial" w:cs="Arial" w:eastAsia="Arial" w:hAnsi="Arial"/>
                <w:sz w:val="18"/>
                <w:szCs w:val="18"/>
                <w:b w:val="1"/>
                <w:bCs w:val="1"/>
                <w:color w:val="auto"/>
              </w:rPr>
              <w:t>Year Ending December 31,</w:t>
            </w:r>
          </w:p>
        </w:tc>
        <w:tc>
          <w:tcPr>
            <w:tcW w:w="200" w:type="dxa"/>
            <w:vAlign w:val="bottom"/>
          </w:tcPr>
          <w:p>
            <w:pPr>
              <w:spacing w:after="0"/>
              <w:rPr>
                <w:sz w:val="20"/>
                <w:szCs w:val="20"/>
                <w:color w:val="auto"/>
              </w:rPr>
            </w:pPr>
          </w:p>
        </w:tc>
        <w:tc>
          <w:tcPr>
            <w:tcW w:w="2200" w:type="dxa"/>
            <w:vAlign w:val="bottom"/>
          </w:tcPr>
          <w:p>
            <w:pPr>
              <w:jc w:val="right"/>
              <w:ind w:right="790"/>
              <w:spacing w:after="0"/>
              <w:rPr>
                <w:sz w:val="20"/>
                <w:szCs w:val="20"/>
                <w:color w:val="auto"/>
              </w:rPr>
            </w:pPr>
            <w:r>
              <w:rPr>
                <w:rFonts w:ascii="Arial" w:cs="Arial" w:eastAsia="Arial" w:hAnsi="Arial"/>
                <w:sz w:val="18"/>
                <w:szCs w:val="18"/>
                <w:b w:val="1"/>
                <w:bCs w:val="1"/>
                <w:color w:val="auto"/>
              </w:rPr>
              <w:t>Expense</w:t>
            </w:r>
          </w:p>
        </w:tc>
      </w:tr>
      <w:tr>
        <w:trPr>
          <w:trHeight w:val="27"/>
        </w:trPr>
        <w:tc>
          <w:tcPr>
            <w:tcW w:w="8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44"/>
        </w:trPr>
        <w:tc>
          <w:tcPr>
            <w:tcW w:w="8920" w:type="dxa"/>
            <w:vAlign w:val="bottom"/>
            <w:tcBorders>
              <w:bottom w:val="single" w:sz="8" w:color="CCEEFF"/>
            </w:tcBorders>
            <w:shd w:val="clear" w:color="auto" w:fill="CCEEFF"/>
          </w:tcPr>
          <w:p>
            <w:pPr>
              <w:jc w:val="right"/>
              <w:ind w:right="8430"/>
              <w:spacing w:after="0"/>
              <w:rPr>
                <w:sz w:val="20"/>
                <w:szCs w:val="20"/>
                <w:color w:val="auto"/>
              </w:rPr>
            </w:pPr>
            <w:r>
              <w:rPr>
                <w:rFonts w:ascii="Arial" w:cs="Arial" w:eastAsia="Arial" w:hAnsi="Arial"/>
                <w:sz w:val="18"/>
                <w:szCs w:val="18"/>
                <w:color w:val="auto"/>
                <w:w w:val="94"/>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34,966</w:t>
            </w:r>
          </w:p>
        </w:tc>
      </w:tr>
      <w:tr>
        <w:trPr>
          <w:trHeight w:val="243"/>
        </w:trPr>
        <w:tc>
          <w:tcPr>
            <w:tcW w:w="8920" w:type="dxa"/>
            <w:vAlign w:val="bottom"/>
          </w:tcPr>
          <w:p>
            <w:pPr>
              <w:jc w:val="right"/>
              <w:ind w:right="8430"/>
              <w:spacing w:after="0"/>
              <w:rPr>
                <w:sz w:val="20"/>
                <w:szCs w:val="20"/>
                <w:color w:val="auto"/>
              </w:rPr>
            </w:pPr>
            <w:r>
              <w:rPr>
                <w:rFonts w:ascii="Arial" w:cs="Arial" w:eastAsia="Arial" w:hAnsi="Arial"/>
                <w:sz w:val="18"/>
                <w:szCs w:val="18"/>
                <w:color w:val="auto"/>
                <w:w w:val="94"/>
              </w:rPr>
              <w:t>2018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23,936</w:t>
            </w:r>
          </w:p>
        </w:tc>
      </w:tr>
      <w:tr>
        <w:trPr>
          <w:trHeight w:val="27"/>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jc w:val="right"/>
              <w:ind w:right="8430"/>
              <w:spacing w:after="0"/>
              <w:rPr>
                <w:sz w:val="20"/>
                <w:szCs w:val="20"/>
                <w:color w:val="auto"/>
              </w:rPr>
            </w:pPr>
            <w:r>
              <w:rPr>
                <w:rFonts w:ascii="Arial" w:cs="Arial" w:eastAsia="Arial" w:hAnsi="Arial"/>
                <w:sz w:val="18"/>
                <w:szCs w:val="18"/>
                <w:color w:val="auto"/>
                <w:w w:val="94"/>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17,279</w:t>
            </w:r>
          </w:p>
        </w:tc>
      </w:tr>
      <w:tr>
        <w:trPr>
          <w:trHeight w:val="243"/>
        </w:trPr>
        <w:tc>
          <w:tcPr>
            <w:tcW w:w="8920" w:type="dxa"/>
            <w:vAlign w:val="bottom"/>
          </w:tcPr>
          <w:p>
            <w:pPr>
              <w:jc w:val="right"/>
              <w:ind w:right="8430"/>
              <w:spacing w:after="0"/>
              <w:rPr>
                <w:sz w:val="20"/>
                <w:szCs w:val="20"/>
                <w:color w:val="auto"/>
              </w:rPr>
            </w:pPr>
            <w:r>
              <w:rPr>
                <w:rFonts w:ascii="Arial" w:cs="Arial" w:eastAsia="Arial" w:hAnsi="Arial"/>
                <w:sz w:val="18"/>
                <w:szCs w:val="18"/>
                <w:color w:val="auto"/>
                <w:w w:val="94"/>
              </w:rPr>
              <w:t>2020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12,116</w:t>
            </w:r>
          </w:p>
        </w:tc>
      </w:tr>
      <w:tr>
        <w:trPr>
          <w:trHeight w:val="27"/>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jc w:val="right"/>
              <w:ind w:right="8430"/>
              <w:spacing w:after="0"/>
              <w:rPr>
                <w:sz w:val="20"/>
                <w:szCs w:val="20"/>
                <w:color w:val="auto"/>
              </w:rPr>
            </w:pPr>
            <w:r>
              <w:rPr>
                <w:rFonts w:ascii="Arial" w:cs="Arial" w:eastAsia="Arial" w:hAnsi="Arial"/>
                <w:sz w:val="18"/>
                <w:szCs w:val="18"/>
                <w:color w:val="auto"/>
                <w:w w:val="94"/>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8,070</w:t>
            </w:r>
          </w:p>
        </w:tc>
      </w:tr>
      <w:tr>
        <w:trPr>
          <w:trHeight w:val="243"/>
        </w:trPr>
        <w:tc>
          <w:tcPr>
            <w:tcW w:w="8920" w:type="dxa"/>
            <w:vAlign w:val="bottom"/>
          </w:tcPr>
          <w:p>
            <w:pPr>
              <w:jc w:val="right"/>
              <w:ind w:right="8430"/>
              <w:spacing w:after="0"/>
              <w:rPr>
                <w:sz w:val="20"/>
                <w:szCs w:val="20"/>
                <w:color w:val="auto"/>
              </w:rPr>
            </w:pPr>
            <w:r>
              <w:rPr>
                <w:rFonts w:ascii="Arial" w:cs="Arial" w:eastAsia="Arial" w:hAnsi="Arial"/>
                <w:sz w:val="18"/>
                <w:szCs w:val="18"/>
                <w:color w:val="auto"/>
                <w:w w:val="94"/>
              </w:rPr>
              <w:t>2022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6,092</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Actual future amortization expense could differ from these estimated amounts as a result of future acquisitions, dispositions, and other factors.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17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 include unvested restricted stock awards, outstanding common stock options, convertible senior notes, and outstanding warrants, to the extent dilutive. In periods for which we report a net loss from continuing operations, diluted weighted average common shares outstanding excludes all potential common stock equivalents as their impact on diluted net loss from continuing operations per share would be anti-dilutive.</w:t>
      </w:r>
    </w:p>
    <w:p>
      <w:pPr>
        <w:sectPr>
          <w:pgSz w:w="11900" w:h="16838" w:orient="portrait"/>
          <w:cols w:equalWidth="0" w:num="1">
            <w:col w:w="11420"/>
          </w:cols>
          <w:pgMar w:left="240" w:top="125" w:right="2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Earnings (loss) per share under the basic and diluted computations are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252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35,293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(1,830)</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4,370</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12,292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(140,505)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33,463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5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21,505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21,084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common stock equivalents</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343</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21,622</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21,445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21,413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21,427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5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per basic share: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1.67</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w:t>
            </w:r>
          </w:p>
        </w:tc>
      </w:tr>
      <w:tr>
        <w:trPr>
          <w:trHeight w:val="67"/>
        </w:trPr>
        <w:tc>
          <w:tcPr>
            <w:tcW w:w="56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64"/>
        </w:trPr>
        <w:tc>
          <w:tcPr>
            <w:tcW w:w="56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earnings per diluted share:</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(0.09)</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The number of anti-dilutive securities excluded from the computation of the weighted average common stock equivalents presented above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680" w:type="dxa"/>
            <w:vAlign w:val="bottom"/>
            <w:gridSpan w:val="3"/>
          </w:tcPr>
          <w:p>
            <w:pPr>
              <w:ind w:left="1120"/>
              <w:spacing w:after="0"/>
              <w:rPr>
                <w:sz w:val="20"/>
                <w:szCs w:val="20"/>
                <w:color w:val="auto"/>
              </w:rPr>
            </w:pPr>
            <w:r>
              <w:rPr>
                <w:rFonts w:ascii="Arial" w:cs="Arial" w:eastAsia="Arial" w:hAnsi="Arial"/>
                <w:sz w:val="18"/>
                <w:szCs w:val="18"/>
                <w:b w:val="1"/>
                <w:bCs w:val="1"/>
                <w:color w:val="auto"/>
                <w:w w:val="88"/>
              </w:rPr>
              <w:t>As of September 30,</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184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80" w:type="dxa"/>
            <w:vAlign w:val="bottom"/>
          </w:tcPr>
          <w:p>
            <w:pPr>
              <w:jc w:val="right"/>
              <w:ind w:right="630"/>
              <w:spacing w:after="0"/>
              <w:rPr>
                <w:sz w:val="20"/>
                <w:szCs w:val="20"/>
                <w:color w:val="auto"/>
              </w:rPr>
            </w:pPr>
            <w:r>
              <w:rPr>
                <w:rFonts w:ascii="Arial" w:cs="Arial" w:eastAsia="Arial" w:hAnsi="Arial"/>
                <w:sz w:val="18"/>
                <w:szCs w:val="18"/>
                <w:b w:val="1"/>
                <w:bCs w:val="1"/>
                <w:color w:val="auto"/>
                <w:w w:val="84"/>
              </w:rPr>
              <w:t>2016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627</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Outstanding common stock options</w:t>
            </w:r>
          </w:p>
        </w:tc>
        <w:tc>
          <w:tcPr>
            <w:tcW w:w="1840" w:type="dxa"/>
            <w:vAlign w:val="bottom"/>
            <w:vMerge w:val="restart"/>
          </w:tcPr>
          <w:p>
            <w:pPr>
              <w:jc w:val="right"/>
              <w:ind w:right="3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senior notes</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3,129</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Warrants related to the issuance of convertible senior notes</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3,129</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anti-dilutive securities</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7,079</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6,263</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See Note 8 “Financing Arrangements” for further information on the convertible senior notes and warrants related to the issuance of convertible notes.</w:t>
      </w:r>
    </w:p>
    <w:p>
      <w:pPr>
        <w:spacing w:after="0" w:line="18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of September 30, 2017, we had a share repurchase program, authorized by our board of directors, pursuant to which we may, from time to time, repurchase up to $125 million of our common stock through October 31, 2017 (the “Share Repurchase Program”). During the fourth quarter of 2017, our board of directors authorized an extension of the Share Repurchase Program through October 31, 2018. The amount and timing of the repurchases will be determined by management and will depend on a variety of factors, including the trading price of our common stock, capacity under our credit facility, general market and business conditions, and applicable legal requirements. No shares were repurchased during the first nine months of 2017. In the first quarter of 2016, we repurchased and retired 982,192 shares for $55.3 million. No shares were repurchased in the second or third quarter of 2016. As of September 30, 2017, $35.1 million remains available for share repurchases.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8. Financing Arrangements</w:t>
            </w: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78"/>
        </w:trPr>
        <w:tc>
          <w:tcPr>
            <w:tcW w:w="6740" w:type="dxa"/>
            <w:vAlign w:val="bottom"/>
          </w:tcPr>
          <w:p>
            <w:pPr>
              <w:spacing w:after="0"/>
              <w:rPr>
                <w:sz w:val="20"/>
                <w:szCs w:val="20"/>
                <w:color w:val="auto"/>
              </w:rPr>
            </w:pPr>
            <w:r>
              <w:rPr>
                <w:rFonts w:ascii="Arial" w:cs="Arial" w:eastAsia="Arial" w:hAnsi="Arial"/>
                <w:sz w:val="18"/>
                <w:szCs w:val="18"/>
                <w:color w:val="auto"/>
              </w:rPr>
              <w:t>A summary of the carrying amounts of our debt follows:</w:t>
            </w: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78"/>
        </w:trPr>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2017</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2016</w:t>
            </w: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1.25% convertible senior notes due 2019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230,834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224,065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Senior secured credit facility</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139,000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68,000</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Promissory note due 2024</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Total long-term debt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374,825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292,065</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Current maturities of debt </w:t>
            </w:r>
            <w:r>
              <w:rPr>
                <w:rFonts w:ascii="Arial" w:cs="Arial" w:eastAsia="Arial" w:hAnsi="Arial"/>
                <w:sz w:val="25"/>
                <w:szCs w:val="25"/>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2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Long-term debt, net of current portion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374,328</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292,065</w:t>
            </w:r>
          </w:p>
        </w:tc>
      </w:tr>
      <w:tr>
        <w:trPr>
          <w:trHeight w:val="27"/>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40" w:firstLine="8"/>
        <w:spacing w:after="0" w:line="436" w:lineRule="auto"/>
        <w:tabs>
          <w:tab w:leader="none" w:pos="64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current maturities of debt are included as a component of accrued expenses and other current liabilities on our consolidated balance sheets. Below is a summary of the scheduled remaining principal payments of our debt as of September 30, 2017.</w:t>
      </w:r>
    </w:p>
    <w:tbl>
      <w:tblPr>
        <w:tblLayout w:type="fixed"/>
        <w:tblInd w:w="0" w:type="dxa"/>
        <w:tblCellMar>
          <w:top w:w="0" w:type="dxa"/>
          <w:left w:w="0" w:type="dxa"/>
          <w:bottom w:w="0" w:type="dxa"/>
          <w:right w:w="0" w:type="dxa"/>
        </w:tblCellMar>
      </w:tblPr>
      <w:tr>
        <w:trPr>
          <w:trHeight w:val="216"/>
        </w:trPr>
        <w:tc>
          <w:tcPr>
            <w:tcW w:w="9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Principal Payments of</w:t>
            </w:r>
          </w:p>
        </w:tc>
      </w:tr>
      <w:tr>
        <w:trPr>
          <w:trHeight w:val="234"/>
        </w:trPr>
        <w:tc>
          <w:tcPr>
            <w:tcW w:w="9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jc w:val="right"/>
              <w:ind w:right="350"/>
              <w:spacing w:after="0"/>
              <w:rPr>
                <w:sz w:val="20"/>
                <w:szCs w:val="20"/>
                <w:color w:val="auto"/>
              </w:rPr>
            </w:pPr>
            <w:r>
              <w:rPr>
                <w:rFonts w:ascii="Arial" w:cs="Arial" w:eastAsia="Arial" w:hAnsi="Arial"/>
                <w:sz w:val="18"/>
                <w:szCs w:val="18"/>
                <w:b w:val="1"/>
                <w:bCs w:val="1"/>
                <w:color w:val="auto"/>
              </w:rPr>
              <w:t>Long-Term Debt</w:t>
            </w:r>
          </w:p>
        </w:tc>
      </w:tr>
      <w:tr>
        <w:trPr>
          <w:trHeight w:val="27"/>
        </w:trPr>
        <w:tc>
          <w:tcPr>
            <w:tcW w:w="9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501</w:t>
            </w:r>
          </w:p>
        </w:tc>
      </w:tr>
      <w:tr>
        <w:trPr>
          <w:trHeight w:val="27"/>
        </w:trPr>
        <w:tc>
          <w:tcPr>
            <w:tcW w:w="9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250,515</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139,529</w:t>
            </w:r>
          </w:p>
        </w:tc>
      </w:tr>
      <w:tr>
        <w:trPr>
          <w:trHeight w:val="27"/>
        </w:trPr>
        <w:tc>
          <w:tcPr>
            <w:tcW w:w="9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2,779</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7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September 2014, the Company issued $250 million principal amount of 1.25% convertible senior notes due 2019 (the “Convertible Notes”) in a private offering. The Convertible Notes are governed by the terms of an indenture between the Company and U.S. Bank National Association, as Trustee (the “Indenture”). The Convertible Notes are senior unsecured obligations of the Company and will pay interest semi-annually on April 1 and October 1 of each year at an annual rate of 1.25%. The Convertible Notes will mature on October 1, 2019, unless earlier repurchased by the Company or converted in accordance with their terms.</w:t>
      </w:r>
    </w:p>
    <w:p>
      <w:pPr>
        <w:spacing w:after="0" w:line="13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Upon conversion, the Convertible Notes will be settled, at our election, in cash, shares of the Company’s common stock, or a combination of cash and shares of the Company’s common stock. Our current intent and policy is to settle conversions with a combination of cash and shares of common stock with the principal amount of the Convertible Notes paid in cash, in accordance with the settlement provisions of the Indenture.</w:t>
      </w:r>
    </w:p>
    <w:p>
      <w:pPr>
        <w:spacing w:after="0" w:line="11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initial conversion rate for the Convertible Notes is 12.5170 shares of our common stock per $1,000 principal amount of the Convertible Notes, which is equal to an initial conversion price of approximately $79.89 per share of our common stock. The conversion rate will be subject to adjustment upon the occurrence of certain specified events but will not be adjusted for accrued and unpaid interest, except in certain limited circumstances described in the Indenture. Upon the occurrence of a “make-whole fundamental change” (as defined in the Indenture) the Company will, in certain circumstances, increase the conversion rate by a number of additional shares for a holder that elects to convert its Convertible Notes in connection with such make-whole fundamental change. Additionally, if the Company undergoes a “fundamental change” (as defined in the Indenture), a holder will have the option to require the Company to repurchase all or a portion of its Convertible Notes for cash at a price equal to 100% of the principal amount of the Convertible Notes being repurchased plus any accrued and unpaid interest. As discussed below, the convertible note hedge transactions and warrants, which were entered into in connection with the Convertible Notes, effectively raise the price at which economic dilution would occur from the initial conversion price of approximately $79.89 to approximately $97.12 per share.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Holders of the Convertible Notes may convert their Convertible Notes at their option at any time prior to July 1, 2019, only under the following circumstances:</w:t>
      </w:r>
    </w:p>
    <w:p>
      <w:pPr>
        <w:spacing w:after="0" w:line="143" w:lineRule="exact"/>
        <w:rPr>
          <w:sz w:val="20"/>
          <w:szCs w:val="20"/>
          <w:color w:val="auto"/>
        </w:rPr>
      </w:pPr>
    </w:p>
    <w:p>
      <w:pPr>
        <w:ind w:left="740" w:right="80" w:hanging="732"/>
        <w:spacing w:after="0" w:line="259"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any calendar quarter (and only during such calendar quarter) commencing after December 31, 2014 if, for each of at least 20 trading days (whether or not consecutive) during the 30 consecutive trading day period ending on, and including, the last trading day of the immediately preceding calendar quarter, the last reported sale price of the Company’s common stock for such trading day is equal to or greater than 130% of the applicable conversion price on such trading day;</w:t>
      </w:r>
    </w:p>
    <w:p>
      <w:pPr>
        <w:spacing w:after="0" w:line="132" w:lineRule="exact"/>
        <w:rPr>
          <w:rFonts w:ascii="Arial" w:cs="Arial" w:eastAsia="Arial" w:hAnsi="Arial"/>
          <w:sz w:val="18"/>
          <w:szCs w:val="18"/>
          <w:color w:val="auto"/>
        </w:rPr>
      </w:pPr>
    </w:p>
    <w:p>
      <w:pPr>
        <w:ind w:left="740" w:right="180" w:hanging="732"/>
        <w:spacing w:after="0" w:line="279" w:lineRule="auto"/>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during the five consecutive business day period immediately following any five consecutive trading day period (such five consecutive trading day period, the “measurement period”) in which, for each trading day of the measurement period, the “trading price” (as defined in the Indenture) per $1,000 principal amount of the Convertible Notes for such trading day was less than 98% of the product of the last reported sale price of the Company’s common stock for such trading day and the applicable conversion rate on such trading day; or</w:t>
      </w:r>
    </w:p>
    <w:p>
      <w:pPr>
        <w:spacing w:after="0" w:line="117" w:lineRule="exact"/>
        <w:rPr>
          <w:rFonts w:ascii="Arial" w:cs="Arial" w:eastAsia="Arial" w:hAnsi="Arial"/>
          <w:sz w:val="17"/>
          <w:szCs w:val="17"/>
          <w:color w:val="auto"/>
        </w:rPr>
      </w:pPr>
    </w:p>
    <w:p>
      <w:pPr>
        <w:ind w:left="740" w:hanging="732"/>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the occurrence of specified corporate transactions described in the Indenture.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or after July 1, 2019 until the close of business on the second scheduled trading day immediately preceding the maturity date, a holder may convert all or a portion of its Convertible Notes, regardless of the foregoing circumstances.</w:t>
      </w:r>
    </w:p>
    <w:p>
      <w:pPr>
        <w:spacing w:after="0" w:line="11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have separated the Convertible Notes into liability and equity components. The carrying amount of the liability component was determined by measuring the fair value of a similar liability that does not have an associated convertible feature, assuming our non-convertible debt borrowing rate. The carrying value of the equity component representing the conversion option, which is recognized as a debt discount, was determined by deducting the fair value of the liability component from the proceeds of the Convertible Notes. The debt discount is amortized to interest expense using an effective interest rate of 4.751% over the term of the Convertible Notes. As of September 30, 2017, the remaining life of the Convertible Notes is 2.0 years. The equity component will not be remeasured as long as it continues to meet the conditions for equity classification.</w:t>
      </w:r>
    </w:p>
    <w:p>
      <w:pPr>
        <w:spacing w:after="0" w:line="12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transaction costs related to the issuance of the Convertible Notes were separated into liability and equity components based on their relative values, as determined above. Transaction costs attributable to the liability component are recorded as a deduction to the carrying amount of the liability and amortized to interest expense over the term of the Convertible Notes; and transaction costs attributable to the equity component are netted with the equity component of the Convertible Notes in stockholders’ equity. Total debt issuance costs were approximately $7.3 million, of which $6.2 million was allocated to liability issuance costs and $1.1 million was allocated to equity issuance costs.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2017 and December 31, 2016, the Convertible Notes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 2017</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2016</w:t>
            </w: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component:</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Proceeds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250,000</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debt discount, net of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(22,520)</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Less: debt issuance costs, net of amortization</w:t>
            </w: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(3,415)</w:t>
            </w: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carrying amount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230,834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224,065</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7080" w:type="dxa"/>
            <w:vAlign w:val="bottom"/>
          </w:tcPr>
          <w:p>
            <w:pPr>
              <w:ind w:left="40"/>
              <w:spacing w:after="0"/>
              <w:rPr>
                <w:sz w:val="20"/>
                <w:szCs w:val="20"/>
                <w:color w:val="auto"/>
              </w:rPr>
            </w:pPr>
            <w:r>
              <w:rPr>
                <w:rFonts w:ascii="Arial" w:cs="Arial" w:eastAsia="Arial" w:hAnsi="Arial"/>
                <w:sz w:val="18"/>
                <w:szCs w:val="18"/>
                <w:color w:val="auto"/>
              </w:rPr>
              <w:t xml:space="preserve">Equity component </w:t>
            </w:r>
            <w:r>
              <w:rPr>
                <w:rFonts w:ascii="Arial" w:cs="Arial" w:eastAsia="Arial" w:hAnsi="Arial"/>
                <w:sz w:val="21"/>
                <w:szCs w:val="21"/>
                <w:color w:val="auto"/>
                <w:vertAlign w:val="superscript"/>
              </w:rPr>
              <w:t>(1)</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39,287</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39,287</w:t>
            </w:r>
          </w:p>
        </w:tc>
      </w:tr>
      <w:tr>
        <w:trPr>
          <w:trHeight w:val="20"/>
        </w:trPr>
        <w:tc>
          <w:tcPr>
            <w:tcW w:w="7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065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44" w:lineRule="exact"/>
        <w:rPr>
          <w:sz w:val="20"/>
          <w:szCs w:val="20"/>
          <w:color w:val="auto"/>
        </w:rPr>
      </w:pPr>
    </w:p>
    <w:p>
      <w:pPr>
        <w:jc w:val="right"/>
        <w:ind w:left="5620" w:right="5620" w:hanging="5612"/>
        <w:spacing w:after="0" w:line="659" w:lineRule="auto"/>
        <w:tabs>
          <w:tab w:leader="none" w:pos="639"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Included in additional paid-in capital on the consolidated balance sheet. 16</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amount of interest expense recognized related to the Convertible Notes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56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Nine Months Ended</w:t>
            </w:r>
          </w:p>
        </w:tc>
        <w:tc>
          <w:tcPr>
            <w:tcW w:w="540" w:type="dxa"/>
            <w:vAlign w:val="bottom"/>
          </w:tcPr>
          <w:p>
            <w:pPr>
              <w:spacing w:after="0"/>
              <w:rPr>
                <w:sz w:val="18"/>
                <w:szCs w:val="18"/>
                <w:color w:val="auto"/>
              </w:rPr>
            </w:pPr>
          </w:p>
        </w:tc>
      </w:tr>
      <w:tr>
        <w:trPr>
          <w:trHeight w:val="234"/>
        </w:trPr>
        <w:tc>
          <w:tcPr>
            <w:tcW w:w="5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w w:val="92"/>
              </w:rPr>
              <w:t>September 30,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8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w w:val="92"/>
              </w:rPr>
              <w:t>September 30,</w:t>
            </w:r>
          </w:p>
        </w:tc>
        <w:tc>
          <w:tcPr>
            <w:tcW w:w="5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40" w:type="dxa"/>
            <w:vAlign w:val="bottom"/>
          </w:tcPr>
          <w:p>
            <w:pPr>
              <w:spacing w:after="0"/>
              <w:rPr>
                <w:sz w:val="20"/>
                <w:szCs w:val="20"/>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interest coupon</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2,344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2,344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Amortization of debt discount</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1,974</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1,883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5,853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5,582</w:t>
            </w: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issuance costs</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interest expense</w:t>
            </w:r>
          </w:p>
        </w:tc>
        <w:tc>
          <w:tcPr>
            <w:tcW w:w="9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3,061</w:t>
            </w:r>
          </w:p>
        </w:tc>
        <w:tc>
          <w:tcPr>
            <w:tcW w:w="120" w:type="dxa"/>
            <w:vAlign w:val="bottom"/>
          </w:tcPr>
          <w:p>
            <w:pPr>
              <w:spacing w:after="0"/>
              <w:rPr>
                <w:sz w:val="20"/>
                <w:szCs w:val="20"/>
                <w:color w:val="auto"/>
              </w:rPr>
            </w:pPr>
          </w:p>
        </w:tc>
        <w:tc>
          <w:tcPr>
            <w:tcW w:w="94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2,966</w:t>
            </w:r>
          </w:p>
        </w:tc>
        <w:tc>
          <w:tcPr>
            <w:tcW w:w="100" w:type="dxa"/>
            <w:vAlign w:val="bottom"/>
          </w:tcPr>
          <w:p>
            <w:pPr>
              <w:spacing w:after="0"/>
              <w:rPr>
                <w:sz w:val="20"/>
                <w:szCs w:val="20"/>
                <w:color w:val="auto"/>
              </w:rPr>
            </w:pPr>
          </w:p>
        </w:tc>
        <w:tc>
          <w:tcPr>
            <w:tcW w:w="94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9,112</w:t>
            </w:r>
          </w:p>
        </w:tc>
        <w:tc>
          <w:tcPr>
            <w:tcW w:w="100" w:type="dxa"/>
            <w:vAlign w:val="bottom"/>
          </w:tcPr>
          <w:p>
            <w:pPr>
              <w:spacing w:after="0"/>
              <w:rPr>
                <w:sz w:val="20"/>
                <w:szCs w:val="20"/>
                <w:color w:val="auto"/>
              </w:rPr>
            </w:pPr>
          </w:p>
        </w:tc>
        <w:tc>
          <w:tcPr>
            <w:tcW w:w="94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8,826</w:t>
            </w:r>
          </w:p>
        </w:tc>
      </w:tr>
      <w:tr>
        <w:trPr>
          <w:trHeight w:val="27"/>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issuance of the Convertible Notes, we entered into convertible note hedge transactions and warrant transactions. The convertible note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hedge transactions are intended to reduce the potential future economic dilution associated with the conversion of the Convertible Notes and, combined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warrants, effectively raise the price at which economic dilution would occur from the initial conversion price of approximately $79.89 to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$97.12 per share. For purposes of the computation of diluted earnings per share in accordance with GAAP, dilution will occur when the average share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for a given period exceeds the conversion price of the Convertible Notes, which initially is equal to approximately $79.89 per share.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 hedge transactions and warrant transactions are discussed separately below.</w:t>
      </w:r>
    </w:p>
    <w:p>
      <w:pPr>
        <w:spacing w:after="0" w:line="184" w:lineRule="exact"/>
        <w:rPr>
          <w:sz w:val="20"/>
          <w:szCs w:val="20"/>
          <w:color w:val="auto"/>
        </w:rPr>
      </w:pPr>
    </w:p>
    <w:p>
      <w:pPr>
        <w:ind w:left="660" w:right="120" w:hanging="652"/>
        <w:spacing w:after="0" w:line="25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Convertible Note Hedge Transactions</w:t>
      </w:r>
      <w:r>
        <w:rPr>
          <w:rFonts w:ascii="Arial" w:cs="Arial" w:eastAsia="Arial" w:hAnsi="Arial"/>
          <w:sz w:val="18"/>
          <w:szCs w:val="18"/>
          <w:color w:val="auto"/>
        </w:rPr>
        <w:t>. In connection with the issuance of the Convertible Notes, the Company entered into convertible note hedge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whereby the Company has call options to purchase a total of approximately 3.1 million shares of the Company’s common stock, which is the number of shares initially issuable upon conversion of the Convertible Notes in full, at a price of approximately $79.89, which corresponds to the initial conversion price of the Convertible Notes, subject to customary anti-dilution adjustments substantially similar to those in the Convertible Notes. The convertible note hedge transactions are exercisable upon conversion of the Convertible Notes and will expire in 2019 if not earlier exercised. We paid an aggregate amount of $42.1 million for the convertible note hedge transactions, which was recorded as additional paid-in capital on the consolidated balance sheets. The convertible note hedge transactions are separate transactions and are not part of the terms of the Convertible Notes.</w:t>
      </w:r>
    </w:p>
    <w:p>
      <w:pPr>
        <w:spacing w:after="0" w:line="138" w:lineRule="exact"/>
        <w:rPr>
          <w:rFonts w:ascii="Arial" w:cs="Arial" w:eastAsia="Arial" w:hAnsi="Arial"/>
          <w:sz w:val="18"/>
          <w:szCs w:val="18"/>
          <w:color w:val="auto"/>
        </w:rPr>
      </w:pPr>
    </w:p>
    <w:p>
      <w:pPr>
        <w:ind w:left="660" w:right="20" w:hanging="652"/>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In connection with the issuance of the Convertible Notes, the Company sold warrants whereby the holders of the warrants have the option</w:t>
      </w:r>
      <w:r>
        <w:rPr>
          <w:rFonts w:ascii="Arial" w:cs="Arial" w:eastAsia="Arial" w:hAnsi="Arial"/>
          <w:sz w:val="18"/>
          <w:szCs w:val="18"/>
          <w:i w:val="1"/>
          <w:iCs w:val="1"/>
          <w:color w:val="auto"/>
        </w:rPr>
        <w:t xml:space="preserve"> </w:t>
      </w:r>
      <w:r>
        <w:rPr>
          <w:rFonts w:ascii="Arial" w:cs="Arial" w:eastAsia="Arial" w:hAnsi="Arial"/>
          <w:sz w:val="18"/>
          <w:szCs w:val="18"/>
          <w:color w:val="auto"/>
        </w:rPr>
        <w:t>to purchase a total of approximately 3.1 million shares of the Company’s common stock at a strike price of approximately $97.12. The warrants will expire incrementally on 100 different dates from January 6, 2020 to May 28, 2020 and are exercisable at each such expiry date. If the average market value per share of our common stock for the reporting period exceeds the strike price of the warrants, the warrants will have a dilutive effect on our earnings per share. We received aggregate proceeds of $23.6 million from the sale of the warrants, which was recorded as additional paid-in capital on the consolidated balance sheets. The warrants are separate transactions and are not part of the terms of the Convertible Notes or the convertible note hedge transactions.</w:t>
      </w:r>
    </w:p>
    <w:p>
      <w:pPr>
        <w:spacing w:after="0" w:line="13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recorded an initial deferred tax liability of $15.4 million in connection with the debt discount associated with the Convertible Notes and recorded an initial deferred tax asset of $16.5 million in connection with the convertible note hedge transactions. The deferred tax liability and deferred tax asset are included in deferred income taxes, net on the consolidated balance sheets.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has a $500 million five-year senior secured revolving credit facility, subject to the terms of a Second Amended and Restated Credit Agreement dated as of March 31, 2015, as amended to date (as amended and modified the "Amended Credit Facility"), that becomes due and payable in full upon maturity on March 31, 2020. The Amended Credit Agreement provides the option to increase the revolving credit facility or establish term loan facilities in an aggregate amount of up to $100 million, subject to customary conditions and the approval of any lender whose commitment would be increased, resulting in a maximum available principal amount under the Amended Credit Agreement of $600 million. The initial borrowings under the Amended Credit Agreement were used to refinance borrowings outstanding under a prior credit agreement, and future borrowings under the Amended Credit Agreement may be used for working capital, capital expenditures, acquisitions of businesses, share repurchases, and general corporate purposes.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1.25% per annum and 2.00% per annum, in the case of LIBOR borrowings, or between 0.25% per annum and 1.00% per annum, in the case of base rate loans, based upon our Consolidated Leverage Ratio at such time.</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Amounts borrowed under the Amended Credit Agreement may be prepaid at any time without premium or penalty. We are required to prepay the amounts outstanding under the Amended Credit Agreement in certain circumstances, including a requirement to pay all amounts outstanding under the Amended Credit Agreement 90 days prior to the Convertible Indebtedness Maturity Date (as defined in the Amended Credit Agreement) unless (1) the Convertible Indebtedness Maturity Date is waived or extended to a later date, (2) the Company can demonstrate (a) Liquidity (as defined in the Amended Credit Agreement) in an amount at least equal to the principal amount due on the Convertible Indebtedness Maturity Date, and (b) financial covenant compliance after giving effect to such payments and any additional indebtedness incurred on a pro forma basis, or (3) this requirement is waived by the Required Lenders (as defined in the Amended Credit Agreement). In addition, we have the right to permanently reduce or terminate the unused portion of the commitments provided under the Amended Credit Agreement at any time.</w:t>
      </w:r>
    </w:p>
    <w:p>
      <w:pPr>
        <w:spacing w:after="0" w:line="1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loans and obligations under the Amended Credit Agreement are secured pursuant to a Second Amended and Restated Security Agreement and a Second Amended and Restated Pledge Agreement (the “Pledge Agreement”) with Bank of America, N.A. as collateral agent, pursuant to which the Company and the subsidiary guarantors grant Bank of America, N.A., for the ratable benefit of the lenders under the Amended Credit Agreement, a first-priority lien, subject to permitted liens, on substantially all of the personal property assets of the Company and the subsidiary guarantors, and a pledge of 100% of the stock or other equity interests in all domestic subsidiaries and 65% of the stock or other equity interests in each “material first-tier foreign subsidiary” (as defined in the Pledge Agreement).</w:t>
      </w:r>
    </w:p>
    <w:p>
      <w:pPr>
        <w:spacing w:after="0" w:line="13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ranging from 3.25 to 1.00 to 3.75 to 1.00, depending on the measurement period, and</w:t>
      </w:r>
    </w:p>
    <w:p>
      <w:pPr>
        <w:ind w:right="40" w:firstLine="8"/>
        <w:spacing w:after="0" w:line="253" w:lineRule="auto"/>
        <w:tabs>
          <w:tab w:leader="none" w:pos="265" w:val="left"/>
        </w:tabs>
        <w:numPr>
          <w:ilvl w:val="0"/>
          <w:numId w:val="8"/>
        </w:numPr>
        <w:rPr>
          <w:rFonts w:ascii="Arial" w:cs="Arial" w:eastAsia="Arial" w:hAnsi="Arial"/>
          <w:sz w:val="18"/>
          <w:szCs w:val="18"/>
          <w:color w:val="auto"/>
        </w:rPr>
      </w:pPr>
      <w:r>
        <w:rPr>
          <w:rFonts w:ascii="Arial" w:cs="Arial" w:eastAsia="Arial" w:hAnsi="Arial"/>
          <w:sz w:val="18"/>
          <w:szCs w:val="18"/>
          <w:color w:val="auto"/>
        </w:rPr>
        <w:t>a minimum Consolidated Interest Coverage Ratio (defined as the ratio of consolidated EBITDA to interest) of 3.50 to 1.00. Consolidated EBITDA for purposes of the financial covenants is calculated on a continuing operations basis and includes adjustments to add back share-based compensation costs, non-cash goodwill impairment charges, certain non-cash restructuring charges, and pro forma historical EBITDA for businesses acquired. At September 30, 2017, we were in compliance with these financial covenants with a Consolidated Leverage Ratio of 3.52 to 1.00 and a Consolidated Interest Coverage Ratio of 12.60 to 1.00.</w:t>
      </w:r>
    </w:p>
    <w:p>
      <w:pPr>
        <w:spacing w:after="0" w:line="13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Borrowings outstanding under the Amended Credit Agreement at September 30, 2017 totaled $139.0 million. These borrowings carried a weighted average interest rate of 3.4%, including the effect of the interest rate swap described in Note 10 “Derivative Instruments and Hedging Activity." Borrowings outstanding under the Amended Credit Agreement at December 31, 2016 were $68.0 million and carried a weighted average interest rate of 2.5%. The borrowing capacity under the revolving credit facility is reduced by any outstanding borrowings under the revolving credit facility and outstanding letters of credit. At September 30, 2017, we had outstanding letters of credit totaling $2.7 million, which are primarily used as security deposits for our office facilities. As of September 30, 2017, the unused borrowing capacity under the revolving credit facility was $358.3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Promissory Note due 2024</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June 30, 2017, in conjunction with our purchase of an aircraft related to the acquisition of Innosight, we assumed, from the sellers of the aircraft, a promissory note with an outstanding principal balance of $5.1 million. The principal balance of the promissory note is subject to scheduled monthly principal payments until the maturity date of March 1, 2024, at which time a final payment of $1.5 million, plus any accrued and unpaid interest, will be due. Under the terms of the promissory note, we will pay interest on the outstanding principal amount at a rate of one-month LIBOR plus 1.97% per annum. The obligations under the promissory note are secured pursuant to a Loan and Aircraft Security Agreement with Banc of America Leasing &amp; Capital, LLC, which grants the lender a first priority security interest in the aircraft. At September 30, 2017, the outstanding principal amount of the promissory note was $5.0 million. As of September 30, 2017, the aircraft had a carrying amount of $6.6 million.</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Restructuring Charges</w:t>
      </w:r>
    </w:p>
    <w:p>
      <w:pPr>
        <w:spacing w:after="0" w:line="17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Restructuring charges for the three and nine months ended September 30, 2017 totaled $1.3 million and $5.3 million, respectively. The $1.3 million charge incurred in the third quarter of 2017 primarily related to the accrual of remaining lease obligations, net of estimated sublease income, due to relocating our San Francisco office to a smaller space and consolidating our New York offices in the third quarter of 2017, and accelerated depreciation on leasehold improvements for our San Francisco office. The $5.3 million of restructuring charges incurred in the first nine months of 2017 primarily consisted of $2.5 million related to the accrual of remaining lease obligations, net of estimated sublease income, due to relocating our San Francisco office to a smaller space and consolidating our Chicago and New York offices in the first nine months of 2017, and accelerated depreciation on leasehold improvements for our San Francisco office, $2.0 million related to workforce reductions in our Healthcare segment to better align our resources with market demand, and $0.4 million related to workforce reductions in our corporate operations primarily to adjust our infrastructure to align with the decreased workforce in the Healthcare segment.</w:t>
      </w:r>
    </w:p>
    <w:p>
      <w:pPr>
        <w:spacing w:after="0" w:line="14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Restructuring charges for the three and nine months ended September 30, 2016 totaled $1.0 million and $4.1 million, respectively. The $1.0 million charge incurred in the third quarter of 2016 primarily related to updated lease assumptions of our Washington, D.C. space vacated in the fourth quarter of 2014. The $4.1 million of restructuring charges incurred in the first nine months of 2016 primarily consisted of $1.5 million related to updated assumptions for lease accruals for the Washington, D.C. space vacated in the fourth quarter of 2014, $1.2 million related to workforce reductions in our Healthcare segment to better align resources with market demand, $0.9 million related to workforce reductions in our corporate operations as we adjusted our infrastructure to align with our Huron Legal divestiture, and $0.2 million related to the wind down of our foreign consulting operations based in the Middle East.</w:t>
      </w:r>
    </w:p>
    <w:p>
      <w:pPr>
        <w:spacing w:after="0" w:line="111"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The table below sets forth the changes in the carrying amount of our restructuring charge liability by restructuring type for the nine months ended September 30, 2017.</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Office Space</w:t>
            </w: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Employee Costs</w:t>
            </w:r>
          </w:p>
        </w:tc>
        <w:tc>
          <w:tcPr>
            <w:tcW w:w="20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Reductions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Balance as of December 31, 2016</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5,182</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5,773</w:t>
            </w:r>
          </w:p>
        </w:tc>
        <w:tc>
          <w:tcPr>
            <w:tcW w:w="100" w:type="dxa"/>
            <w:vAlign w:val="bottom"/>
          </w:tcPr>
          <w:p>
            <w:pPr>
              <w:spacing w:after="0"/>
              <w:rPr>
                <w:sz w:val="20"/>
                <w:szCs w:val="20"/>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10,979</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Additions </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2,889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2,445</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5,444</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Payments</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(9,268)</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Non-cash items</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September 30, 2017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4,965</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5,647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40" w:right="560" w:hanging="632"/>
        <w:spacing w:after="0" w:line="264"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Additions and adjustments for the nine months ended September 30, 2017 include a restructuring gain of $1.1 million related to updated lease assumptions for vacated office spaces directly related to discontinued operations. Refer to Note 4 "Discontinued Operations" for additional information on our discontinued operations.</w:t>
      </w:r>
    </w:p>
    <w:p>
      <w:pPr>
        <w:spacing w:after="0" w:line="12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 of September 30, 2017, our restructuring charge liability related to office space reductions of $5.0 million represented the present value of remaining lease payments, net of estimated sublease income, primarily for our vacated office spaces in Washington, D.C., Houston, San Francisco, and Chicago. This restructuring charge liability is included as a component of accrued expenses and other current liabilities and deferred compensation and other liabilities. All of the $0.7 million restructuring charge liability related to employee costs at September 30, 2017 is expected to be paid in the next 12 months. The restructuring charge liability related to employee costs is included as a component of accrued payroll and related benefits.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Instruments and Hedging Activity</w:t>
      </w:r>
    </w:p>
    <w:p>
      <w:pPr>
        <w:spacing w:after="0" w:line="17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April 4, 2013, we entered into a forward amortizing interest rate swap agreement effective March 31, 2014 which ended August 31, 2017. We entered into this derivative instrument to hedge against the interest rate risks of our variable-rate borrowings. The swap had an initial notional amount of $60.0 million and amortized quarterly until April 2016. In April 2016, the notional amount of this interest rate swap increased to $86.0 million and continued to amortize quarterly until it expired in August 2017. Under the terms of the interest rate swap agreement, we received from the counterparty interest on the notional amount based on one-month LIBOR and we paid to the counterparty a fixed rate of 0.985%.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June 22, 2017, we entered into a forward interest rate swap agreement effective August 31, 2017 and ending August 31, 2022, with a notional amount of $50.0 million. We entered into this derivative instrument to continue to hedge against the interest rate risks of our variable-rate borrowings. Under the terms of the interest rate swap agreement, we receive from the counterparty interest on the notional amount based on one-month LIBOR and we pay to the counterparty a fixed rate of 1.900%.</w:t>
      </w:r>
    </w:p>
    <w:p>
      <w:pPr>
        <w:spacing w:after="0" w:line="13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recognize all derivative instruments as either assets or liabilities at fair value on the balance sheet. We have designated these derivative instruments as cash flow hedges. Therefore, changes in the fair value of the derivative instruments are recorded to other comprehensive income (“OCI”) to the extent effective and reclassified into interest expense upon settlement. The ineffective portion of the change in fair value of the derivative instruments is recognized in interest expense. Our interest rate swap agreement was effective during the three and nine months ended September 30, 2017. As of September 30, 2017, it was anticipated that $0.1 million of the losses, net of tax, currently recorded in accumulated other comprehensive income will be reclassified into earnings within the next 12 months.</w:t>
      </w:r>
    </w:p>
    <w:p>
      <w:pPr>
        <w:spacing w:after="0" w:line="13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table below sets forth additional information relating to our interest rate swaps designated as a cash flow hedging instrument as of September 30, 2017 and December 31, 2016.</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9"/>
              </w:rPr>
              <w:t>Fair Value (Derivative Asset and Liability)</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18"/>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ind w:left="20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18"/>
                <w:szCs w:val="18"/>
                <w:color w:val="auto"/>
              </w:rPr>
            </w:pPr>
          </w:p>
        </w:tc>
        <w:tc>
          <w:tcPr>
            <w:tcW w:w="1840" w:type="dxa"/>
            <w:vAlign w:val="bottom"/>
          </w:tcPr>
          <w:p>
            <w:pPr>
              <w:jc w:val="right"/>
              <w:ind w:right="49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0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Sheet Location</w:t>
            </w:r>
          </w:p>
        </w:tc>
        <w:tc>
          <w:tcPr>
            <w:tcW w:w="320" w:type="dxa"/>
            <w:vAlign w:val="bottom"/>
          </w:tcPr>
          <w:p>
            <w:pPr>
              <w:spacing w:after="0"/>
              <w:rPr>
                <w:sz w:val="20"/>
                <w:szCs w:val="20"/>
                <w:color w:val="auto"/>
              </w:rPr>
            </w:pPr>
          </w:p>
        </w:tc>
        <w:tc>
          <w:tcPr>
            <w:tcW w:w="1840" w:type="dxa"/>
            <w:vAlign w:val="bottom"/>
          </w:tcPr>
          <w:p>
            <w:pPr>
              <w:jc w:val="right"/>
              <w:ind w:right="8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jc w:val="right"/>
              <w:ind w:right="810"/>
              <w:spacing w:after="0"/>
              <w:rPr>
                <w:sz w:val="20"/>
                <w:szCs w:val="20"/>
                <w:color w:val="auto"/>
              </w:rPr>
            </w:pPr>
            <w:r>
              <w:rPr>
                <w:rFonts w:ascii="Arial" w:cs="Arial" w:eastAsia="Arial" w:hAnsi="Arial"/>
                <w:sz w:val="18"/>
                <w:szCs w:val="18"/>
                <w:b w:val="1"/>
                <w:bCs w:val="1"/>
                <w:color w:val="auto"/>
              </w:rPr>
              <w:t>2016</w:t>
            </w:r>
          </w:p>
        </w:tc>
      </w:tr>
      <w:tr>
        <w:trPr>
          <w:trHeight w:val="27"/>
        </w:trPr>
        <w:tc>
          <w:tcPr>
            <w:tcW w:w="6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Accrued expenses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54</w:t>
            </w:r>
          </w:p>
        </w:tc>
      </w:tr>
    </w:tbl>
    <w:p>
      <w:pPr>
        <w:spacing w:after="0" w:line="17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All of our derivative instruments are transacted under the International Swaps and Derivatives Association (ISDA) master agreements. These agreements permit the net settlement of amounts owed in the event of default and certain other termination events. Although netting is permitted, it is our policy to record all derivative assets and liabilities on a gross basis on our consolidated balance sheet.</w:t>
      </w:r>
    </w:p>
    <w:p>
      <w:pPr>
        <w:spacing w:after="0" w:line="12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do not use derivative instruments for trading or other speculative purposes. Refer to Note 12 “Other Comprehensive Income (Loss)” for additional information on our derivative instrument.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of Financial Instruments</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Certain of our assets and liabilities are measured at fair value. Fair value is defined as the price that would be received to sell an asset or the price that would be paid to transfer a liability in an orderly transaction between market participants at the measurement date. GAAP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ectPr>
          <w:pgSz w:w="11900" w:h="16838" w:orient="portrait"/>
          <w:cols w:equalWidth="0" w:num="1">
            <w:col w:w="11420"/>
          </w:cols>
          <w:pgMar w:left="240" w:top="125" w:right="239" w:bottom="1440" w:gutter="0" w:footer="0" w:header="0"/>
        </w:sect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Level 1 Inputs</w:t>
      </w:r>
    </w:p>
    <w:p>
      <w:pPr>
        <w:spacing w:after="0" w:line="3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Level 2 Inputs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Quoted prices in active markets for identical assets or liabilities that the reporting entity has the ability to access at the measurement date.</w:t>
      </w:r>
    </w:p>
    <w:p>
      <w:pPr>
        <w:spacing w:after="0" w:line="13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125" w:lineRule="exact"/>
        <w:rPr>
          <w:sz w:val="20"/>
          <w:szCs w:val="20"/>
          <w:color w:val="auto"/>
        </w:rPr>
      </w:pPr>
    </w:p>
    <w:p>
      <w:pPr>
        <w:sectPr>
          <w:pgSz w:w="11900" w:h="16838" w:orient="portrait"/>
          <w:cols w:equalWidth="0" w:num="2">
            <w:col w:w="1820" w:space="720"/>
            <w:col w:w="8880"/>
          </w:cols>
          <w:pgMar w:left="240" w:top="125" w:right="239" w:bottom="1440" w:gutter="0" w:footer="0" w:header="0"/>
          <w:type w:val="continuous"/>
        </w:sectPr>
      </w:pPr>
    </w:p>
    <w:p>
      <w:pPr>
        <w:ind w:left="40"/>
        <w:spacing w:after="0"/>
        <w:tabs>
          <w:tab w:leader="none" w:pos="2520" w:val="left"/>
        </w:tabs>
        <w:rPr>
          <w:sz w:val="20"/>
          <w:szCs w:val="20"/>
          <w:color w:val="auto"/>
        </w:rPr>
      </w:pPr>
      <w:r>
        <w:rPr>
          <w:rFonts w:ascii="Arial" w:cs="Arial" w:eastAsia="Arial" w:hAnsi="Arial"/>
          <w:sz w:val="18"/>
          <w:szCs w:val="18"/>
          <w:color w:val="auto"/>
        </w:rPr>
        <w:t>Level 3 Inputs</w:t>
      </w:r>
      <w:r>
        <w:rPr>
          <w:sz w:val="20"/>
          <w:szCs w:val="20"/>
          <w:color w:val="auto"/>
        </w:rPr>
        <w:tab/>
      </w:r>
      <w:r>
        <w:rPr>
          <w:rFonts w:ascii="Arial" w:cs="Arial" w:eastAsia="Arial" w:hAnsi="Arial"/>
          <w:sz w:val="16"/>
          <w:szCs w:val="16"/>
          <w:color w:val="auto"/>
        </w:rPr>
        <w:t>Unobservable inputs for the asset or liability, and include situations in which there is little, if any, market activity for the</w:t>
      </w:r>
    </w:p>
    <w:p>
      <w:pPr>
        <w:spacing w:after="0" w:line="2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asset or liability.</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 below sets forth our fair value hierarchy for our financial assets and liabilities measured at fair value on a recurring basis as of September 30, 2017 and December 31, 2016.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Level 1</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2</w:t>
            </w: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3</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2017</w:t>
            </w: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Promissory note</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2,311</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Convertible debt investment</w:t>
            </w: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31,937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31,937</w:t>
            </w:r>
          </w:p>
        </w:tc>
      </w:tr>
      <w:tr>
        <w:trPr>
          <w:trHeight w:val="27"/>
        </w:trPr>
        <w:tc>
          <w:tcPr>
            <w:tcW w:w="4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assets</w:t>
            </w:r>
          </w:p>
        </w:tc>
        <w:tc>
          <w:tcPr>
            <w:tcW w:w="12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17,170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17,170</w:t>
            </w:r>
          </w:p>
        </w:tc>
      </w:tr>
      <w:tr>
        <w:trPr>
          <w:trHeight w:val="237"/>
        </w:trPr>
        <w:tc>
          <w:tcPr>
            <w:tcW w:w="480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1220" w:type="dxa"/>
            <w:vAlign w:val="bottom"/>
            <w:tcBorders>
              <w:top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17,170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34,248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51,418</w:t>
            </w:r>
          </w:p>
        </w:tc>
      </w:tr>
      <w:tr>
        <w:trPr>
          <w:trHeight w:val="27"/>
        </w:trPr>
        <w:tc>
          <w:tcPr>
            <w:tcW w:w="48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
        </w:trPr>
        <w:tc>
          <w:tcPr>
            <w:tcW w:w="4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for business acquisitions</w:t>
            </w:r>
          </w:p>
        </w:tc>
        <w:tc>
          <w:tcPr>
            <w:tcW w:w="12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22,469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22,469</w:t>
            </w:r>
          </w:p>
        </w:tc>
      </w:tr>
      <w:tr>
        <w:trPr>
          <w:trHeight w:val="237"/>
        </w:trPr>
        <w:tc>
          <w:tcPr>
            <w:tcW w:w="480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1220" w:type="dxa"/>
            <w:vAlign w:val="bottom"/>
            <w:tcBorders>
              <w:top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22,469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22,528</w:t>
            </w:r>
          </w:p>
        </w:tc>
      </w:tr>
      <w:tr>
        <w:trPr>
          <w:trHeight w:val="27"/>
        </w:trPr>
        <w:tc>
          <w:tcPr>
            <w:tcW w:w="48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2016</w:t>
            </w: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Promissory note</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2,325</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Convertible debt investment</w:t>
            </w: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34,675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34,675</w:t>
            </w:r>
          </w:p>
        </w:tc>
      </w:tr>
      <w:tr>
        <w:trPr>
          <w:trHeight w:val="27"/>
        </w:trPr>
        <w:tc>
          <w:tcPr>
            <w:tcW w:w="4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assets</w:t>
            </w:r>
          </w:p>
        </w:tc>
        <w:tc>
          <w:tcPr>
            <w:tcW w:w="12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16,408</w:t>
            </w:r>
          </w:p>
        </w:tc>
      </w:tr>
      <w:tr>
        <w:trPr>
          <w:trHeight w:val="237"/>
        </w:trPr>
        <w:tc>
          <w:tcPr>
            <w:tcW w:w="480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1220" w:type="dxa"/>
            <w:vAlign w:val="bottom"/>
            <w:tcBorders>
              <w:top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16,408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37,000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53,408</w:t>
            </w:r>
          </w:p>
        </w:tc>
      </w:tr>
      <w:tr>
        <w:trPr>
          <w:trHeight w:val="27"/>
        </w:trPr>
        <w:tc>
          <w:tcPr>
            <w:tcW w:w="48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
        </w:trPr>
        <w:tc>
          <w:tcPr>
            <w:tcW w:w="4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for business acquisitions</w:t>
            </w:r>
          </w:p>
        </w:tc>
        <w:tc>
          <w:tcPr>
            <w:tcW w:w="12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8,827</w:t>
            </w:r>
          </w:p>
        </w:tc>
      </w:tr>
      <w:tr>
        <w:trPr>
          <w:trHeight w:val="237"/>
        </w:trPr>
        <w:tc>
          <w:tcPr>
            <w:tcW w:w="480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1220" w:type="dxa"/>
            <w:vAlign w:val="bottom"/>
            <w:tcBorders>
              <w:top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8,827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8,881</w:t>
            </w:r>
          </w:p>
        </w:tc>
      </w:tr>
      <w:tr>
        <w:trPr>
          <w:trHeight w:val="27"/>
        </w:trPr>
        <w:tc>
          <w:tcPr>
            <w:tcW w:w="48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Deferred compensation assets: </w:t>
      </w:r>
      <w:r>
        <w:rPr>
          <w:rFonts w:ascii="Arial" w:cs="Arial" w:eastAsia="Arial" w:hAnsi="Arial"/>
          <w:sz w:val="16"/>
          <w:szCs w:val="16"/>
          <w:color w:val="auto"/>
        </w:rPr>
        <w:t>We have a non-qualified deferred compensation plan (the "Plan") for the members of our board of directors and a select group</w:t>
      </w:r>
      <w:r>
        <w:rPr>
          <w:rFonts w:ascii="Arial" w:cs="Arial" w:eastAsia="Arial" w:hAnsi="Arial"/>
          <w:sz w:val="16"/>
          <w:szCs w:val="16"/>
          <w:i w:val="1"/>
          <w:iCs w:val="1"/>
          <w:color w:val="auto"/>
        </w:rPr>
        <w:t xml:space="preserve"> </w:t>
      </w:r>
      <w:r>
        <w:rPr>
          <w:rFonts w:ascii="Arial" w:cs="Arial" w:eastAsia="Arial" w:hAnsi="Arial"/>
          <w:sz w:val="16"/>
          <w:szCs w:val="16"/>
          <w:color w:val="auto"/>
        </w:rPr>
        <w:t>of our employees. The deferred compensation liability is funded by the Plan assets, which consist of life insurance policies maintained within a trust. The cash surrender value of the life insurance policies approximates fair value, and is based on third-party broker statements which provide the fair value of the life insurance policies' underlying investments, which are Level 2 inputs. The cash surrender value of the life insurance policies is invested primarily in mutual funds. The Plan assets are included in other non-current assets on our consolidated balance sheet. Realized and unrealized gains (losses) from the deferred compensation assets are recorded to other income (expense), net in our consolidated statements of operations.</w:t>
      </w:r>
    </w:p>
    <w:p>
      <w:pPr>
        <w:sectPr>
          <w:pgSz w:w="11900" w:h="16838" w:orient="portrait"/>
          <w:cols w:equalWidth="0" w:num="1">
            <w:col w:w="11420"/>
          </w:cols>
          <w:pgMar w:left="240" w:top="125" w:right="239" w:bottom="1440" w:gutter="0" w:footer="0" w:header="0"/>
          <w:type w:val="continuous"/>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i w:val="1"/>
          <w:iCs w:val="1"/>
          <w:color w:val="auto"/>
        </w:rPr>
        <w:t xml:space="preserve">Interest rate swaps: </w:t>
      </w:r>
      <w:r>
        <w:rPr>
          <w:rFonts w:ascii="Arial" w:cs="Arial" w:eastAsia="Arial" w:hAnsi="Arial"/>
          <w:sz w:val="16"/>
          <w:szCs w:val="16"/>
          <w:color w:val="auto"/>
        </w:rPr>
        <w:t>The fair values of our interest rate swaps were derived using estimates to settle the interest rate swap agreements, which are based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net present value of expected future cash flows on each leg of the swaps utilizing market-based inputs and discount rates reflecting the risks involved.</w:t>
      </w:r>
    </w:p>
    <w:p>
      <w:pPr>
        <w:spacing w:after="0" w:line="7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i w:val="1"/>
          <w:iCs w:val="1"/>
          <w:color w:val="auto"/>
        </w:rPr>
        <w:t>Promissory note</w:t>
      </w:r>
      <w:r>
        <w:rPr>
          <w:rFonts w:ascii="Arial" w:cs="Arial" w:eastAsia="Arial" w:hAnsi="Arial"/>
          <w:sz w:val="18"/>
          <w:szCs w:val="18"/>
          <w:color w:val="auto"/>
        </w:rPr>
        <w:t>: As part of the consideration received for the sale of our Accounting Advisory practice on December 30, 2011, we received a $3.5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promissory note payable over four years. During the second quarter of 2014, we agreed to amend and restate the note such that principal payments will be paid to us annually based on the amount of excess cash flows earned each year by the maker of the note until the maturity date of December 31, 2018, at which time the remaining principal balance and any accrued interest is due. The fair value of the note is based on the net present value of the projected cash flows using a discount rate of 17%, which accounts for the risks associated with the note. This fair value measurement is based on significant inputs not observable in the market and thus represent Level 3 inputs. As of September 30, 2017, $0.2 million is recorded in prepaid expenses and other current assets and represents the present value of the payments expected to be received in the next 12 months, and the remaining $2.1 million is recorded in other non-current assets.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balance of the promissory note for the nine months ended September 30,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580" w:type="dxa"/>
            <w:vAlign w:val="bottom"/>
          </w:tcPr>
          <w:p>
            <w:pPr>
              <w:jc w:val="right"/>
              <w:ind w:right="810"/>
              <w:spacing w:after="0"/>
              <w:rPr>
                <w:sz w:val="20"/>
                <w:szCs w:val="20"/>
                <w:color w:val="auto"/>
              </w:rPr>
            </w:pPr>
            <w:r>
              <w:rPr>
                <w:rFonts w:ascii="Arial" w:cs="Arial" w:eastAsia="Arial" w:hAnsi="Arial"/>
                <w:sz w:val="18"/>
                <w:szCs w:val="18"/>
                <w:b w:val="1"/>
                <w:bCs w:val="1"/>
                <w:color w:val="auto"/>
              </w:rPr>
              <w:t>Promissory Note</w:t>
            </w:r>
          </w:p>
        </w:tc>
      </w:tr>
      <w:tr>
        <w:trPr>
          <w:trHeight w:val="27"/>
        </w:trPr>
        <w:tc>
          <w:tcPr>
            <w:tcW w:w="83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payments received</w:t>
            </w:r>
          </w:p>
        </w:tc>
        <w:tc>
          <w:tcPr>
            <w:tcW w:w="50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
        </w:trPr>
        <w:tc>
          <w:tcPr>
            <w:tcW w:w="8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payment received</w:t>
            </w:r>
          </w:p>
        </w:tc>
        <w:tc>
          <w:tcPr>
            <w:tcW w:w="5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 in fair value of promissory note</w:t>
            </w:r>
          </w:p>
        </w:tc>
        <w:tc>
          <w:tcPr>
            <w:tcW w:w="500" w:type="dxa"/>
            <w:vAlign w:val="bottom"/>
          </w:tcPr>
          <w:p>
            <w:pPr>
              <w:spacing w:after="0"/>
              <w:rPr>
                <w:sz w:val="21"/>
                <w:szCs w:val="21"/>
                <w:color w:val="auto"/>
              </w:rPr>
            </w:pPr>
          </w:p>
        </w:tc>
        <w:tc>
          <w:tcPr>
            <w:tcW w:w="2580" w:type="dxa"/>
            <w:vAlign w:val="bottom"/>
          </w:tcPr>
          <w:p>
            <w:pPr>
              <w:jc w:val="right"/>
              <w:ind w:right="10"/>
              <w:spacing w:after="0"/>
              <w:rPr>
                <w:sz w:val="20"/>
                <w:szCs w:val="20"/>
                <w:color w:val="auto"/>
              </w:rPr>
            </w:pPr>
            <w:r>
              <w:rPr>
                <w:rFonts w:ascii="Arial" w:cs="Arial" w:eastAsia="Arial" w:hAnsi="Arial"/>
                <w:sz w:val="18"/>
                <w:szCs w:val="18"/>
                <w:color w:val="auto"/>
              </w:rPr>
              <w:t>303</w:t>
            </w:r>
          </w:p>
        </w:tc>
      </w:tr>
      <w:tr>
        <w:trPr>
          <w:trHeight w:val="27"/>
        </w:trPr>
        <w:tc>
          <w:tcPr>
            <w:tcW w:w="83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2017</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2,311</w:t>
            </w:r>
          </w:p>
        </w:tc>
      </w:tr>
      <w:tr>
        <w:trPr>
          <w:trHeight w:val="20"/>
        </w:trPr>
        <w:tc>
          <w:tcPr>
            <w:tcW w:w="8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Convertible debt investment: </w:t>
      </w:r>
      <w:r>
        <w:rPr>
          <w:rFonts w:ascii="Arial" w:cs="Arial" w:eastAsia="Arial" w:hAnsi="Arial"/>
          <w:sz w:val="18"/>
          <w:szCs w:val="18"/>
          <w:color w:val="auto"/>
        </w:rPr>
        <w:t>In 2014 and 2015, we invested $27.9 million, in the form of zero coupon convertible debt, in Shorelight Holdings, LLC</w:t>
      </w:r>
      <w:r>
        <w:rPr>
          <w:rFonts w:ascii="Arial" w:cs="Arial" w:eastAsia="Arial" w:hAnsi="Arial"/>
          <w:sz w:val="18"/>
          <w:szCs w:val="18"/>
          <w:i w:val="1"/>
          <w:iCs w:val="1"/>
          <w:color w:val="auto"/>
        </w:rPr>
        <w:t xml:space="preserve"> </w:t>
      </w:r>
      <w:r>
        <w:rPr>
          <w:rFonts w:ascii="Arial" w:cs="Arial" w:eastAsia="Arial" w:hAnsi="Arial"/>
          <w:sz w:val="18"/>
          <w:szCs w:val="18"/>
          <w:color w:val="auto"/>
        </w:rPr>
        <w:t>(“Shorelight”), the parent company of Shorelight Education, a U.S.-based company that partners with leading nonprofit universities to increase access to and retention of international students, boost institutional growth, and enhance an institution’s global footprint. The notes will mature on July 1, 2020, unless converted earlier.</w:t>
      </w:r>
    </w:p>
    <w:p>
      <w:pPr>
        <w:spacing w:after="0" w:line="13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 determine the appropriate accounting treatment for our investment, we performed a variable interest entity (“VIE”) analysis and concluded that Shorelight does not meet the definition of a VIE. We also reviewed the characteristics of our investment to confirm that the convertible notes are not in-substance common stock that would warrant equity method accounting. After we reviewed all of the terms of the investment, we concluded the appropriate accounting treatment to be that of an available-for-sale debt security.</w:t>
      </w:r>
    </w:p>
    <w:p>
      <w:pPr>
        <w:spacing w:after="0" w:line="13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investment is carried at fair value with unrealized holding gains and losses excluded from earnings and reported in other comprehensive income. We estimated the fair value of our investment using a Monte Carlo simulation model, cash flow projections discounted at a risk-adjusted rate, and certain assumptions related to equity volatility, default probability, and recovery rate, all of which are Level 3 inputs. The use of alternative estimates and assumptions could increase or decrease the estimated fair value of the investment, which would result in different impacts to our consolidated balance sheet and comprehensive income. Actual results may differ from our estimates. The fair value of the convertible debt investment is recorded in long-term investment.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balance of the convertible debt investment for the nine months ended September 30,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tcPr>
          <w:p>
            <w:pPr>
              <w:jc w:val="right"/>
              <w:ind w:right="330"/>
              <w:spacing w:after="0"/>
              <w:rPr>
                <w:sz w:val="20"/>
                <w:szCs w:val="20"/>
                <w:color w:val="auto"/>
              </w:rPr>
            </w:pPr>
            <w:r>
              <w:rPr>
                <w:rFonts w:ascii="Arial" w:cs="Arial" w:eastAsia="Arial" w:hAnsi="Arial"/>
                <w:sz w:val="18"/>
                <w:szCs w:val="18"/>
                <w:b w:val="1"/>
                <w:bCs w:val="1"/>
                <w:color w:val="auto"/>
                <w:w w:val="96"/>
              </w:rPr>
              <w:t>Convertible Debt Investment</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34,675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 in fair value of convertible debt investment</w:t>
            </w:r>
          </w:p>
        </w:tc>
        <w:tc>
          <w:tcPr>
            <w:tcW w:w="280" w:type="dxa"/>
            <w:vAlign w:val="bottom"/>
          </w:tcPr>
          <w:p>
            <w:pPr>
              <w:spacing w:after="0"/>
              <w:rPr>
                <w:sz w:val="21"/>
                <w:szCs w:val="21"/>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(2,738)</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2017</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31,937</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Contingent consideration for business acquisitions: </w:t>
      </w:r>
      <w:r>
        <w:rPr>
          <w:rFonts w:ascii="Arial" w:cs="Arial" w:eastAsia="Arial" w:hAnsi="Arial"/>
          <w:sz w:val="18"/>
          <w:szCs w:val="18"/>
          <w:color w:val="auto"/>
        </w:rPr>
        <w:t>We estimate the fair value of acquisition-related contingent consideration using either a probability-weighted assessment of the specific financial performance targets being achieved or a Monte Carlo simulation model, as appropriate. These fair value measurements are based on significant inputs not observable in the market and thus represent Level 3 inputs. The significant unobservable inputs used in the fair value measurements of our contingent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consideration are our measures of the estimated payouts based on internally generated financial projections on a probability-weighted basis and discount rates, which typically reflect a risk-free rate. The fair value of the contingent consideration is reassessed quarterly based on assumptions used in our latest projections and input provided by practice leaders and management. Any change in the fair value estimate is recorded in our consolidated statement of operations for that period. The use of alternative estimates and assumptions could increase or decrease the estimated fair value of our contingent consideration liability, which would result in different impacts to our consolidated balance sheets and consolidated statements of operations. Actual results may differ from our estimates. Refer to Note 5 “Acquisitions” for information on the acquisitions completed in 2017. The table below sets forth the changes in the balance of the contingent consideration for business acquisitions for the nine months ended September 30, 2017.</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308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Contingent Consideration for Business</w:t>
            </w:r>
          </w:p>
        </w:tc>
      </w:tr>
      <w:tr>
        <w:trPr>
          <w:trHeight w:val="234"/>
        </w:trPr>
        <w:tc>
          <w:tcPr>
            <w:tcW w:w="8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80" w:type="dxa"/>
            <w:vAlign w:val="bottom"/>
          </w:tcPr>
          <w:p>
            <w:pPr>
              <w:jc w:val="right"/>
              <w:ind w:right="970"/>
              <w:spacing w:after="0"/>
              <w:rPr>
                <w:sz w:val="20"/>
                <w:szCs w:val="20"/>
                <w:color w:val="auto"/>
              </w:rPr>
            </w:pPr>
            <w:r>
              <w:rPr>
                <w:rFonts w:ascii="Arial" w:cs="Arial" w:eastAsia="Arial" w:hAnsi="Arial"/>
                <w:sz w:val="18"/>
                <w:szCs w:val="18"/>
                <w:b w:val="1"/>
                <w:bCs w:val="1"/>
                <w:color w:val="auto"/>
              </w:rPr>
              <w:t>Acquisitions</w:t>
            </w:r>
          </w:p>
        </w:tc>
      </w:tr>
      <w:tr>
        <w:trPr>
          <w:trHeight w:val="27"/>
        </w:trPr>
        <w:tc>
          <w:tcPr>
            <w:tcW w:w="83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600" w:type="dxa"/>
            <w:vAlign w:val="bottom"/>
          </w:tcPr>
          <w:p>
            <w:pPr>
              <w:spacing w:after="0"/>
              <w:rPr>
                <w:sz w:val="21"/>
                <w:szCs w:val="21"/>
                <w:color w:val="auto"/>
              </w:rPr>
            </w:pPr>
          </w:p>
        </w:tc>
        <w:tc>
          <w:tcPr>
            <w:tcW w:w="2480" w:type="dxa"/>
            <w:vAlign w:val="bottom"/>
          </w:tcPr>
          <w:p>
            <w:pPr>
              <w:jc w:val="right"/>
              <w:ind w:right="10"/>
              <w:spacing w:after="0"/>
              <w:rPr>
                <w:sz w:val="20"/>
                <w:szCs w:val="20"/>
                <w:color w:val="auto"/>
              </w:rPr>
            </w:pPr>
            <w:r>
              <w:rPr>
                <w:rFonts w:ascii="Arial" w:cs="Arial" w:eastAsia="Arial" w:hAnsi="Arial"/>
                <w:sz w:val="18"/>
                <w:szCs w:val="18"/>
                <w:color w:val="auto"/>
              </w:rPr>
              <w:t>15,489</w:t>
            </w:r>
          </w:p>
        </w:tc>
      </w:tr>
      <w:tr>
        <w:trPr>
          <w:trHeight w:val="27"/>
        </w:trPr>
        <w:tc>
          <w:tcPr>
            <w:tcW w:w="8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6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Remeasurement of contingent consideration for business acquisitions</w:t>
            </w:r>
          </w:p>
        </w:tc>
        <w:tc>
          <w:tcPr>
            <w:tcW w:w="60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7"/>
        </w:trPr>
        <w:tc>
          <w:tcPr>
            <w:tcW w:w="8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 due to foreign currency translation</w:t>
            </w:r>
          </w:p>
        </w:tc>
        <w:tc>
          <w:tcPr>
            <w:tcW w:w="600" w:type="dxa"/>
            <w:vAlign w:val="bottom"/>
            <w:tcBorders>
              <w:bottom w:val="single" w:sz="8" w:color="CCEEFF"/>
            </w:tcBorders>
            <w:shd w:val="clear" w:color="auto" w:fill="CCEEFF"/>
          </w:tcPr>
          <w:p>
            <w:pPr>
              <w:spacing w:after="0"/>
              <w:rPr>
                <w:sz w:val="23"/>
                <w:szCs w:val="23"/>
                <w:color w:val="auto"/>
              </w:rPr>
            </w:pP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Balance as of September 30, 2017</w:t>
            </w: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2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22,469</w:t>
            </w:r>
          </w:p>
        </w:tc>
      </w:tr>
      <w:tr>
        <w:trPr>
          <w:trHeight w:val="20"/>
        </w:trPr>
        <w:tc>
          <w:tcPr>
            <w:tcW w:w="8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not recorded at fair value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carrying value of our borrowings outstanding under our senior secured credit facility is stated at cost. Our carrying value approximates fair value, using Level 2 inputs, as the senior secured credit facility bears interest at variable rates based on current market rates as set forth in the Amended Credit Agreement. Refer to Note 8 “Financing Arrangements” for additional information on our senior secured credit facility.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due 2024</w:t>
      </w:r>
    </w:p>
    <w:p>
      <w:pPr>
        <w:spacing w:after="0" w:line="17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carrying value of our promissory note due 2024 is stated at cost. Our carrying value approximates fair value, using Level 2 inputs, as the promissory note bears interest at rates based on current market rates as set forth in the terms of the promissory note. Refer to Note 8 “Financing Arrangements” for additional information on our promissory note due 2024.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and estimated fair value of the Convertible Notes are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540"/>
              <w:spacing w:after="0"/>
              <w:rPr>
                <w:sz w:val="20"/>
                <w:szCs w:val="20"/>
                <w:color w:val="auto"/>
              </w:rPr>
            </w:pPr>
            <w:r>
              <w:rPr>
                <w:rFonts w:ascii="Arial" w:cs="Arial" w:eastAsia="Arial" w:hAnsi="Arial"/>
                <w:sz w:val="18"/>
                <w:szCs w:val="18"/>
                <w:b w:val="1"/>
                <w:bCs w:val="1"/>
                <w:color w:val="auto"/>
              </w:rPr>
              <w:t>September 30, 2017</w:t>
            </w:r>
          </w:p>
        </w:tc>
        <w:tc>
          <w:tcPr>
            <w:tcW w:w="260" w:type="dxa"/>
            <w:vAlign w:val="bottom"/>
          </w:tcPr>
          <w:p>
            <w:pPr>
              <w:spacing w:after="0"/>
              <w:rPr>
                <w:sz w:val="20"/>
                <w:szCs w:val="20"/>
                <w:color w:val="auto"/>
              </w:rPr>
            </w:pPr>
          </w:p>
        </w:tc>
        <w:tc>
          <w:tcPr>
            <w:tcW w:w="28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 2016</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Carrying</w:t>
            </w: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Estimated</w:t>
            </w: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240" w:type="dxa"/>
            <w:vAlign w:val="bottom"/>
          </w:tcPr>
          <w:p>
            <w:pPr>
              <w:spacing w:after="0"/>
              <w:rPr>
                <w:sz w:val="18"/>
                <w:szCs w:val="18"/>
                <w:color w:val="auto"/>
              </w:rPr>
            </w:pPr>
          </w:p>
        </w:tc>
        <w:tc>
          <w:tcPr>
            <w:tcW w:w="1240" w:type="dxa"/>
            <w:vAlign w:val="bottom"/>
          </w:tcPr>
          <w:p>
            <w:pPr>
              <w:ind w:left="12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Amount</w:t>
            </w:r>
          </w:p>
        </w:tc>
        <w:tc>
          <w:tcPr>
            <w:tcW w:w="24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240" w:type="dxa"/>
            <w:vAlign w:val="bottom"/>
          </w:tcPr>
          <w:p>
            <w:pPr>
              <w:spacing w:after="0"/>
              <w:rPr>
                <w:sz w:val="20"/>
                <w:szCs w:val="20"/>
                <w:color w:val="auto"/>
              </w:rPr>
            </w:pPr>
          </w:p>
        </w:tc>
        <w:tc>
          <w:tcPr>
            <w:tcW w:w="1240" w:type="dxa"/>
            <w:vAlign w:val="bottom"/>
          </w:tcPr>
          <w:p>
            <w:pPr>
              <w:ind w:left="10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1.25% convertible senior notes due 2019</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230,834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233,595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224,065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245,018</w:t>
            </w:r>
          </w:p>
        </w:tc>
      </w:tr>
      <w:tr>
        <w:trPr>
          <w:trHeight w:val="27"/>
        </w:trPr>
        <w:tc>
          <w:tcPr>
            <w:tcW w:w="5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differences between the $250 million principal amount of the Convertible Notes and the carrying amounts shown above represent the unamortized debt discount and issuance costs. As of September 30, 2017 and December 31, 2016, the carrying value of the equity component of $39.3 million was unchanged from the date of issuance. Refer to Note 8 “Financing Arrangements” for additional information on our Convertible Notes. The estimated fair value of the Convertible Notes was determined based on the quoted bid price of the Convertible Notes in an over-the-counter market, which is a Level 2 input, on the last day of trading for the quarters ended September 30, 2017 and December 31, 2016.</w:t>
      </w:r>
    </w:p>
    <w:p>
      <w:pPr>
        <w:spacing w:after="0" w:line="11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Based on the closing price of our common stock of $34.30 on September 30, 2017, the if-converted value of the Convertible Notes was less than the principal amount.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Cash and cash equivalents are stated at cost, which approximates fair market value. The carrying values of all other financial instruments not described above reasonably approximate fair market value due to the nature of the financial instruments and the short-term maturity of these items.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Comprehensive Income (Loss)</w:t>
      </w:r>
    </w:p>
    <w:p>
      <w:pPr>
        <w:spacing w:after="0" w:line="17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tables below set forth the components of other comprehensive income (loss), net of tax, for the three and nine months ended September 30, 2017 and 2016.</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center"/>
              <w:ind w:left="590"/>
              <w:spacing w:after="0"/>
              <w:rPr>
                <w:sz w:val="20"/>
                <w:szCs w:val="20"/>
                <w:color w:val="auto"/>
              </w:rPr>
            </w:pPr>
            <w:r>
              <w:rPr>
                <w:rFonts w:ascii="Arial" w:cs="Arial" w:eastAsia="Arial" w:hAnsi="Arial"/>
                <w:sz w:val="18"/>
                <w:szCs w:val="18"/>
                <w:b w:val="1"/>
                <w:bCs w:val="1"/>
                <w:color w:val="auto"/>
                <w:w w:val="92"/>
              </w:rPr>
              <w:t>Three Months Ended</w:t>
            </w:r>
          </w:p>
        </w:tc>
        <w:tc>
          <w:tcPr>
            <w:tcW w:w="880" w:type="dxa"/>
            <w:vAlign w:val="bottom"/>
          </w:tcPr>
          <w:p>
            <w:pPr>
              <w:spacing w:after="0"/>
              <w:rPr>
                <w:sz w:val="18"/>
                <w:szCs w:val="18"/>
                <w:color w:val="auto"/>
              </w:rPr>
            </w:pPr>
          </w:p>
        </w:tc>
      </w:tr>
      <w:tr>
        <w:trPr>
          <w:trHeight w:val="234"/>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6"/>
          </w:tcPr>
          <w:p>
            <w:pPr>
              <w:jc w:val="center"/>
              <w:ind w:left="630"/>
              <w:spacing w:after="0"/>
              <w:rPr>
                <w:sz w:val="20"/>
                <w:szCs w:val="20"/>
                <w:color w:val="auto"/>
              </w:rPr>
            </w:pPr>
            <w:r>
              <w:rPr>
                <w:rFonts w:ascii="Arial" w:cs="Arial" w:eastAsia="Arial" w:hAnsi="Arial"/>
                <w:sz w:val="18"/>
                <w:szCs w:val="18"/>
                <w:b w:val="1"/>
                <w:bCs w:val="1"/>
                <w:color w:val="auto"/>
                <w:w w:val="89"/>
              </w:rPr>
              <w:t>September 30, 2017</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center"/>
              <w:ind w:left="610"/>
              <w:spacing w:after="0"/>
              <w:rPr>
                <w:sz w:val="20"/>
                <w:szCs w:val="20"/>
                <w:color w:val="auto"/>
              </w:rPr>
            </w:pPr>
            <w:r>
              <w:rPr>
                <w:rFonts w:ascii="Arial" w:cs="Arial" w:eastAsia="Arial" w:hAnsi="Arial"/>
                <w:sz w:val="18"/>
                <w:szCs w:val="18"/>
                <w:b w:val="1"/>
                <w:bCs w:val="1"/>
                <w:color w:val="auto"/>
                <w:w w:val="89"/>
              </w:rPr>
              <w:t>September 30, 2016</w:t>
            </w:r>
          </w:p>
        </w:tc>
        <w:tc>
          <w:tcPr>
            <w:tcW w:w="88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8"/>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Tax</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Tax</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Before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(Expense)</w:t>
            </w:r>
          </w:p>
        </w:tc>
        <w:tc>
          <w:tcPr>
            <w:tcW w:w="22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Net of</w:t>
            </w:r>
          </w:p>
        </w:tc>
        <w:tc>
          <w:tcPr>
            <w:tcW w:w="2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Before</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(Expense)</w:t>
            </w:r>
          </w:p>
        </w:tc>
        <w:tc>
          <w:tcPr>
            <w:tcW w:w="2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b w:val="1"/>
                <w:bCs w:val="1"/>
                <w:color w:val="auto"/>
              </w:rPr>
              <w:t>Net of</w:t>
            </w:r>
          </w:p>
        </w:tc>
      </w:tr>
      <w:tr>
        <w:trPr>
          <w:trHeight w:val="234"/>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Taxes</w:t>
            </w: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Benefit</w:t>
            </w: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Taxes</w:t>
            </w:r>
          </w:p>
        </w:tc>
        <w:tc>
          <w:tcPr>
            <w:tcW w:w="22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2"/>
              </w:rPr>
              <w:t>Taxes</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Benefit</w:t>
            </w:r>
          </w:p>
        </w:tc>
        <w:tc>
          <w:tcPr>
            <w:tcW w:w="26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Arial" w:cs="Arial" w:eastAsia="Arial" w:hAnsi="Arial"/>
                <w:sz w:val="18"/>
                <w:szCs w:val="18"/>
                <w:b w:val="1"/>
                <w:bCs w:val="1"/>
                <w:color w:val="auto"/>
              </w:rPr>
              <w:t>Taxes</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loss on investment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(2,038)</w:t>
            </w: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Unrealized gain (loss) on cash flow hedges: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fair value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43"/>
        </w:trPr>
        <w:tc>
          <w:tcPr>
            <w:tcW w:w="4000" w:type="dxa"/>
            <w:vAlign w:val="bottom"/>
          </w:tcPr>
          <w:p>
            <w:pPr>
              <w:ind w:left="720"/>
              <w:spacing w:after="0"/>
              <w:rPr>
                <w:sz w:val="20"/>
                <w:szCs w:val="20"/>
                <w:color w:val="auto"/>
              </w:rPr>
            </w:pPr>
            <w:r>
              <w:rPr>
                <w:rFonts w:ascii="Arial" w:cs="Arial" w:eastAsia="Arial" w:hAnsi="Arial"/>
                <w:sz w:val="18"/>
                <w:szCs w:val="18"/>
                <w:color w:val="auto"/>
                <w:w w:val="97"/>
              </w:rPr>
              <w:t>Reclassification adjustments into earnings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unrealized gain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1,394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(1,867)</w:t>
            </w:r>
          </w:p>
        </w:tc>
      </w:tr>
      <w:tr>
        <w:trPr>
          <w:trHeight w:val="27"/>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515"/>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6"/>
          </w:tcPr>
          <w:p>
            <w:pPr>
              <w:jc w:val="center"/>
              <w:ind w:left="630"/>
              <w:spacing w:after="0"/>
              <w:rPr>
                <w:sz w:val="20"/>
                <w:szCs w:val="20"/>
                <w:color w:val="auto"/>
              </w:rPr>
            </w:pPr>
            <w:r>
              <w:rPr>
                <w:rFonts w:ascii="Arial" w:cs="Arial" w:eastAsia="Arial" w:hAnsi="Arial"/>
                <w:sz w:val="18"/>
                <w:szCs w:val="18"/>
                <w:b w:val="1"/>
                <w:bCs w:val="1"/>
                <w:color w:val="auto"/>
                <w:w w:val="91"/>
              </w:rPr>
              <w:t>Nine Months Ended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6"/>
          </w:tcPr>
          <w:p>
            <w:pPr>
              <w:jc w:val="center"/>
              <w:ind w:left="610"/>
              <w:spacing w:after="0"/>
              <w:rPr>
                <w:sz w:val="20"/>
                <w:szCs w:val="20"/>
                <w:color w:val="auto"/>
              </w:rPr>
            </w:pPr>
            <w:r>
              <w:rPr>
                <w:rFonts w:ascii="Arial" w:cs="Arial" w:eastAsia="Arial" w:hAnsi="Arial"/>
                <w:sz w:val="18"/>
                <w:szCs w:val="18"/>
                <w:b w:val="1"/>
                <w:bCs w:val="1"/>
                <w:color w:val="auto"/>
                <w:w w:val="91"/>
              </w:rPr>
              <w:t>Nine Months Ended</w:t>
            </w:r>
          </w:p>
        </w:tc>
        <w:tc>
          <w:tcPr>
            <w:tcW w:w="880" w:type="dxa"/>
            <w:vAlign w:val="bottom"/>
          </w:tcPr>
          <w:p>
            <w:pPr>
              <w:spacing w:after="0"/>
              <w:rPr>
                <w:sz w:val="24"/>
                <w:szCs w:val="24"/>
                <w:color w:val="auto"/>
              </w:rPr>
            </w:pPr>
          </w:p>
        </w:tc>
      </w:tr>
      <w:tr>
        <w:trPr>
          <w:trHeight w:val="234"/>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6"/>
          </w:tcPr>
          <w:p>
            <w:pPr>
              <w:jc w:val="center"/>
              <w:ind w:left="630"/>
              <w:spacing w:after="0"/>
              <w:rPr>
                <w:sz w:val="20"/>
                <w:szCs w:val="20"/>
                <w:color w:val="auto"/>
              </w:rPr>
            </w:pPr>
            <w:r>
              <w:rPr>
                <w:rFonts w:ascii="Arial" w:cs="Arial" w:eastAsia="Arial" w:hAnsi="Arial"/>
                <w:sz w:val="18"/>
                <w:szCs w:val="18"/>
                <w:b w:val="1"/>
                <w:bCs w:val="1"/>
                <w:color w:val="auto"/>
                <w:w w:val="89"/>
              </w:rPr>
              <w:t>September 30, 2017</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center"/>
              <w:ind w:left="610"/>
              <w:spacing w:after="0"/>
              <w:rPr>
                <w:sz w:val="20"/>
                <w:szCs w:val="20"/>
                <w:color w:val="auto"/>
              </w:rPr>
            </w:pPr>
            <w:r>
              <w:rPr>
                <w:rFonts w:ascii="Arial" w:cs="Arial" w:eastAsia="Arial" w:hAnsi="Arial"/>
                <w:sz w:val="18"/>
                <w:szCs w:val="18"/>
                <w:b w:val="1"/>
                <w:bCs w:val="1"/>
                <w:color w:val="auto"/>
                <w:w w:val="89"/>
              </w:rPr>
              <w:t>September 30, 2016</w:t>
            </w:r>
          </w:p>
        </w:tc>
        <w:tc>
          <w:tcPr>
            <w:tcW w:w="88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8"/>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Tax</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Tax</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Before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(Expense)</w:t>
            </w:r>
          </w:p>
        </w:tc>
        <w:tc>
          <w:tcPr>
            <w:tcW w:w="22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Net of</w:t>
            </w:r>
          </w:p>
        </w:tc>
        <w:tc>
          <w:tcPr>
            <w:tcW w:w="2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Before</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(Expense)</w:t>
            </w:r>
          </w:p>
        </w:tc>
        <w:tc>
          <w:tcPr>
            <w:tcW w:w="2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b w:val="1"/>
                <w:bCs w:val="1"/>
                <w:color w:val="auto"/>
              </w:rPr>
              <w:t>Net of</w:t>
            </w:r>
          </w:p>
        </w:tc>
      </w:tr>
      <w:tr>
        <w:trPr>
          <w:trHeight w:val="234"/>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Taxes</w:t>
            </w: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Benefit</w:t>
            </w: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Taxes</w:t>
            </w:r>
          </w:p>
        </w:tc>
        <w:tc>
          <w:tcPr>
            <w:tcW w:w="22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2"/>
              </w:rPr>
              <w:t>Taxes</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Benefit</w:t>
            </w:r>
          </w:p>
        </w:tc>
        <w:tc>
          <w:tcPr>
            <w:tcW w:w="26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Arial" w:cs="Arial" w:eastAsia="Arial" w:hAnsi="Arial"/>
                <w:sz w:val="18"/>
                <w:szCs w:val="18"/>
                <w:b w:val="1"/>
                <w:bCs w:val="1"/>
                <w:color w:val="auto"/>
              </w:rPr>
              <w:t>Taxes</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1,835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1,835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loss on investment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Unrealized gain (loss) on cash flow hedges: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fair value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43"/>
        </w:trPr>
        <w:tc>
          <w:tcPr>
            <w:tcW w:w="4000" w:type="dxa"/>
            <w:vAlign w:val="bottom"/>
          </w:tcPr>
          <w:p>
            <w:pPr>
              <w:ind w:left="720"/>
              <w:spacing w:after="0"/>
              <w:rPr>
                <w:sz w:val="20"/>
                <w:szCs w:val="20"/>
                <w:color w:val="auto"/>
              </w:rPr>
            </w:pPr>
            <w:r>
              <w:rPr>
                <w:rFonts w:ascii="Arial" w:cs="Arial" w:eastAsia="Arial" w:hAnsi="Arial"/>
                <w:sz w:val="18"/>
                <w:szCs w:val="18"/>
                <w:color w:val="auto"/>
                <w:w w:val="97"/>
              </w:rPr>
              <w:t>Reclassification adjustments into earnings</w:t>
            </w:r>
          </w:p>
        </w:tc>
        <w:tc>
          <w:tcPr>
            <w:tcW w:w="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194</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unrealized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(1,138)</w:t>
            </w:r>
          </w:p>
        </w:tc>
      </w:tr>
      <w:tr>
        <w:trPr>
          <w:trHeight w:val="27"/>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before tax amounts reclassified from accumulated other comprehensive income related to our cash flow hedges are recorded to interest expense, net of interest income.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net of tax, includes the following components: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Foreign Currency</w:t>
            </w:r>
          </w:p>
        </w:tc>
        <w:tc>
          <w:tcPr>
            <w:tcW w:w="240" w:type="dxa"/>
            <w:vAlign w:val="bottom"/>
          </w:tcPr>
          <w:p>
            <w:pPr>
              <w:spacing w:after="0"/>
              <w:rPr>
                <w:sz w:val="18"/>
                <w:szCs w:val="18"/>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Available-for-Sale</w:t>
            </w: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4"/>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Translation</w:t>
            </w:r>
          </w:p>
        </w:tc>
        <w:tc>
          <w:tcPr>
            <w:tcW w:w="240" w:type="dxa"/>
            <w:vAlign w:val="bottom"/>
          </w:tcPr>
          <w:p>
            <w:pPr>
              <w:spacing w:after="0"/>
              <w:rPr>
                <w:sz w:val="20"/>
                <w:szCs w:val="20"/>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Investment</w:t>
            </w:r>
          </w:p>
        </w:tc>
        <w:tc>
          <w:tcPr>
            <w:tcW w:w="220" w:type="dxa"/>
            <w:vAlign w:val="bottom"/>
          </w:tcPr>
          <w:p>
            <w:pPr>
              <w:spacing w:after="0"/>
              <w:rPr>
                <w:sz w:val="20"/>
                <w:szCs w:val="20"/>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b w:val="1"/>
                <w:bCs w:val="1"/>
                <w:color w:val="auto"/>
              </w:rPr>
              <w:t>Cash Flow Hedges</w:t>
            </w:r>
          </w:p>
        </w:tc>
        <w:tc>
          <w:tcPr>
            <w:tcW w:w="480" w:type="dxa"/>
            <w:vAlign w:val="bottom"/>
          </w:tcPr>
          <w:p>
            <w:pPr>
              <w:spacing w:after="0"/>
              <w:rPr>
                <w:sz w:val="20"/>
                <w:szCs w:val="20"/>
                <w:color w:val="auto"/>
              </w:rPr>
            </w:pPr>
          </w:p>
        </w:tc>
        <w:tc>
          <w:tcPr>
            <w:tcW w:w="1580" w:type="dxa"/>
            <w:vAlign w:val="bottom"/>
          </w:tcPr>
          <w:p>
            <w:pPr>
              <w:jc w:val="right"/>
              <w:ind w:right="730"/>
              <w:spacing w:after="0"/>
              <w:rPr>
                <w:sz w:val="20"/>
                <w:szCs w:val="20"/>
                <w:color w:val="auto"/>
              </w:rPr>
            </w:pPr>
            <w:r>
              <w:rPr>
                <w:rFonts w:ascii="Arial" w:cs="Arial" w:eastAsia="Arial" w:hAnsi="Arial"/>
                <w:sz w:val="18"/>
                <w:szCs w:val="18"/>
                <w:b w:val="1"/>
                <w:bCs w:val="1"/>
                <w:color w:val="auto"/>
              </w:rPr>
              <w:t>Total</w:t>
            </w:r>
          </w:p>
        </w:tc>
      </w:tr>
      <w:tr>
        <w:trPr>
          <w:trHeight w:val="27"/>
        </w:trPr>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3,615</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Current period change</w:t>
            </w:r>
          </w:p>
        </w:tc>
        <w:tc>
          <w:tcPr>
            <w:tcW w:w="2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1,835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(1,669)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162</w:t>
            </w:r>
          </w:p>
        </w:tc>
      </w:tr>
      <w:tr>
        <w:trPr>
          <w:trHeight w:val="27"/>
        </w:trPr>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30, 2017</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3,777</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7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For the three months ended September 30, 2017, our effective tax rate was (92.4)% as we recognized income tax benefit from continuing operations of $2.0 million on income from continuing operations of $2.1 million. For the third quarter of 2016, our effective tax rate was 37.2% as we recognized income tax expense from continuing operations of $7.3 million on income from continuing operations of $19.6 million. The effective tax rate for the three months ended September 30, 2017 was more favorable than the statutory rate, inclusive of state income taxes, primarily due to recognizing a $2.7 million tax benefit related to a previously unrecognized tax benefit from our "check-the-box" election made in 2014 to treat one of our wholly-owned foreign subsidiaries as a disregarded entity for U.S federal income tax purposes. This benefit was partially offset by $0.6 million of tax expense recorded in the third quarter of 2017 to correct an error that occurred in the second quarter of 2017. During the third quarter of 2017, we also recorded a $3.1 million adjustment to decrease deferred income taxes, net and increase income tax receivable on our consolidated balance sheet to correct an error that occurred in the second quarter of 2017. These errors have no impact on full year 2017 results, and we concluded that the impact of both errors was not material to the second and third quarter financial statements. The effective tax rate for the three months ended September 30, 2016 was lower than the statutory rate, inclusive of state income taxes, primarily due to non-taxable income, valuation allowance reductions, and certain credits and deductions, partially offset by non-deductible business expenses.</w:t>
      </w:r>
    </w:p>
    <w:p>
      <w:pPr>
        <w:spacing w:after="0" w:line="11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For the nine months ended September 30, 2017, our effective tax rate was 26.1% as we recognized income tax benefit from continuing operations of $49.7 million on a loss from continuing operations of $190.9 million. For the nine months ended September 30, 2016, our effective tax rate was 35.6% as we recognized income tax expense of $19.5 million on income from continuing operations of $54.8 million. The effective tax rate for the nine months ended September 30, 2017 was less favorable than the statutory rate, inclusive of state income taxes, primarily due to the $61.2 million non-deductible portion of the goodwill impairment charge recorded in the second quarter of 2017, as well as $1.8 million of discrete tax expense for share-based compensation related to the adoption of ASU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Refer to Note 3 "New Accounting Pronouncements" for additional information on the adoption of ASU 2016-09. These unfavorable discrete items were partially offset by a $2.7 million tax benefit recorded in the third quarter of 2017 related to a previously unrecognized tax benefit from our 2014 "check-the-box" election. The effective tax rate for the nine months ended September 30, 2016 was lower than the statutory rate, inclusive of state income taxes, primarily due to the year-to-date impact of a discrete favorable adjustment to our state tax rate in the second quarter of 2016, non-taxable income, valuation allowance reductions, certain credits and deductions, and a discrete tax benefit related to share-based compensation, partially offset by non-deductible business expenses.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2017, we had $0.8 million of unrecognized tax benefits which would affect the effective tax rate of continuing operations if recognized.</w:t>
      </w:r>
    </w:p>
    <w:p>
      <w:pPr>
        <w:spacing w:after="0" w:line="190" w:lineRule="exact"/>
        <w:rPr>
          <w:sz w:val="20"/>
          <w:szCs w:val="20"/>
          <w:color w:val="auto"/>
        </w:rPr>
      </w:pPr>
    </w:p>
    <w:p>
      <w:pPr>
        <w:ind w:right="7600" w:firstLine="8"/>
        <w:spacing w:after="0" w:line="440" w:lineRule="auto"/>
        <w:tabs>
          <w:tab w:leader="none" w:pos="27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 Litigation</w:t>
      </w:r>
    </w:p>
    <w:p>
      <w:pPr>
        <w:spacing w:after="0" w:line="1"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75"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Guarantees in the form of letters of credit totaling $2.7 million and $4.8 million were outstanding at September 30, 2017 and December 31, 2016, respectively, primarily to support certain office lease obligations.</w:t>
      </w:r>
    </w:p>
    <w:p>
      <w:pPr>
        <w:spacing w:after="0" w:line="116" w:lineRule="exact"/>
        <w:rPr>
          <w:sz w:val="20"/>
          <w:szCs w:val="20"/>
          <w:color w:val="auto"/>
        </w:rPr>
      </w:pPr>
    </w:p>
    <w:p>
      <w:pPr>
        <w:ind w:left="60" w:right="80"/>
        <w:spacing w:after="0" w:line="264" w:lineRule="auto"/>
        <w:rPr>
          <w:sz w:val="20"/>
          <w:szCs w:val="20"/>
          <w:color w:val="auto"/>
        </w:rPr>
      </w:pPr>
      <w:r>
        <w:rPr>
          <w:rFonts w:ascii="Arial" w:cs="Arial" w:eastAsia="Arial" w:hAnsi="Arial"/>
          <w:sz w:val="18"/>
          <w:szCs w:val="18"/>
          <w:color w:val="auto"/>
        </w:rPr>
        <w:t>In connection with certain business acquisitions, we may be required to pay post-closing consideration to the sellers if specific financial performance targets are met over a number of years as specified in the related purchase agreements. As of September 30, 2017 and December 31, 2016, the total estimated fair value of our contingent consideration liabilities was $22.5 million and $8.8 million, respectively.</w:t>
      </w:r>
    </w:p>
    <w:p>
      <w:pPr>
        <w:spacing w:after="0" w:line="12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To the extent permitted by law, our bylaws and articles of incorporation require that we indemnify our officers and directors against judgments, fines and amounts paid in settlement, including attorneys’ fees, incurred in connection with civil or criminal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action or proceedings, as it relates to their services to us if such person acted in good faith. Although there is no limit on the amount of indemnification, we may have recourse against our insurance carrier for certain payments made.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17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Segments are defined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who is our chief executive officer, manages the business under three operating segments, which are our reportable segments: Healthcare, Education, and Business Advisory.</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second quarter of 2017, we reorganized our internal financial reporting structure, which management uses to assess performance and allocate resources, by moving our Life Sciences practice from the Education and Life Sciences segment to the Business Advisory segment. The remaining Education and Life Sciences segment is now referred to as the Education segment. While our consolidated results have not been impacted, we have restated our historical segment information for consistent presentation.</w:t>
      </w:r>
    </w:p>
    <w:p>
      <w:pPr>
        <w:spacing w:after="0" w:line="12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Healthcare</w:t>
      </w:r>
    </w:p>
    <w:p>
      <w:pPr>
        <w:spacing w:after="0" w:line="175" w:lineRule="exact"/>
        <w:rPr>
          <w:rFonts w:ascii="Arial" w:cs="Arial" w:eastAsia="Arial" w:hAnsi="Arial"/>
          <w:sz w:val="18"/>
          <w:szCs w:val="18"/>
          <w:color w:val="auto"/>
        </w:rPr>
      </w:pPr>
    </w:p>
    <w:p>
      <w:pPr>
        <w:ind w:left="660" w:right="120"/>
        <w:spacing w:after="0" w:line="297" w:lineRule="auto"/>
        <w:rPr>
          <w:rFonts w:ascii="Arial" w:cs="Arial" w:eastAsia="Arial" w:hAnsi="Arial"/>
          <w:sz w:val="18"/>
          <w:szCs w:val="18"/>
          <w:color w:val="auto"/>
        </w:rPr>
      </w:pPr>
      <w:r>
        <w:rPr>
          <w:rFonts w:ascii="Arial" w:cs="Arial" w:eastAsia="Arial" w:hAnsi="Arial"/>
          <w:sz w:val="16"/>
          <w:szCs w:val="16"/>
          <w:color w:val="auto"/>
        </w:rPr>
        <w:t>Our Healthcare segment provides advisory services - from strategy setting through implementation - in the areas of organizational and resource alignment, clinical transformation, financial and operational performance, patient and caregiver engagement, and technology implementation and optimization. We serve national and regional hospitals and integrated health systems, academic medical centers, community hospitals, and medical groups. Our solutions help clients evolve and adapt to the rapidly changing healthcare environment and achieve growth, optimize performance, enhance profitability, improve quality and clinical outcomes, and drive physician, patient, and employee engagement across the enterprise.</w:t>
      </w:r>
    </w:p>
    <w:p>
      <w:pPr>
        <w:spacing w:after="0" w:line="10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Education</w:t>
      </w:r>
    </w:p>
    <w:p>
      <w:pPr>
        <w:spacing w:after="0" w:line="175" w:lineRule="exact"/>
        <w:rPr>
          <w:rFonts w:ascii="Arial" w:cs="Arial" w:eastAsia="Arial" w:hAnsi="Arial"/>
          <w:sz w:val="18"/>
          <w:szCs w:val="18"/>
          <w:color w:val="auto"/>
        </w:rPr>
      </w:pPr>
    </w:p>
    <w:p>
      <w:pPr>
        <w:ind w:left="660"/>
        <w:spacing w:after="0" w:line="254" w:lineRule="auto"/>
        <w:rPr>
          <w:rFonts w:ascii="Arial" w:cs="Arial" w:eastAsia="Arial" w:hAnsi="Arial"/>
          <w:sz w:val="18"/>
          <w:szCs w:val="18"/>
          <w:color w:val="auto"/>
        </w:rPr>
      </w:pPr>
      <w:r>
        <w:rPr>
          <w:rFonts w:ascii="Arial" w:cs="Arial" w:eastAsia="Arial" w:hAnsi="Arial"/>
          <w:sz w:val="18"/>
          <w:szCs w:val="18"/>
          <w:color w:val="auto"/>
        </w:rPr>
        <w:t>Our Education segment provides management consulting and technology solutions to higher education institutions and academic medical centers. We partner with clients to address challenges relating to business and technology strategy, financial management, operational and organizational effectiveness, research administration, and regulatory compliance. Our institutional strategy, market research, budgeting and financial management, business operations and student lifecycle management solutions align missions with business priorities, improve quality and reduce costs institution-wide. Our technology strategy, enterprise applications, and analytic solutions transform and optimize operations, deliver time and cost savings, and enhance the student experience. Our research enterprise solutions assist clients in identifying and implementing institutional research strategy, optimizing clinical research operations, improving financial management and cost reimbursement, improving service to faculty, and mitigating risk compliance.</w:t>
      </w:r>
    </w:p>
    <w:p>
      <w:pPr>
        <w:spacing w:after="0" w:line="18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Business Advisory</w:t>
      </w:r>
    </w:p>
    <w:p>
      <w:pPr>
        <w:spacing w:after="0" w:line="215" w:lineRule="exact"/>
        <w:rPr>
          <w:rFonts w:ascii="Arial" w:cs="Arial" w:eastAsia="Arial" w:hAnsi="Arial"/>
          <w:sz w:val="18"/>
          <w:szCs w:val="18"/>
          <w:color w:val="auto"/>
        </w:rPr>
      </w:pPr>
    </w:p>
    <w:p>
      <w:pPr>
        <w:ind w:left="660"/>
        <w:spacing w:after="0" w:line="269" w:lineRule="auto"/>
        <w:rPr>
          <w:rFonts w:ascii="Arial" w:cs="Arial" w:eastAsia="Arial" w:hAnsi="Arial"/>
          <w:sz w:val="18"/>
          <w:szCs w:val="18"/>
          <w:color w:val="auto"/>
        </w:rPr>
      </w:pPr>
      <w:r>
        <w:rPr>
          <w:rFonts w:ascii="Arial" w:cs="Arial" w:eastAsia="Arial" w:hAnsi="Arial"/>
          <w:sz w:val="17"/>
          <w:szCs w:val="17"/>
          <w:color w:val="auto"/>
        </w:rPr>
        <w:t>Our Business Advisory segment provides services to middle market and large organizations, not-for-profit organizations, lending institutions, law firms, investment banks, and private equity firms. We assist clients in a broad range of industries and across the spectrum from healthy, well-capitalized companies to organizations in transition as well as creditors, equity owners, and other key constituents. Our Business Advisory professionals resolve complex business issues and enhance client enterprise value through a suite of services including capital advisory, transaction advisory, operational improvement, restructuring and turnaround, valuation, and dispute advisory. Our Enterprise Solutions and Analytics professionals deliver technology and analytic solutions that enable organizations to manage and optimize their financial performance, operational efficiency, and client or stakeholder experience. Our expertise in full-service enterprise performance management (EPM), enterprise resource planning (ERP), business intelligence and analytics, customer relationship management (CRM), and data management services helps clients identify and execute on business and technology strategies to drive results and gain a competitive advantage. Our Strategy and Innovation professionals collaborate with clients across a range of industries to identify new growth opportunities, build new ventures and capabilities, and accelerate organizational change. Our Life Sciences professionals provide strategic</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125" w:right="2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solutions to help pharmaceutical, medical device, and biotechnology companies deliver more value to patients, payers, and providers and comply with regulations.</w:t>
      </w:r>
    </w:p>
    <w:p>
      <w:pPr>
        <w:spacing w:after="0" w:line="116"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Segment operating income consists of the revenues generated by a segment, less the direct costs of revenue and selling, general and administrative expenses that are incurred directly by the segment. Unallocated corporate costs include costs related to administrative functions that are performed in a centralized manner that are not attributable to a particular segment. These administrative function costs include costs for corporate office support, certain office facility costs, costs relating to accounting and finance, human resources, legal, marketing, information technology, and Company-wide business development functions, as well as costs related to overall corporate management.</w:t>
      </w:r>
    </w:p>
    <w:p>
      <w:pPr>
        <w:spacing w:after="0" w:line="11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table below sets forth information about our operating segments for the three and nine months ended September 30, 2017 and 2016, along with the items necessary to reconcile the segment information to the totals reported in the accompanying consolidated financial statements.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300" w:type="dxa"/>
            <w:vAlign w:val="bottom"/>
          </w:tcPr>
          <w:p>
            <w:pPr>
              <w:spacing w:after="0"/>
              <w:rPr>
                <w:sz w:val="18"/>
                <w:szCs w:val="18"/>
                <w:color w:val="auto"/>
              </w:rPr>
            </w:pPr>
          </w:p>
        </w:tc>
        <w:tc>
          <w:tcPr>
            <w:tcW w:w="24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6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300" w:type="dxa"/>
            <w:vAlign w:val="bottom"/>
          </w:tcPr>
          <w:p>
            <w:pPr>
              <w:spacing w:after="0"/>
              <w:rPr>
                <w:sz w:val="20"/>
                <w:szCs w:val="20"/>
                <w:color w:val="auto"/>
              </w:rPr>
            </w:pPr>
          </w:p>
        </w:tc>
        <w:tc>
          <w:tcPr>
            <w:tcW w:w="246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5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r>
      <w:tr>
        <w:trPr>
          <w:trHeight w:val="27"/>
        </w:trPr>
        <w:tc>
          <w:tcPr>
            <w:tcW w:w="5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Healthcare: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79,582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103,425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261,261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323,531</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25,778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38,824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83,580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119,229</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Education: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41,422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38,621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127,629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111,816</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7,762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10,896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31,772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31,474</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Business Advisory:</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55,372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41,354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157,753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112,801</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12,832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8,608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34,890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23,275</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Company:</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176,376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183,400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546,643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548,148</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17,982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19,093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55,862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54,636</w:t>
            </w:r>
          </w:p>
        </w:tc>
      </w:tr>
      <w:tr>
        <w:trPr>
          <w:trHeight w:val="237"/>
        </w:trPr>
        <w:tc>
          <w:tcPr>
            <w:tcW w:w="5800" w:type="dxa"/>
            <w:vAlign w:val="bottom"/>
          </w:tcPr>
          <w:p>
            <w:pPr>
              <w:ind w:left="280"/>
              <w:spacing w:after="0"/>
              <w:rPr>
                <w:sz w:val="20"/>
                <w:szCs w:val="20"/>
                <w:color w:val="auto"/>
              </w:rPr>
            </w:pPr>
            <w:r>
              <w:rPr>
                <w:rFonts w:ascii="Arial" w:cs="Arial" w:eastAsia="Arial" w:hAnsi="Arial"/>
                <w:sz w:val="18"/>
                <w:szCs w:val="18"/>
                <w:color w:val="auto"/>
              </w:rPr>
              <w:t>Total revenues and reimbursable expenses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194,358</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202,493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602,505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602,784</w:t>
            </w:r>
          </w:p>
        </w:tc>
      </w:tr>
      <w:tr>
        <w:trPr>
          <w:trHeight w:val="67"/>
        </w:trPr>
        <w:tc>
          <w:tcPr>
            <w:tcW w:w="58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51"/>
        </w:trPr>
        <w:tc>
          <w:tcPr>
            <w:tcW w:w="58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46,372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58,328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150,242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173,978</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Items not allocated at the segment level:</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29,448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26,502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92,643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84,595</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losses (gains), net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494</w:t>
            </w:r>
          </w:p>
        </w:tc>
      </w:tr>
      <w:tr>
        <w:trPr>
          <w:trHeight w:val="243"/>
        </w:trPr>
        <w:tc>
          <w:tcPr>
            <w:tcW w:w="58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9,946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8,092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28,549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23,064</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80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Goodwill impairment charge </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209,600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5800" w:type="dxa"/>
            <w:vAlign w:val="bottom"/>
          </w:tcPr>
          <w:p>
            <w:pPr>
              <w:ind w:left="380"/>
              <w:spacing w:after="0"/>
              <w:rPr>
                <w:sz w:val="20"/>
                <w:szCs w:val="20"/>
                <w:color w:val="auto"/>
              </w:rPr>
            </w:pPr>
            <w:r>
              <w:rPr>
                <w:rFonts w:ascii="Arial" w:cs="Arial" w:eastAsia="Arial" w:hAnsi="Arial"/>
                <w:sz w:val="18"/>
                <w:szCs w:val="18"/>
                <w:color w:val="auto"/>
              </w:rPr>
              <w:t>Other expense, net</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3,950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3,687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10,607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11,034</w:t>
            </w:r>
          </w:p>
        </w:tc>
      </w:tr>
      <w:tr>
        <w:trPr>
          <w:trHeight w:val="27"/>
        </w:trPr>
        <w:tc>
          <w:tcPr>
            <w:tcW w:w="5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income tax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2,148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19,553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(190,935)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54,791</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right="80" w:hanging="652"/>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goodwill impairment charge is not allocated at the segment level because the underlying goodwill asset is reflective of our corporate investment in the segments. We do not include the impact of goodwill impairment charges in our evaluation of segment performance.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At September 30, 2017 and December 31, 2016, no single client accounted for greater than 10% of our combined receivables and unbilled services balances.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nine months ended September 30, 2017 and 2016, no single client generated greater than 10% of our consolidated revenues.</w:t>
      </w:r>
    </w:p>
    <w:p>
      <w:pPr>
        <w:sectPr>
          <w:pgSz w:w="11900" w:h="16838" w:orient="portrait"/>
          <w:cols w:equalWidth="0" w:num="1">
            <w:col w:w="11420"/>
          </w:cols>
          <w:pgMar w:left="240" w:top="125" w:right="239" w:bottom="1440"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In this Quarterly Report on Form 10-Q, unless the context otherwise requires, the terms “Huron,” “Company,” “we,” “us” and “our” refer to Huron Consulting Group Inc. and its subsidiaries.</w:t>
      </w:r>
    </w:p>
    <w:p>
      <w:pPr>
        <w:spacing w:after="0" w:line="11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Statements in this Quarterly Report on Form 10-Q that are not historical in nature, including those concerning the Company’s current expectations about its future requirements and needs,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“continues,” or “outlook,” or similar expressions. These forward-looking statements reflect our current expectations about our future requirements and needs, results, levels of activity, performance, or achievements. Some of the factors that could cause actual results to differ materially from the forward-looking statements contained herein include, without limitation: failure to achieve expected utilization rates, billing rates, and the number of revenue-generating professionals;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risks relating to privacy, information security, and related laws and standards; and a general downturn in market conditions. These forward-looking statements involve known and unknown risks, uncertainties, and other factors, including, among others, those described under Item 1A. "Risk Factors," in our Annual Report on Form 10-K for the year ended December 31, 2016 and under Part II, Item 1A. "Risk Factors" in this Quarterly Report on Form 10-Q,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Huron is a global professional services firm committed to achieving sustainable results in partnership with clients. We bring a depth of expertise in strategy, technology, operations, advisory services, and analytics to drive lasting and measurable results in the healthcare, higher education, life sciences and commercial sectors. Through focus, passion and collaboration, we provide guidance and solutions to support organizations as they contend with the changes transforming their industries and businesses.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We provide professional services through three operating segments: Healthcare, Education, and Business Advisory.</w:t>
      </w:r>
    </w:p>
    <w:p>
      <w:pPr>
        <w:spacing w:after="0" w:line="194" w:lineRule="exact"/>
        <w:rPr>
          <w:sz w:val="20"/>
          <w:szCs w:val="20"/>
          <w:color w:val="auto"/>
        </w:rPr>
      </w:pPr>
    </w:p>
    <w:p>
      <w:pPr>
        <w:ind w:left="720" w:hanging="712"/>
        <w:spacing w:after="0"/>
        <w:tabs>
          <w:tab w:leader="none" w:pos="7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Healthcare</w:t>
      </w:r>
    </w:p>
    <w:p>
      <w:pPr>
        <w:spacing w:after="0" w:line="189" w:lineRule="exact"/>
        <w:rPr>
          <w:sz w:val="20"/>
          <w:szCs w:val="20"/>
          <w:color w:val="auto"/>
        </w:rPr>
      </w:pPr>
    </w:p>
    <w:p>
      <w:pPr>
        <w:ind w:left="660" w:right="120"/>
        <w:spacing w:after="0" w:line="297" w:lineRule="auto"/>
        <w:rPr>
          <w:sz w:val="20"/>
          <w:szCs w:val="20"/>
          <w:color w:val="auto"/>
        </w:rPr>
      </w:pPr>
      <w:r>
        <w:rPr>
          <w:rFonts w:ascii="Arial" w:cs="Arial" w:eastAsia="Arial" w:hAnsi="Arial"/>
          <w:sz w:val="16"/>
          <w:szCs w:val="16"/>
          <w:color w:val="auto"/>
        </w:rPr>
        <w:t>Our Healthcare segment provides advisory services - from strategy setting through implementation - in the areas of organizational and resource alignment, clinical transformation, financial and operational performance, patient and caregiver engagement, and technology implementation and optimization. We serve national and regional hospitals and integrated health systems, academic medical centers, community hospitals, and medical groups. Our solutions help clients evolve and adapt to the rapidly changing healthcare environment and achieve growth, optimize performance, enhance profitability, improve quality and clinical outcomes, and drive physician, patient, and employee engagement across the enterprise.</w:t>
      </w:r>
    </w:p>
    <w:p>
      <w:pPr>
        <w:spacing w:after="0" w:line="10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Education</w:t>
      </w:r>
    </w:p>
    <w:p>
      <w:pPr>
        <w:spacing w:after="0" w:line="175" w:lineRule="exact"/>
        <w:rPr>
          <w:rFonts w:ascii="Arial" w:cs="Arial" w:eastAsia="Arial" w:hAnsi="Arial"/>
          <w:sz w:val="18"/>
          <w:szCs w:val="18"/>
          <w:color w:val="auto"/>
        </w:rPr>
      </w:pPr>
    </w:p>
    <w:p>
      <w:pPr>
        <w:ind w:left="660"/>
        <w:spacing w:after="0" w:line="254" w:lineRule="auto"/>
        <w:rPr>
          <w:rFonts w:ascii="Arial" w:cs="Arial" w:eastAsia="Arial" w:hAnsi="Arial"/>
          <w:sz w:val="18"/>
          <w:szCs w:val="18"/>
          <w:color w:val="auto"/>
        </w:rPr>
      </w:pPr>
      <w:r>
        <w:rPr>
          <w:rFonts w:ascii="Arial" w:cs="Arial" w:eastAsia="Arial" w:hAnsi="Arial"/>
          <w:sz w:val="18"/>
          <w:szCs w:val="18"/>
          <w:color w:val="auto"/>
        </w:rPr>
        <w:t>Our Education segment provides management consulting and technology solutions to higher education institutions and academic medical centers. We partner with clients to address challenges relating to business and technology strategy, financial management, operational and organizational effectiveness, research administration, and regulatory compliance. Our institutional strategy, market research, budgeting and financial management, business operations and student lifecycle management solutions align missions with business priorities, improve quality and reduce costs institution-wide. Our technology strategy, enterprise applications, and analytic solutions transform and optimize operations, deliver time and cost savings, and enhance the student experience. Our research enterprise solutions assist clients in identifying and implementing institutional research strategy, optimizing clinical research operations, improving financial management and cost reimbursement, improving service to faculty, and mitigating risk compliance.</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125" w:right="2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Business Advisory</w:t>
      </w:r>
    </w:p>
    <w:p>
      <w:pPr>
        <w:spacing w:after="0" w:line="215" w:lineRule="exact"/>
        <w:rPr>
          <w:rFonts w:ascii="Arial" w:cs="Arial" w:eastAsia="Arial" w:hAnsi="Arial"/>
          <w:sz w:val="18"/>
          <w:szCs w:val="18"/>
          <w:color w:val="auto"/>
        </w:rPr>
      </w:pPr>
    </w:p>
    <w:p>
      <w:pPr>
        <w:ind w:left="660" w:right="60"/>
        <w:spacing w:after="0" w:line="287" w:lineRule="auto"/>
        <w:rPr>
          <w:rFonts w:ascii="Arial" w:cs="Arial" w:eastAsia="Arial" w:hAnsi="Arial"/>
          <w:sz w:val="18"/>
          <w:szCs w:val="18"/>
          <w:color w:val="auto"/>
        </w:rPr>
      </w:pPr>
      <w:r>
        <w:rPr>
          <w:rFonts w:ascii="Arial" w:cs="Arial" w:eastAsia="Arial" w:hAnsi="Arial"/>
          <w:sz w:val="16"/>
          <w:szCs w:val="16"/>
          <w:color w:val="auto"/>
        </w:rPr>
        <w:t>Our Business Advisory segment provides services to middle market and large organizations, not-for-profit organizations, lending institutions, law firms, investment banks, and private equity firms. We assist clients in a broad range of industries and across the spectrum from healthy, well-capitalized companies to organizations in transition as well as creditors, equity owners, and other key constituents. Our Business Advisory professionals resolve complex business issues and enhance client enterprise value through a suite of services including capital advisory, transaction advisory, operational improvement, restructuring and turnaround, valuation, and dispute advisory. Our Enterprise Solutions and Analytics professionals deliver technology and analytic solutions that enable organizations to manage and optimize their financial performance, operational efficiency, and client or stakeholder experience. Our expertise in full-service enterprise performance management (EPM), enterprise resource planning (ERP), business intelligence and analytics, customer relationship management (CRM), and data management services helps clients identify and execute on business and technology strategies to drive results and gain a competitive advantage. Our Strategy and Innovation professionals collaborate with clients across a range of industries to identify new growth opportunities, build new ventures and capabilities, and accelerate organizational change. Our Life Sciences professionals provide strategic solutions to help pharmaceutical, medical device, and biotechnology companies deliver more value to patients, payers, and providers and comply with regulations.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Reorganization</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During the second quarter of 2017, we reorganized our internal financial reporting structure, which management uses to assess performance and allocate resources, by moving our Life Sciences practice from the Education and Life Sciences segment to the Business Advisory segment. The remaining Education and Life Sciences segment is now referred to as the Education segment. While our consolidated results have not been impacted, we have restated our historical segment information for consistent presentation.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ADI Strategies, Inc. (International)</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April 1, 2017, we completed our acquisition of the international assets of ADI Strategies, Inc. ("ADI Strategies") in Dubai and India. We acquired the U.S. assets of ADI Strategies in the second quarter of 2016. ADI Strategies is a leading enterprise performance management, risk management and business intelligence firm. The acquisition strengthens our technology and analytics competencies and expands our global reach. The international results of operations of ADI Strategies have been included in our consolidated financial statements and results of operations of our Business Advisory segment from the date of acquisition.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Innosight Holdings, LLC</w:t>
      </w:r>
    </w:p>
    <w:p>
      <w:pPr>
        <w:spacing w:after="0" w:line="17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On March 1, 2017, we completed our acquisition of Innosight Holdings, LLC ("Innosight"), a growth strategy firm focused on helping companies navigate disruptive change, enable innovation, and manage strategic transformation. Together with Innosight, we use our strategic, operational, and technology capabilities to help clients across multiple industries develop pioneering solutions to address disruption and achieve sustained growth. Innosight's results of operations have been included in our consolidated financial statements and results of operations of our Business Advisory segment from the date of acquisition.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Pope Woodhead and Associates Limited</w:t>
      </w:r>
    </w:p>
    <w:p>
      <w:pPr>
        <w:spacing w:after="0" w:line="17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On January 9, 2017, we completed our acquisition of Pope Woodhead and Associates Limited ("Pope Woodhead"), a U.K.-based consulting firm providing market access capabilities to assist clients in developing value propositions for innovative medicines and technologies. The acquisition expands our life sciences strategy expertise and strengthens our ability to lead clients through complex payer and regulatory environments. Pope Woodhead's results of operations have been included in our consolidated financial statements and results of operations of our Business Advisory segment from the date of acquisition.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See Note 5 "Acquisitions" within our consolidated financial statements for further information regarding our recent acquisitions.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Life Sciences Compliance and Operations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second quarter of 2017, we divested our Life Sciences Compliance and Operations practice ("Life Sciences C&amp;O"), which was part of our broader Life Sciences practice within the Business Advisory segment. The sale of Life Sciences C&amp;O did not meet the criteria for reporting separately as discontinued operations.</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Revenues</w:t>
      </w:r>
    </w:p>
    <w:p>
      <w:pPr>
        <w:spacing w:after="0" w:line="17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 large portion of our revenues is generated by our full-time consultants who provide consulting services to our clients and are billable to our clients based on the number of hours worked. A smaller portion of our revenues is generated by our other professionals, also referred to as full-time equivalents, some of whom work variable schedules as needed by our clients. Full-time equivalent professionals consist of our cultural transformation consultants from our Studer Group solution, which include coaches and their support staff, specialized finance and operational consultants, and our employees who provide software support and maintenance services to our clients. We translate the hours that these other professionals work on client engagements into a full-time equivalent measure that we use to manage our business. We refer to our full-time consultants and other professionals collectively as revenue-generating professionals.</w:t>
      </w:r>
    </w:p>
    <w:p>
      <w:pPr>
        <w:spacing w:after="0" w:line="11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Revenues generated by our full-time consultants are primarily driven by the number of consultants we employ and their utilization rates, as well as the billing rates we charge our clients. Revenues generated by our other professionals, or full-time equivalents, are largely dependent on the number of consultants we employ, their hours worked, and billing rates charged. Revenues generated by our coaches are largely dependent on the number of coaches we employ and the total value, scope, and terms of the consulting contracts under which they provide services, which are primarily fixed-fee contracts.</w:t>
      </w:r>
    </w:p>
    <w:p>
      <w:pPr>
        <w:spacing w:after="0" w:line="10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generate our revenues from providing professional services under four types of billing arrangements: fixed-fee (including software license revenue), time-and-expense, performance-based, and software support and maintenance and subscriptions.</w:t>
      </w:r>
    </w:p>
    <w:p>
      <w:pPr>
        <w:spacing w:after="0" w:line="1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fixed-fee billing arrangements, we agree to a pre-established fee in exchange for a predetermined set of professional services. We set the fees based on our estimates of the costs and timing for completing the engagements. In these engagements, it is the client’s expectation that the pre-established fee will not be exceeded except in mutually agreed upon circumstances. We generally recognize revenues under fixed-fee billing arrangements using a proportionate performance approach, which is based on work completed to date versus our estimates of the total services to be provided under the engagement. Contracts within our Studer Group solution are fixed-fee partner contracts with multiple deliverables, which primarily consist of coaching services, as well as conferences, materials and software products (“Partner Contracts”). Revenues for coaching services and software products are generally recognized on a straight-line basis over the length of the contract. All other revenues under Partner Contracts are recognized at the time the service is provided.</w:t>
      </w:r>
    </w:p>
    <w:p>
      <w:pPr>
        <w:spacing w:after="0" w:line="11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Fixed-fee arrangements also include software licenses for our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w:t>
      </w:r>
    </w:p>
    <w:p>
      <w:pPr>
        <w:spacing w:after="0" w:line="10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Fixed-fee engagements represented 46.5% and 44.5% of our revenues for the three months ended September 30, 2017 and 2016, respectively, and 45.9% and 48.5% of our revenues for the nine months ended September 30, 2017 and 2016, respectively.</w:t>
      </w:r>
    </w:p>
    <w:p>
      <w:pPr>
        <w:spacing w:after="0" w:line="11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Time-and-expense billing arrangements require the client to pay based on the number of hours worked by our revenue-generating professionals at agreed upon rates. Time-and-expense arrangements also include certain speaking engagements, conferences, and publications purchased by our clients outside of Partner Contracts within our Studer Group solution. We recognize revenues under time-and-expense billing arrangements as the related services or publications are provided. Time-and-expense engagements represented 43.9% and 42.2% of our revenues for the three months ended September 30, 2017 and 2016, respectively, and 44.4% and 37.6% of our revenues for the nine months ended September 30, 2017 and 2016, respectively.</w:t>
      </w:r>
    </w:p>
    <w:p>
      <w:pPr>
        <w:spacing w:after="0" w:line="10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performance-based fee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Often, performance-based fees supplement our time-and-expense or fixed-fee engagements. We do not recognize revenues under performance-based billing arrangements until all related performance criteria are met. Performance-based fee revenues represented 4.0% and 8.2% of our revenues for the three months ended September 30, 2017 and 2016, respectively, and 4.4% and 9.1% of our revenues for the nine months ended September 30, 2017 and 2016, respectively. Performance-based fee engagements may cause significant variations in quarterly revenues and operating results depending on the timing of achieving the performance-based criteria.</w:t>
      </w:r>
    </w:p>
    <w:p>
      <w:pPr>
        <w:spacing w:after="0" w:line="11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Clients that have purchased one of our software licenses can pay an annual fee for software support and maintenance. We also generate subscription revenue from our cloud-based analytic tools and solutions. Software support and maintenance and subscription revenues are recognized ratably over the support or subscription period, which ranges from one to three years. These fees are billed in advance and included in deferred revenues until recognized. Software support and maintenance and subscription revenues represented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5.6% and 5.1% of our revenues for the three months ended September 30, 2017 and 2016, respectively, and 5.3% and 4.8% of our revenues for the nine months ended September 30, 2017 and 2016, respectively.</w:t>
      </w:r>
    </w:p>
    <w:p>
      <w:pPr>
        <w:spacing w:after="0" w:line="1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quarterly results are impacted principally by our full-time consultants’ utilization rate, the bill rates we charge our clients, the number of our revenue-generating professionals who are available to work, and the amount of performance-based fees recognized, which often vary significantly between quarters.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spacing w:after="0" w:line="1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 Opportunities and Challenges</w:t>
      </w:r>
    </w:p>
    <w:p>
      <w:pPr>
        <w:spacing w:after="0" w:line="17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primary strategy is to meet the needs of our clients by providing a balanced portfolio of service offerings and capabilities so that we can adapt quickly and effectively to emerging opportunities in the marketplace. To achieve this, we continue to hire highly qualified professionals and have entered into select acquisitions of complementary businesses.</w:t>
      </w:r>
    </w:p>
    <w:p>
      <w:pPr>
        <w:spacing w:after="0" w:line="127"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To expand our business, we will remain focused on growing our existing relationships and developing new relationships, executing our managing director compensation plan to attract and retain senior practitioners, continuing to promote and provide an integrated approach to service delivery, broadening the scope of our existing services, and acquiring complementary businesses. We will regularly evaluate the performance of our practices to ensure our investments meet these objectives. Furthermore, we intend to enhance our visibility in the marketplace by refining our overarching messaging and value propositions for the organization as well as each practice. We will continue to focus on reaching our client base through clear, concise, and endorsed messages.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color w:val="auto"/>
        </w:rPr>
        <w:t>The following table sets forth, for the periods indicated, selected segment and consolidated operating results and other operating data. The results of operations for acquired businesses have been included in our results of operations since the date of their respective acquisition.</w:t>
      </w:r>
    </w:p>
    <w:p>
      <w:pPr>
        <w:spacing w:after="0" w:line="93"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During the second quarter of 2017, we reorganized our internal financial reporting structure by moving our Life Sciences practice from the Education and Life Sciences segment to the Business Advisory segment. The remaining Education and Life Sciences segment is now referred to as the Education segment. While our consolidated results have not been impacted, we have restated our historical segment information for consistent presentation.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40" w:right="2020"/>
        <w:spacing w:after="0" w:line="347" w:lineRule="auto"/>
        <w:rPr>
          <w:sz w:val="20"/>
          <w:szCs w:val="20"/>
          <w:color w:val="auto"/>
        </w:rPr>
      </w:pPr>
      <w:r>
        <w:rPr>
          <w:rFonts w:ascii="Arial" w:cs="Arial" w:eastAsia="Arial" w:hAnsi="Arial"/>
          <w:sz w:val="15"/>
          <w:szCs w:val="15"/>
          <w:b w:val="1"/>
          <w:bCs w:val="1"/>
          <w:color w:val="auto"/>
        </w:rPr>
        <w:t>Segment and Consolidated Operating Results (in thousands, except per share amounts):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shd w:val="clear" w:color="auto" w:fill="CCEEFF"/>
        </w:rPr>
        <w:t>Healthcare:</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2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25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2620" w:type="dxa"/>
            <w:vAlign w:val="bottom"/>
            <w:gridSpan w:val="4"/>
          </w:tcPr>
          <w:p>
            <w:pPr>
              <w:ind w:left="720"/>
              <w:spacing w:after="0"/>
              <w:rPr>
                <w:sz w:val="20"/>
                <w:szCs w:val="20"/>
                <w:color w:val="auto"/>
              </w:rPr>
            </w:pPr>
            <w:r>
              <w:rPr>
                <w:rFonts w:ascii="Arial" w:cs="Arial" w:eastAsia="Arial" w:hAnsi="Arial"/>
                <w:sz w:val="18"/>
                <w:szCs w:val="18"/>
                <w:b w:val="1"/>
                <w:bCs w:val="1"/>
                <w:color w:val="auto"/>
              </w:rPr>
              <w:t>September 30,</w:t>
            </w:r>
          </w:p>
        </w:tc>
        <w:tc>
          <w:tcPr>
            <w:tcW w:w="25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7"/>
        </w:trPr>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r>
      <w:tr>
        <w:trPr>
          <w:trHeight w:val="27"/>
        </w:trPr>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-8255</wp:posOffset>
            </wp:positionV>
            <wp:extent cx="72466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2">
            <w:col w:w="5540" w:space="720"/>
            <w:col w:w="516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6260" w:type="dxa"/>
            <w:vAlign w:val="bottom"/>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79,582</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103,425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261,261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323,531</w:t>
            </w:r>
          </w:p>
        </w:tc>
      </w:tr>
      <w:tr>
        <w:trPr>
          <w:trHeight w:val="27"/>
        </w:trPr>
        <w:tc>
          <w:tcPr>
            <w:tcW w:w="6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25,778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38,824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83,580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119,229</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7"/>
        </w:trPr>
        <w:tc>
          <w:tcPr>
            <w:tcW w:w="6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Education: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41,422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38,621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127,629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111,816</w:t>
            </w:r>
          </w:p>
        </w:tc>
      </w:tr>
      <w:tr>
        <w:trPr>
          <w:trHeight w:val="27"/>
        </w:trPr>
        <w:tc>
          <w:tcPr>
            <w:tcW w:w="6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7,762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10,896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31,772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31,474</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27"/>
        </w:trPr>
        <w:tc>
          <w:tcPr>
            <w:tcW w:w="6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Business Advisory:</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55,372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41,354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157,753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112,801</w:t>
            </w:r>
          </w:p>
        </w:tc>
      </w:tr>
      <w:tr>
        <w:trPr>
          <w:trHeight w:val="27"/>
        </w:trPr>
        <w:tc>
          <w:tcPr>
            <w:tcW w:w="6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12,832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8,608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34,890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23,275</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7"/>
        </w:trPr>
        <w:tc>
          <w:tcPr>
            <w:tcW w:w="6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Company:</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176,376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183,400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546,643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548,148</w:t>
            </w:r>
          </w:p>
        </w:tc>
      </w:tr>
      <w:tr>
        <w:trPr>
          <w:trHeight w:val="27"/>
        </w:trPr>
        <w:tc>
          <w:tcPr>
            <w:tcW w:w="6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17,982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19,093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55,862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54,636</w:t>
            </w:r>
          </w:p>
        </w:tc>
      </w:tr>
      <w:tr>
        <w:trPr>
          <w:trHeight w:val="237"/>
        </w:trPr>
        <w:tc>
          <w:tcPr>
            <w:tcW w:w="6260" w:type="dxa"/>
            <w:vAlign w:val="bottom"/>
          </w:tcPr>
          <w:p>
            <w:pPr>
              <w:ind w:left="280"/>
              <w:spacing w:after="0"/>
              <w:rPr>
                <w:sz w:val="20"/>
                <w:szCs w:val="20"/>
                <w:color w:val="auto"/>
              </w:rPr>
            </w:pPr>
            <w:r>
              <w:rPr>
                <w:rFonts w:ascii="Arial" w:cs="Arial" w:eastAsia="Arial" w:hAnsi="Arial"/>
                <w:sz w:val="18"/>
                <w:szCs w:val="18"/>
                <w:color w:val="auto"/>
              </w:rPr>
              <w:t>Total revenues and reimbursable expenses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194,358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202,493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602,505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602,784</w:t>
            </w:r>
          </w:p>
        </w:tc>
      </w:tr>
      <w:tr>
        <w:trPr>
          <w:trHeight w:val="67"/>
        </w:trPr>
        <w:tc>
          <w:tcPr>
            <w:tcW w:w="62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264"/>
        </w:trPr>
        <w:tc>
          <w:tcPr>
            <w:tcW w:w="62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46,372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58,328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150,242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173,978</w:t>
            </w:r>
          </w:p>
        </w:tc>
      </w:tr>
      <w:tr>
        <w:trPr>
          <w:trHeight w:val="27"/>
        </w:trPr>
        <w:tc>
          <w:tcPr>
            <w:tcW w:w="6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Items not allocated at the segment level:</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29,448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26,502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92,643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84,595</w:t>
            </w:r>
          </w:p>
        </w:tc>
      </w:tr>
      <w:tr>
        <w:trPr>
          <w:trHeight w:val="27"/>
        </w:trPr>
        <w:tc>
          <w:tcPr>
            <w:tcW w:w="6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losses (gains), net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494</w:t>
            </w:r>
          </w:p>
        </w:tc>
      </w:tr>
      <w:tr>
        <w:trPr>
          <w:trHeight w:val="243"/>
        </w:trPr>
        <w:tc>
          <w:tcPr>
            <w:tcW w:w="62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9,946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8,092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28,549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23,064</w:t>
            </w:r>
          </w:p>
        </w:tc>
      </w:tr>
      <w:tr>
        <w:trPr>
          <w:trHeight w:val="27"/>
        </w:trPr>
        <w:tc>
          <w:tcPr>
            <w:tcW w:w="6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26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Goodwill impairment charge </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209,600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37"/>
        </w:trPr>
        <w:tc>
          <w:tcPr>
            <w:tcW w:w="6260" w:type="dxa"/>
            <w:vAlign w:val="bottom"/>
          </w:tcPr>
          <w:p>
            <w:pPr>
              <w:ind w:left="40"/>
              <w:spacing w:after="0"/>
              <w:rPr>
                <w:sz w:val="20"/>
                <w:szCs w:val="20"/>
                <w:color w:val="auto"/>
              </w:rPr>
            </w:pPr>
            <w:r>
              <w:rPr>
                <w:rFonts w:ascii="Arial" w:cs="Arial" w:eastAsia="Arial" w:hAnsi="Arial"/>
                <w:sz w:val="18"/>
                <w:szCs w:val="18"/>
                <w:color w:val="auto"/>
              </w:rPr>
              <w:t>Total operating income (loss)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6,098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23,240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(180,328)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65,825</w:t>
            </w:r>
          </w:p>
        </w:tc>
      </w:tr>
      <w:tr>
        <w:trPr>
          <w:trHeight w:val="27"/>
        </w:trPr>
        <w:tc>
          <w:tcPr>
            <w:tcW w:w="6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(3,950)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(3,687)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(10,607)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(11,034)</w:t>
            </w:r>
          </w:p>
        </w:tc>
      </w:tr>
      <w:tr>
        <w:trPr>
          <w:trHeight w:val="237"/>
        </w:trPr>
        <w:tc>
          <w:tcPr>
            <w:tcW w:w="6260" w:type="dxa"/>
            <w:vAlign w:val="bottom"/>
          </w:tcPr>
          <w:p>
            <w:pPr>
              <w:ind w:left="40"/>
              <w:spacing w:after="0"/>
              <w:rPr>
                <w:sz w:val="20"/>
                <w:szCs w:val="20"/>
                <w:color w:val="auto"/>
              </w:rPr>
            </w:pPr>
            <w:r>
              <w:rPr>
                <w:rFonts w:ascii="Arial" w:cs="Arial" w:eastAsia="Arial" w:hAnsi="Arial"/>
                <w:sz w:val="18"/>
                <w:szCs w:val="18"/>
                <w:color w:val="auto"/>
              </w:rPr>
              <w:t>Income (loss) from continuing operations before income tax expense</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2,148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19,553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(190,935)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54,791</w:t>
            </w:r>
          </w:p>
        </w:tc>
      </w:tr>
      <w:tr>
        <w:trPr>
          <w:trHeight w:val="27"/>
        </w:trPr>
        <w:tc>
          <w:tcPr>
            <w:tcW w:w="6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7,265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(49,740)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19,498</w:t>
            </w:r>
          </w:p>
        </w:tc>
      </w:tr>
      <w:tr>
        <w:trPr>
          <w:trHeight w:val="297"/>
        </w:trPr>
        <w:tc>
          <w:tcPr>
            <w:tcW w:w="6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4,132</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12,288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(141,195)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35,293</w:t>
            </w:r>
          </w:p>
        </w:tc>
      </w:tr>
      <w:tr>
        <w:trPr>
          <w:trHeight w:val="237"/>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share from continuing operations:</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6260" w:type="dxa"/>
            <w:vAlign w:val="bottom"/>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1.67</w:t>
            </w:r>
          </w:p>
        </w:tc>
      </w:tr>
      <w:tr>
        <w:trPr>
          <w:trHeight w:val="27"/>
        </w:trPr>
        <w:tc>
          <w:tcPr>
            <w:tcW w:w="6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6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0.57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1.65</w:t>
            </w:r>
          </w:p>
        </w:tc>
      </w:tr>
      <w:tr>
        <w:trPr>
          <w:trHeight w:val="27"/>
        </w:trPr>
        <w:tc>
          <w:tcPr>
            <w:tcW w:w="62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22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6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5"/>
          </w:tcPr>
          <w:p>
            <w:pPr>
              <w:ind w:left="44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20"/>
                <w:szCs w:val="20"/>
                <w:color w:val="auto"/>
              </w:rPr>
            </w:pPr>
          </w:p>
        </w:tc>
        <w:tc>
          <w:tcPr>
            <w:tcW w:w="22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28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Operating Data:</w:t>
            </w:r>
          </w:p>
        </w:tc>
        <w:tc>
          <w:tcPr>
            <w:tcW w:w="2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r>
      <w:tr>
        <w:trPr>
          <w:trHeight w:val="27"/>
        </w:trPr>
        <w:tc>
          <w:tcPr>
            <w:tcW w:w="6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628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 xml:space="preserve">Number of full-time billable consultants (at period end) </w:t>
            </w:r>
            <w:r>
              <w:rPr>
                <w:rFonts w:ascii="Arial" w:cs="Arial" w:eastAsia="Arial" w:hAnsi="Arial"/>
                <w:sz w:val="25"/>
                <w:szCs w:val="25"/>
                <w:b w:val="1"/>
                <w:bCs w:val="1"/>
                <w:color w:val="auto"/>
                <w:vertAlign w:val="superscript"/>
              </w:rPr>
              <w:t>(2)</w:t>
            </w:r>
            <w:r>
              <w:rPr>
                <w:rFonts w:ascii="Arial" w:cs="Arial" w:eastAsia="Arial" w:hAnsi="Arial"/>
                <w:sz w:val="18"/>
                <w:szCs w:val="18"/>
                <w:b w:val="1"/>
                <w:bCs w:val="1"/>
                <w:color w:val="auto"/>
              </w:rPr>
              <w:t>:</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Healthcare</w:t>
            </w: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1,010</w:t>
            </w: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Education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466</w:t>
            </w: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Business Advisory</w:t>
            </w: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545</w:t>
            </w:r>
          </w:p>
        </w:tc>
      </w:tr>
      <w:tr>
        <w:trPr>
          <w:trHeight w:val="27"/>
        </w:trPr>
        <w:tc>
          <w:tcPr>
            <w:tcW w:w="6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2,021</w:t>
            </w:r>
          </w:p>
        </w:tc>
      </w:tr>
      <w:tr>
        <w:trPr>
          <w:trHeight w:val="270"/>
        </w:trPr>
        <w:tc>
          <w:tcPr>
            <w:tcW w:w="6280" w:type="dxa"/>
            <w:vAlign w:val="bottom"/>
            <w:gridSpan w:val="2"/>
          </w:tcPr>
          <w:p>
            <w:pPr>
              <w:ind w:left="40"/>
              <w:spacing w:after="0" w:line="270" w:lineRule="exact"/>
              <w:rPr>
                <w:sz w:val="20"/>
                <w:szCs w:val="20"/>
                <w:color w:val="auto"/>
              </w:rPr>
            </w:pPr>
            <w:r>
              <w:rPr>
                <w:rFonts w:ascii="Arial" w:cs="Arial" w:eastAsia="Arial" w:hAnsi="Arial"/>
                <w:sz w:val="18"/>
                <w:szCs w:val="18"/>
                <w:b w:val="1"/>
                <w:bCs w:val="1"/>
                <w:color w:val="auto"/>
              </w:rPr>
              <w:t xml:space="preserve">Average number of full-time billable consultants (for the period) </w:t>
            </w:r>
            <w:r>
              <w:rPr>
                <w:rFonts w:ascii="Arial" w:cs="Arial" w:eastAsia="Arial" w:hAnsi="Arial"/>
                <w:sz w:val="25"/>
                <w:szCs w:val="25"/>
                <w:b w:val="1"/>
                <w:bCs w:val="1"/>
                <w:color w:val="auto"/>
                <w:vertAlign w:val="superscript"/>
              </w:rPr>
              <w:t>(2)</w:t>
            </w:r>
            <w:r>
              <w:rPr>
                <w:rFonts w:ascii="Arial" w:cs="Arial" w:eastAsia="Arial" w:hAnsi="Arial"/>
                <w:sz w:val="18"/>
                <w:szCs w:val="18"/>
                <w:b w:val="1"/>
                <w:bCs w:val="1"/>
                <w:color w:val="auto"/>
              </w:rPr>
              <w:t>:</w:t>
            </w: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1,005</w:t>
            </w: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Education</w:t>
            </w: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425</w:t>
            </w: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779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710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465</w:t>
            </w:r>
          </w:p>
        </w:tc>
      </w:tr>
      <w:tr>
        <w:trPr>
          <w:trHeight w:val="237"/>
        </w:trPr>
        <w:tc>
          <w:tcPr>
            <w:tcW w:w="628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2,047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1,961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1,895</w:t>
            </w: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2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Full-time billable consultant utilization rate </w:t>
            </w:r>
            <w:r>
              <w:rPr>
                <w:rFonts w:ascii="Arial" w:cs="Arial" w:eastAsia="Arial" w:hAnsi="Arial"/>
                <w:sz w:val="25"/>
                <w:szCs w:val="25"/>
                <w:b w:val="1"/>
                <w:bCs w:val="1"/>
                <w:color w:val="auto"/>
                <w:vertAlign w:val="superscript"/>
              </w:rPr>
              <w:t>(3)</w:t>
            </w:r>
            <w:r>
              <w:rPr>
                <w:rFonts w:ascii="Arial" w:cs="Arial" w:eastAsia="Arial" w:hAnsi="Arial"/>
                <w:sz w:val="18"/>
                <w:szCs w:val="18"/>
                <w:b w:val="1"/>
                <w:bCs w:val="1"/>
                <w:color w:val="auto"/>
              </w:rPr>
              <w:t>:</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Healthcare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78.6%</w:t>
            </w: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Education</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Business Advisory</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72.4%</w:t>
            </w: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w:t>
            </w:r>
          </w:p>
        </w:tc>
      </w:tr>
      <w:tr>
        <w:trPr>
          <w:trHeight w:val="270"/>
        </w:trPr>
        <w:tc>
          <w:tcPr>
            <w:tcW w:w="6280" w:type="dxa"/>
            <w:vAlign w:val="bottom"/>
            <w:gridSpan w:val="2"/>
          </w:tcPr>
          <w:p>
            <w:pPr>
              <w:ind w:left="40"/>
              <w:spacing w:after="0" w:line="270" w:lineRule="exact"/>
              <w:rPr>
                <w:sz w:val="20"/>
                <w:szCs w:val="20"/>
                <w:color w:val="auto"/>
              </w:rPr>
            </w:pPr>
            <w:r>
              <w:rPr>
                <w:rFonts w:ascii="Arial" w:cs="Arial" w:eastAsia="Arial" w:hAnsi="Arial"/>
                <w:sz w:val="18"/>
                <w:szCs w:val="18"/>
                <w:b w:val="1"/>
                <w:bCs w:val="1"/>
                <w:color w:val="auto"/>
              </w:rPr>
              <w:t xml:space="preserve">Full-time billable consultant average billing rate per hour </w:t>
            </w:r>
            <w:r>
              <w:rPr>
                <w:rFonts w:ascii="Arial" w:cs="Arial" w:eastAsia="Arial" w:hAnsi="Arial"/>
                <w:sz w:val="25"/>
                <w:szCs w:val="25"/>
                <w:b w:val="1"/>
                <w:bCs w:val="1"/>
                <w:color w:val="auto"/>
                <w:vertAlign w:val="superscript"/>
              </w:rPr>
              <w:t>(4)</w:t>
            </w:r>
            <w:r>
              <w:rPr>
                <w:rFonts w:ascii="Arial" w:cs="Arial" w:eastAsia="Arial" w:hAnsi="Arial"/>
                <w:sz w:val="18"/>
                <w:szCs w:val="18"/>
                <w:b w:val="1"/>
                <w:bCs w:val="1"/>
                <w:color w:val="auto"/>
              </w:rPr>
              <w:t>:</w:t>
            </w: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Healthcare</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209</w:t>
            </w: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Education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217</w:t>
            </w: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216</w:t>
            </w:r>
          </w:p>
        </w:tc>
      </w:tr>
      <w:tr>
        <w:trPr>
          <w:trHeight w:val="243"/>
        </w:trPr>
        <w:tc>
          <w:tcPr>
            <w:tcW w:w="628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212</w:t>
            </w: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Revenue per full-time billable consultant (in thousands):</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Healthcare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231</w:t>
            </w: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Education</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224</w:t>
            </w: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Business Advisory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229</w:t>
            </w: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229</w:t>
            </w:r>
          </w:p>
        </w:tc>
      </w:tr>
      <w:tr>
        <w:trPr>
          <w:trHeight w:val="270"/>
        </w:trPr>
        <w:tc>
          <w:tcPr>
            <w:tcW w:w="6280" w:type="dxa"/>
            <w:vAlign w:val="bottom"/>
            <w:gridSpan w:val="2"/>
          </w:tcPr>
          <w:p>
            <w:pPr>
              <w:ind w:left="40"/>
              <w:spacing w:after="0" w:line="270" w:lineRule="exact"/>
              <w:rPr>
                <w:sz w:val="20"/>
                <w:szCs w:val="20"/>
                <w:color w:val="auto"/>
              </w:rPr>
            </w:pPr>
            <w:r>
              <w:rPr>
                <w:rFonts w:ascii="Arial" w:cs="Arial" w:eastAsia="Arial" w:hAnsi="Arial"/>
                <w:sz w:val="18"/>
                <w:szCs w:val="18"/>
                <w:b w:val="1"/>
                <w:bCs w:val="1"/>
                <w:color w:val="auto"/>
              </w:rPr>
              <w:t xml:space="preserve">Average number of full-time equivalents (for the period) </w:t>
            </w:r>
            <w:r>
              <w:rPr>
                <w:rFonts w:ascii="Arial" w:cs="Arial" w:eastAsia="Arial" w:hAnsi="Arial"/>
                <w:sz w:val="25"/>
                <w:szCs w:val="25"/>
                <w:b w:val="1"/>
                <w:bCs w:val="1"/>
                <w:color w:val="auto"/>
                <w:vertAlign w:val="superscript"/>
              </w:rPr>
              <w:t>(5)</w:t>
            </w:r>
            <w:r>
              <w:rPr>
                <w:rFonts w:ascii="Arial" w:cs="Arial" w:eastAsia="Arial" w:hAnsi="Arial"/>
                <w:sz w:val="18"/>
                <w:szCs w:val="18"/>
                <w:b w:val="1"/>
                <w:bCs w:val="1"/>
                <w:color w:val="auto"/>
              </w:rPr>
              <w:t>:</w:t>
            </w: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Healthcare</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201</w:t>
            </w: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Education</w:t>
            </w: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37</w:t>
            </w: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Business Advisory</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r>
      <w:tr>
        <w:trPr>
          <w:trHeight w:val="237"/>
        </w:trPr>
        <w:tc>
          <w:tcPr>
            <w:tcW w:w="628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257</w:t>
            </w: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Revenue per full-time equivalent (in thousands):</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Healthcare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456</w:t>
            </w: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Education</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436</w:t>
            </w: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Business Advisory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335</w:t>
            </w: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62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444</w:t>
            </w:r>
          </w:p>
        </w:tc>
      </w:tr>
      <w:tr>
        <w:trPr>
          <w:trHeight w:val="27"/>
        </w:trPr>
        <w:tc>
          <w:tcPr>
            <w:tcW w:w="6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40" w:lineRule="exact"/>
        <w:rPr>
          <w:sz w:val="20"/>
          <w:szCs w:val="20"/>
          <w:color w:val="auto"/>
        </w:rPr>
      </w:pPr>
    </w:p>
    <w:p>
      <w:pPr>
        <w:ind w:left="540" w:right="320" w:hanging="532"/>
        <w:spacing w:after="0" w:line="317"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non-cash goodwill impairment charge is not allocated at the segment level because the underlying goodwill asset is reflective of our corporate investment in the segments. We do not include the impact of goodwill impairment charges in our evaluation of segment performance.</w:t>
      </w: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our full-time professionals who provide consulting services and generate revenues based on the number of hours worked.</w:t>
      </w:r>
    </w:p>
    <w:p>
      <w:pPr>
        <w:spacing w:after="0" w:line="63" w:lineRule="exact"/>
        <w:rPr>
          <w:rFonts w:ascii="Arial" w:cs="Arial" w:eastAsia="Arial" w:hAnsi="Arial"/>
          <w:sz w:val="18"/>
          <w:szCs w:val="18"/>
          <w:color w:val="auto"/>
        </w:rPr>
      </w:pPr>
    </w:p>
    <w:p>
      <w:pPr>
        <w:ind w:left="540" w:right="20" w:hanging="532"/>
        <w:spacing w:after="0" w:line="264"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Utilization rate for our full-time billable consultants is calculated by dividing the number of hours all of our full-time billable consultants worked on client assignments during a period by the total available working hours for all of these consultants during the same period, assuming a forty-hour work week, less paid holidays and vacation days.</w:t>
      </w:r>
    </w:p>
    <w:p>
      <w:pPr>
        <w:spacing w:after="0" w:line="19" w:lineRule="exact"/>
        <w:rPr>
          <w:rFonts w:ascii="Arial" w:cs="Arial" w:eastAsia="Arial" w:hAnsi="Arial"/>
          <w:sz w:val="18"/>
          <w:szCs w:val="18"/>
          <w:color w:val="auto"/>
        </w:rPr>
      </w:pPr>
    </w:p>
    <w:p>
      <w:pPr>
        <w:ind w:left="540" w:right="220" w:hanging="532"/>
        <w:spacing w:after="0" w:line="277"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Average billing rate per hour for our full-time billable consultants is calculated by dividing revenues for a period by the number of hours worked on client assignments during the same period.</w:t>
      </w:r>
    </w:p>
    <w:p>
      <w:pPr>
        <w:spacing w:after="0" w:line="8" w:lineRule="exact"/>
        <w:rPr>
          <w:rFonts w:ascii="Arial" w:cs="Arial" w:eastAsia="Arial" w:hAnsi="Arial"/>
          <w:sz w:val="18"/>
          <w:szCs w:val="18"/>
          <w:color w:val="auto"/>
        </w:rPr>
      </w:pPr>
    </w:p>
    <w:p>
      <w:pPr>
        <w:ind w:left="540" w:right="60" w:hanging="532"/>
        <w:spacing w:after="0" w:line="342"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Consists of cultural transformation consultants within our Studer Group solution, which include coaches and their support staff, consultants who work variable schedules as needed by our clients, and full-time employees who provide software support and maintenance services to our clients.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7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We also assess our results of operations using certain non-GAAP financial measures. These non-GAAP financial measures differ from GAAP because the non-GAAP financial measures we calculate to measure earnings (loss) before interest, taxes, depreciation and amortization ("EBITDA"), adjusted EBITDA, adjusted EBITDA as a percentage of revenues, adjusted net income (loss) from continuing operations, and adjusted diluted earnings (loss) per share from continuing operations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2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reconciliations of these financial measures from GAAP to non-GAAP are as follows (in thousands, except per share amounts):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9"/>
              </w:rPr>
              <w:t>Three Months Ended</w:t>
            </w:r>
          </w:p>
        </w:tc>
        <w:tc>
          <w:tcPr>
            <w:tcW w:w="260" w:type="dxa"/>
            <w:vAlign w:val="bottom"/>
          </w:tcPr>
          <w:p>
            <w:pPr>
              <w:spacing w:after="0"/>
              <w:rPr>
                <w:sz w:val="18"/>
                <w:szCs w:val="18"/>
                <w:color w:val="auto"/>
              </w:rPr>
            </w:pPr>
          </w:p>
        </w:tc>
        <w:tc>
          <w:tcPr>
            <w:tcW w:w="228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6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5"/>
          </w:tcPr>
          <w:p>
            <w:pPr>
              <w:ind w:left="44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0"/>
                <w:szCs w:val="20"/>
                <w:color w:val="auto"/>
              </w:rPr>
            </w:pPr>
          </w:p>
        </w:tc>
        <w:tc>
          <w:tcPr>
            <w:tcW w:w="228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176,376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183,400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546,643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548,148</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26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4,132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12,288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(141,195)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35,293</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back:</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60" w:type="dxa"/>
            <w:vAlign w:val="bottom"/>
          </w:tcPr>
          <w:p>
            <w:pPr>
              <w:ind w:left="380"/>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(1,984)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7,265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(49,740)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19,498</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13,811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12,270</w:t>
            </w:r>
          </w:p>
        </w:tc>
        <w:tc>
          <w:tcPr>
            <w:tcW w:w="0" w:type="dxa"/>
            <w:vAlign w:val="bottom"/>
          </w:tcPr>
          <w:p>
            <w:pPr>
              <w:spacing w:after="0"/>
              <w:rPr>
                <w:sz w:val="1"/>
                <w:szCs w:val="1"/>
                <w:color w:val="auto"/>
              </w:rPr>
            </w:pPr>
          </w:p>
        </w:tc>
      </w:tr>
      <w:tr>
        <w:trPr>
          <w:trHeight w:val="243"/>
        </w:trPr>
        <w:tc>
          <w:tcPr>
            <w:tcW w:w="62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12,603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12,144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36,937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34,342</w:t>
            </w: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3"/>
              </w:rPr>
              <w:t>Earnings (loss) before interest, taxes, depreciation and amortization (EBITDA)</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19,631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35,873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(140,187)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101,403</w:t>
            </w:r>
          </w:p>
        </w:tc>
        <w:tc>
          <w:tcPr>
            <w:tcW w:w="0" w:type="dxa"/>
            <w:vAlign w:val="bottom"/>
          </w:tcPr>
          <w:p>
            <w:pPr>
              <w:spacing w:after="0"/>
              <w:rPr>
                <w:sz w:val="1"/>
                <w:szCs w:val="1"/>
                <w:color w:val="auto"/>
              </w:rPr>
            </w:pP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Add back:</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charges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5,295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4,129</w:t>
            </w:r>
          </w:p>
        </w:tc>
        <w:tc>
          <w:tcPr>
            <w:tcW w:w="0" w:type="dxa"/>
            <w:vAlign w:val="bottom"/>
          </w:tcPr>
          <w:p>
            <w:pPr>
              <w:spacing w:after="0"/>
              <w:rPr>
                <w:sz w:val="1"/>
                <w:szCs w:val="1"/>
                <w:color w:val="auto"/>
              </w:rPr>
            </w:pPr>
          </w:p>
        </w:tc>
      </w:tr>
      <w:tr>
        <w:trPr>
          <w:trHeight w:val="243"/>
        </w:trPr>
        <w:tc>
          <w:tcPr>
            <w:tcW w:w="6260" w:type="dxa"/>
            <w:vAlign w:val="bottom"/>
          </w:tcPr>
          <w:p>
            <w:pPr>
              <w:ind w:left="380"/>
              <w:spacing w:after="0"/>
              <w:rPr>
                <w:sz w:val="20"/>
                <w:szCs w:val="20"/>
                <w:color w:val="auto"/>
              </w:rPr>
            </w:pPr>
            <w:r>
              <w:rPr>
                <w:rFonts w:ascii="Arial" w:cs="Arial" w:eastAsia="Arial" w:hAnsi="Arial"/>
                <w:sz w:val="18"/>
                <w:szCs w:val="18"/>
                <w:color w:val="auto"/>
              </w:rPr>
              <w:t>Other losses (gains), net</w:t>
            </w: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 impairment charge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209,600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60" w:type="dxa"/>
            <w:vAlign w:val="bottom"/>
          </w:tcPr>
          <w:p>
            <w:pPr>
              <w:ind w:left="380"/>
              <w:spacing w:after="0"/>
              <w:rPr>
                <w:sz w:val="20"/>
                <w:szCs w:val="20"/>
                <w:color w:val="auto"/>
              </w:rPr>
            </w:pPr>
            <w:r>
              <w:rPr>
                <w:rFonts w:ascii="Arial" w:cs="Arial" w:eastAsia="Arial" w:hAnsi="Arial"/>
                <w:sz w:val="18"/>
                <w:szCs w:val="18"/>
                <w:color w:val="auto"/>
              </w:rPr>
              <w:t>Gain on sale of business</w:t>
            </w:r>
          </w:p>
        </w:tc>
        <w:tc>
          <w:tcPr>
            <w:tcW w:w="28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transaction losses (gains), net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7"/>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21,473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37,500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73,106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105,756</w:t>
            </w:r>
          </w:p>
        </w:tc>
        <w:tc>
          <w:tcPr>
            <w:tcW w:w="0" w:type="dxa"/>
            <w:vAlign w:val="bottom"/>
          </w:tcPr>
          <w:p>
            <w:pPr>
              <w:spacing w:after="0"/>
              <w:rPr>
                <w:sz w:val="1"/>
                <w:szCs w:val="1"/>
                <w:color w:val="auto"/>
              </w:rPr>
            </w:pPr>
          </w:p>
        </w:tc>
      </w:tr>
      <w:tr>
        <w:trPr>
          <w:trHeight w:val="67"/>
        </w:trPr>
        <w:tc>
          <w:tcPr>
            <w:tcW w:w="62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2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Adjusted EBITDA as a percentage of revenues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34</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2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18"/>
                <w:szCs w:val="18"/>
                <w:color w:val="auto"/>
              </w:rPr>
            </w:pPr>
          </w:p>
        </w:tc>
        <w:tc>
          <w:tcPr>
            <w:tcW w:w="21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20"/>
                <w:szCs w:val="20"/>
                <w:color w:val="auto"/>
              </w:rPr>
            </w:pPr>
          </w:p>
        </w:tc>
        <w:tc>
          <w:tcPr>
            <w:tcW w:w="21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from continuing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4,132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35,293</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Weighted average shares - 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21,622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21,445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21,413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21,427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(loss) per share from continuing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Add back:</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24,369</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Restructuring charges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5,295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4,129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losses (gains), net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Goodwill impairment charge</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209,600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interest on convertible notes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5,582</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Gain on sale of business</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effect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(13,588)</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Tax benefit related to "check-the-box" election</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adjustments, net of tax</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172,917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20,986</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Adjusted net income from continuing operations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9,319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19,691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31,722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56,279</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Adjusted weighted average shares - diluted</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21,622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21,445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21,585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21,427</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Adjusted diluted earnings per share from continuing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0.92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These non-GAAP financial measures include adjustments for the following items:</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We have excluded the effect of amortization of intangible assets from the calculation of adjusted net income from</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operations presented above. Amortization of intangibles is inconsistent in its amount and frequency and is significantly affected by the timing and size of our acquisitions.</w:t>
      </w:r>
    </w:p>
    <w:p>
      <w:pPr>
        <w:spacing w:after="0" w:line="127" w:lineRule="exact"/>
        <w:rPr>
          <w:sz w:val="20"/>
          <w:szCs w:val="20"/>
          <w:color w:val="auto"/>
        </w:rPr>
      </w:pPr>
    </w:p>
    <w:p>
      <w:pPr>
        <w:ind w:right="540"/>
        <w:spacing w:after="0" w:line="279" w:lineRule="auto"/>
        <w:rPr>
          <w:sz w:val="20"/>
          <w:szCs w:val="20"/>
          <w:color w:val="auto"/>
        </w:rPr>
      </w:pPr>
      <w:r>
        <w:rPr>
          <w:rFonts w:ascii="Arial" w:cs="Arial" w:eastAsia="Arial" w:hAnsi="Arial"/>
          <w:sz w:val="17"/>
          <w:szCs w:val="17"/>
          <w:i w:val="1"/>
          <w:iCs w:val="1"/>
          <w:color w:val="auto"/>
        </w:rPr>
        <w:t xml:space="preserve">Restructuring charges: </w:t>
      </w:r>
      <w:r>
        <w:rPr>
          <w:rFonts w:ascii="Arial" w:cs="Arial" w:eastAsia="Arial" w:hAnsi="Arial"/>
          <w:sz w:val="17"/>
          <w:szCs w:val="17"/>
          <w:color w:val="auto"/>
        </w:rPr>
        <w:t>We have incurred charges due to the restructuring of various parts of our business. These restructuring charges have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consisted of costs associated with office space consolidations, including the accelerated depreciation of certain leasehold improvements, and severance charges. We have excluded the effect of the restructuring charges from our non-GAAP measures because the amount of each restructuring charge is significantly affected by the timing and size of the restructured business or component of a business.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Other losses (gains), net: </w:t>
      </w:r>
      <w:r>
        <w:rPr>
          <w:rFonts w:ascii="Arial" w:cs="Arial" w:eastAsia="Arial" w:hAnsi="Arial"/>
          <w:sz w:val="18"/>
          <w:szCs w:val="18"/>
          <w:color w:val="auto"/>
        </w:rPr>
        <w:t>We have excluded the effects of remeasurement losses and gains related to contingent acquisition liabilities to permit comparability</w:t>
      </w:r>
      <w:r>
        <w:rPr>
          <w:rFonts w:ascii="Arial" w:cs="Arial" w:eastAsia="Arial" w:hAnsi="Arial"/>
          <w:sz w:val="18"/>
          <w:szCs w:val="18"/>
          <w:i w:val="1"/>
          <w:iCs w:val="1"/>
          <w:color w:val="auto"/>
        </w:rPr>
        <w:t xml:space="preserve"> </w:t>
      </w:r>
      <w:r>
        <w:rPr>
          <w:rFonts w:ascii="Arial" w:cs="Arial" w:eastAsia="Arial" w:hAnsi="Arial"/>
          <w:sz w:val="18"/>
          <w:szCs w:val="18"/>
          <w:color w:val="auto"/>
        </w:rPr>
        <w:t>with periods that were not impacted by these items.</w:t>
      </w:r>
    </w:p>
    <w:p>
      <w:pPr>
        <w:spacing w:after="0" w:line="11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i w:val="1"/>
          <w:iCs w:val="1"/>
          <w:color w:val="auto"/>
        </w:rPr>
        <w:t xml:space="preserve">Goodwill impairment charge: </w:t>
      </w:r>
      <w:r>
        <w:rPr>
          <w:rFonts w:ascii="Arial" w:cs="Arial" w:eastAsia="Arial" w:hAnsi="Arial"/>
          <w:sz w:val="18"/>
          <w:szCs w:val="18"/>
          <w:color w:val="auto"/>
        </w:rPr>
        <w:t>We have excluded the effect of the goodwill impairment charge that occurred in the second quarter of 2017 as this is an</w:t>
      </w:r>
      <w:r>
        <w:rPr>
          <w:rFonts w:ascii="Arial" w:cs="Arial" w:eastAsia="Arial" w:hAnsi="Arial"/>
          <w:sz w:val="18"/>
          <w:szCs w:val="18"/>
          <w:i w:val="1"/>
          <w:iCs w:val="1"/>
          <w:color w:val="auto"/>
        </w:rPr>
        <w:t xml:space="preserve"> </w:t>
      </w:r>
      <w:r>
        <w:rPr>
          <w:rFonts w:ascii="Arial" w:cs="Arial" w:eastAsia="Arial" w:hAnsi="Arial"/>
          <w:sz w:val="18"/>
          <w:szCs w:val="18"/>
          <w:color w:val="auto"/>
        </w:rPr>
        <w:t>infrequent event and its exclusion permits comparability with periods that were not impacted by such charge.</w:t>
      </w:r>
    </w:p>
    <w:p>
      <w:pPr>
        <w:spacing w:after="0" w:line="11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Non-cash interest on convertible notes: </w:t>
      </w:r>
      <w:r>
        <w:rPr>
          <w:rFonts w:ascii="Arial" w:cs="Arial" w:eastAsia="Arial" w:hAnsi="Arial"/>
          <w:sz w:val="18"/>
          <w:szCs w:val="18"/>
          <w:color w:val="auto"/>
        </w:rPr>
        <w:t>We incur non-cash interest expense relating to the implied value of the equity conversion component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Notes. The value of the equity conversion component is treated as a debt discount and amortized to interest expense over the life of the Convertible Notes using the effective interest rate method. We exclude this non-cash interest expense that does not represent cash interest payments from the calculation of adjusted net income from continuing operations as management believes that this non-cash expense is not indicative of the ongoing performance of our business.</w:t>
      </w:r>
    </w:p>
    <w:p>
      <w:pPr>
        <w:spacing w:after="0" w:line="13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Gain on sale of business: </w:t>
      </w:r>
      <w:r>
        <w:rPr>
          <w:rFonts w:ascii="Arial" w:cs="Arial" w:eastAsia="Arial" w:hAnsi="Arial"/>
          <w:sz w:val="18"/>
          <w:szCs w:val="18"/>
          <w:color w:val="auto"/>
        </w:rPr>
        <w:t>We have excluded the effect of the gain on the sale of Life Sciences C&amp;O, as management believes that this one-time gain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divestiture of a business is not indicative of the ongoing performance of our business.</w:t>
      </w:r>
    </w:p>
    <w:p>
      <w:pPr>
        <w:spacing w:after="0" w:line="11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i w:val="1"/>
          <w:iCs w:val="1"/>
          <w:color w:val="auto"/>
        </w:rPr>
        <w:t xml:space="preserve">Foreign currency transaction losses (gains), net: </w:t>
      </w:r>
      <w:r>
        <w:rPr>
          <w:rFonts w:ascii="Arial" w:cs="Arial" w:eastAsia="Arial" w:hAnsi="Arial"/>
          <w:sz w:val="17"/>
          <w:szCs w:val="17"/>
          <w:color w:val="auto"/>
        </w:rPr>
        <w:t>We have excluded the effect of foreign currency transaction losses and gains from the calculation of adjusted</w:t>
      </w:r>
      <w:r>
        <w:rPr>
          <w:rFonts w:ascii="Arial" w:cs="Arial" w:eastAsia="Arial" w:hAnsi="Arial"/>
          <w:sz w:val="17"/>
          <w:szCs w:val="17"/>
          <w:i w:val="1"/>
          <w:iCs w:val="1"/>
          <w:color w:val="auto"/>
        </w:rPr>
        <w:t xml:space="preserve"> </w:t>
      </w:r>
      <w:r>
        <w:rPr>
          <w:rFonts w:ascii="Arial" w:cs="Arial" w:eastAsia="Arial" w:hAnsi="Arial"/>
          <w:sz w:val="17"/>
          <w:szCs w:val="17"/>
          <w:color w:val="auto"/>
        </w:rPr>
        <w:t>EBITDA because the amount of each loss or gain is significantly affected by timing and changes in foreign exchange rates.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Tax effect: </w:t>
      </w:r>
      <w:r>
        <w:rPr>
          <w:rFonts w:ascii="Arial" w:cs="Arial" w:eastAsia="Arial" w:hAnsi="Arial"/>
          <w:sz w:val="18"/>
          <w:szCs w:val="18"/>
          <w:color w:val="auto"/>
        </w:rPr>
        <w:t>The non-GAAP income tax adjustment reflects the incremental tax impact applicable to the non-GAAP adjustments.</w:t>
      </w:r>
    </w:p>
    <w:p>
      <w:pPr>
        <w:spacing w:after="0" w:line="17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 xml:space="preserve">Tax benefit related to "check-the-box" election: </w:t>
      </w:r>
      <w:r>
        <w:rPr>
          <w:rFonts w:ascii="Arial" w:cs="Arial" w:eastAsia="Arial" w:hAnsi="Arial"/>
          <w:sz w:val="17"/>
          <w:szCs w:val="17"/>
          <w:color w:val="auto"/>
        </w:rPr>
        <w:t>We have excluded the effect of a tax benefit, recorded in the third quarter of 2017, from recognizing a</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unrecognized tax benefit from our "check-the-box" election made in 2014 to treat one of our wholly-owned foreign subsidiaries as a disregarded entity for U.S. federal income tax purposes. The exclusion of this discrete tax benefit permits comparability with periods that were not impacted by this item. Refer to Note 13 “Income Taxes” within the notes to the consolidated financial statements for additional information.</w:t>
      </w:r>
    </w:p>
    <w:p>
      <w:pPr>
        <w:sectPr>
          <w:pgSz w:w="11900" w:h="16838" w:orient="portrait"/>
          <w:cols w:equalWidth="0" w:num="1">
            <w:col w:w="11420"/>
          </w:cols>
          <w:pgMar w:left="240" w:top="125"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i w:val="1"/>
          <w:iCs w:val="1"/>
          <w:color w:val="auto"/>
        </w:rPr>
        <w:t xml:space="preserve">Income tax expense, Interest expense, net of interest income, Depreciation and amortization: </w:t>
      </w:r>
      <w:r>
        <w:rPr>
          <w:rFonts w:ascii="Arial" w:cs="Arial" w:eastAsia="Arial" w:hAnsi="Arial"/>
          <w:sz w:val="18"/>
          <w:szCs w:val="18"/>
          <w:color w:val="auto"/>
        </w:rPr>
        <w:t>We have excluded the effects of income tax expense,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net of interest income, and depreciation and amortization in the calculation of EBITDA as these are customary exclusions as defined by the calculation of EBITDA to arrive at meaningful earnings from core operations excluding the effect of such items.</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Adjusted weighted average shares - diluted: </w:t>
      </w:r>
      <w:r>
        <w:rPr>
          <w:rFonts w:ascii="Arial" w:cs="Arial" w:eastAsia="Arial" w:hAnsi="Arial"/>
          <w:sz w:val="18"/>
          <w:szCs w:val="18"/>
          <w:color w:val="auto"/>
        </w:rPr>
        <w:t>As we reported a net loss for the nine months ended September 30, 2017, GAAP diluted weighted average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equals the basic weighted average shares outstanding for that period. For the nine months ended September 30, 2017, the non-GAAP adjustments described above resulted in an adjusted net income from continuing operations. Therefore, we included the dilutive common stock equivalents in the calculation of adjusted diluted weighted average shares outstanding for that period.</w:t>
      </w:r>
    </w:p>
    <w:p>
      <w:pPr>
        <w:spacing w:after="0" w:line="129" w:lineRule="exact"/>
        <w:rPr>
          <w:sz w:val="20"/>
          <w:szCs w:val="20"/>
          <w:color w:val="auto"/>
        </w:rPr>
      </w:pPr>
    </w:p>
    <w:p>
      <w:pPr>
        <w:ind w:right="3900"/>
        <w:spacing w:after="0" w:line="440" w:lineRule="auto"/>
        <w:rPr>
          <w:sz w:val="20"/>
          <w:szCs w:val="20"/>
          <w:color w:val="auto"/>
        </w:rPr>
      </w:pPr>
      <w:r>
        <w:rPr>
          <w:rFonts w:ascii="Arial" w:cs="Arial" w:eastAsia="Arial" w:hAnsi="Arial"/>
          <w:sz w:val="18"/>
          <w:szCs w:val="18"/>
          <w:b w:val="1"/>
          <w:bCs w:val="1"/>
          <w:color w:val="auto"/>
        </w:rPr>
        <w:t>Three Months Ended September 30, 2017 Compared to Three Months Ended September 30, 2016 Revenues</w:t>
      </w:r>
    </w:p>
    <w:p>
      <w:pPr>
        <w:spacing w:after="0" w:line="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Revenues decreased $7.0 million, or 3.8%, to $176.4 million for the third quarter of 2017 from $183.4 million for the third quarter of 2016. Third quarter 2017 revenues included $13.4 million from our acquisitions of Innosight and Pope Woodhead, which were completed subsequent to the third quarter of 2016, as well as revenues from our acquisition of the international assets of ADI Strategies, which was also completed subsequent to the third quarter of 2016 and has since been fully integrated into the Business Advisory segment. Third quarter 2017 revenues also included an incremental $1.7 million of revenue from our acquisition of Healthcare Services Management, Inc. ("HSM Consulting"), which was completed mid-third quarter 2016.</w:t>
      </w:r>
    </w:p>
    <w:p>
      <w:pPr>
        <w:spacing w:after="0" w:line="11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Of the overall $7.0 million decrease in revenues, $5.3 million was attributable to our full-time equivalents and $1.7 million was attributable to our full-time billable consultants.</w:t>
      </w:r>
    </w:p>
    <w:p>
      <w:pPr>
        <w:spacing w:after="0" w:line="11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decrease in full-time equivalent revenues was primarily attributable to a decrease in revenue from our Studer Group solution within our Healthcare segment and a decrease in license revenue in our Education segment as discussed below in Segment Results.</w:t>
      </w:r>
    </w:p>
    <w:p>
      <w:pPr>
        <w:spacing w:after="0" w:line="11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decrease in full-time billable consultant revenues reflected a decrease in the average billing rate for the third quarter of 2017, partially offset by increases in the average number of billable consultants and consultant utilization rate. As discussed below in Segment Results, this decrease in revenue attributable to our full-time billable consultants reflected decreased demand for our services in the Healthcare segment, largely offset by revenues from our acquisitions of Innosight and Pope Woodhead, as well as strengthened demand for our services in the Business Advisory and Education segments.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total direct costs, including amortization of intangible assets and software development costs, increased $4.0 million, or 3.6%, to $116.4 million in the three months ended September 30, 2017, from $112.4 million in the three months ended September 30, 2016. The $4.0 million increase primarily related to a $2.1 million increase in salaries and related expenses for our revenue-generating professionals, which was largely driven by increased headcount from acquisitions and our ongoing cloud-based enterprise resource planning (ERP) investment, partially offset by a decrease in salaries and related expenses in our Healthcare segment as a result of headcount reductions. Additional increases included a $1.1 million increase in contractor expense, a $0.9 million increase in signing and retention bonuses for our revenue-generating professionals, a $0.6 million increase in performance bonus expense for our revenue-generating professionals, and a $0.5 million increase in share-based compensation expense for our revenue-generating professionals. All of these increases were partially offset by a $1.4 million decrease in amortization of intangible assets. As a percentage of revenues, our total direct costs increased to 66.0% during the third quarter of 2017 compared to 61.3% during the third quarter of 2016, primarily due to the items described above.</w:t>
      </w:r>
    </w:p>
    <w:p>
      <w:pPr>
        <w:spacing w:after="0" w:line="11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Total direct costs for the three months ended September 30, 2017 included $2.7 million of amortization expense for intangible assets, primarily representing customer contracts and software acquired in business combinations, and internal software development costs, compared to $4.1 million of amortization expense for the same prior year period. The $1.4 million decrease in amortization expense was primarily attributable to the decreasing amortization expense of customer contracts acquired in our Studer Group acquisition, due to the accelerated basis of amortization. See Note 5 "Acquisitions" and Note 6 "Goodwill and Intangible Assets" within the notes to our consolidated financial statements for additional information about our intangible assets.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25" w:right="2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Gains, Net</w:t>
      </w:r>
    </w:p>
    <w:p>
      <w:pPr>
        <w:spacing w:after="0" w:line="17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Selling, general and administrative expenses increased $3.3 million, or 8.7%, to $41.6 million in the third quarter of 2017 from $38.3 million in the third quarter of 2016. Selling, general and administrative expenses for the third quarter of 2017 included $3.9 million from Innosight and Pope Woodhead. The overall $3.3 million increase primarily related to a $1.9 million increase in salaries and related expenses for our support personnel, a $0.9 million increase in facilities and other office-related expenses, a $0.7 million increase in third-party consulting expenses, and a $0.5 million increase in travel related expenses, partially offset by a $1.1 million decrease in practice administration and meetings expenses. As a percentage of revenues, selling, general and administrative expenses increased to 23.6% during the third quarter of 2017 compared to 20.9% during the third quarter of 2016, primarily due to the items described above.</w:t>
      </w:r>
    </w:p>
    <w:p>
      <w:pPr>
        <w:spacing w:after="0" w:line="1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Restructuring charges for the third quarter of 2017 totaled $1.3 million, compared to $1.0 million for the third quarter of 2016. The $1.3 million charge incurred in the third quarter of 2017 primarily related to the accrual of remaining lease obligations, net of estimated sublease income, due to relocating our San Francisco office to a smaller space and consolidating our New York offices in the third quarter of 2017, and accelerated depreciation on leasehold improvements for our San Francisco office. The $1.0 million charge incurred in the third quarter of 2016 primarily related to updated lease assumptions of our Washington, D.C. space vacated in the fourth quarter of 2014. See Note 9 "Restructuring Charges" within the notes to our consolidated financial statements for further discussion of our restructuring expenses.</w:t>
      </w:r>
    </w:p>
    <w:p>
      <w:pPr>
        <w:spacing w:after="0" w:line="13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Other losses, net totaled $0.9 million for the three months ended September 30, 2017, and represents losses due to the increase in the fair value of the liability for future expected contingent consideration payments related to acquisitions. In the third quarter of 2016, we recognized $0.5 million of remeasurement losses for the increase in the fair value of the contingent consideration liability. In connection with certain business acquisitions, we may be required to pay post-closing consideration to the sellers if specific financial performance targets are met over a number of years as specified in the related purchase agreements. See Note 11 "Fair Value of Financial Instruments" within the notes to our consolidated financial statements for additional information on the fair value of contingent consideration liabilities.</w:t>
      </w:r>
    </w:p>
    <w:p>
      <w:pPr>
        <w:spacing w:after="0" w:line="13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Depreciation and amortization expense increased by $1.9 million to $9.9 million in the three months ended September 30, 2017 from $8.1 million in the three months ended September 30, 2016. The increase was primarily attributable to an increase in amortization expense for intangible assets acquired in the Innosight and Pope Woodhead acquisitions, which were completed subsequent to the third quarter of 2016, and an increase in amortization expense for a customer-related intangible asset acquired in the Studer Group acquisition. Intangible asset amortization included within operating expenses primarily relates to certain customer relationships, non-competition agreements, and trade names acquired in connection with our business acquisitions. See Note 5 "Acquisitions" and Note 6 "Goodwill and Intangible Assets" within the notes to our consolidated financial statements for additional information about our intangible assets.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Operating income decreased $17.1 million to $6.1 million in the third quarter of 2017 from $23.2 million in the third quarter of 2016. Operating margin, which is defined as operating income expressed as a percentage of revenues, decreased to 3.5% in the three months ended September 30, 2017, compared to 12.7% in the three months ended September 30, 2016. The decrease in operating margin was primarily attributable to increases in salaries and related expenses for both our revenue-generating professionals and support personnel, contractor expense, facilities and other office-related expenses, signing and retention bonuses for our revenue-generating professionals, and performance bonus expense for our revenue-generating professionals for the third quarter of 2017 compared to the same prior year period.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7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Total other expense, net increased by $0.3 million to $4.0 million in the third quarter of 2017 from $3.7 million in the third quarter of 2016. The increase in total other expense, net was primarily attributable to a $0.7 million increase in interest expense, net of interest income, which was due to higher levels of borrowings and higher interest rates under our credit facility during the third quarter of 2017 compared to the third quarter of 2016. This increase was partially offset by $0.4 million of net foreign currency transaction gains in the third quarter of 2017 compared to $0.1 million of net foreign currency transaction losses in the third quarter of 2016.</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 (Benefit)</w:t>
      </w:r>
    </w:p>
    <w:p>
      <w:pPr>
        <w:spacing w:after="0" w:line="17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For the three months ended September 30, 2017, our effective tax rate was (92.4)% as we recognized income tax benefit from continuing operations of $2.0 million on income from continuing operations of $2.1 million. For the third quarter of 2016, our effective tax rate was 37.2% as we recognized income tax expense from continuing operations of $7.3 million on income from continuing operations of $19.6 million. The effective tax rate for the three months ended September 30, 2017 was more favorable than the statutory rate, inclusive of state income taxes, primarily due to recognizing a $2.7 million tax benefit related to a previously unrecognized tax benefit from our "check-the-box" election made in 2014 to treat one of our wholly-owned foreign subsidiaries as 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disregarded entity for U.S federal income tax purposes. This benefit was partially offset by $0.6 million of tax expense recorded in the third quarter of 2017 to correct an error that occurred in the second quarter of 2017. During the third quarter of 2017, we also recorded a $3.1 million adjustment to decrease deferred income taxes, net and increase income tax receivable on our consolidated balance sheet to correct an error that occurred in the second quarter of 2017. These errors have no impact on full year 2017 results, and we concluded that the impact of both errors was not material to the second and third quarter financial statements. The effective tax rate for the three months ended September 30, 2016 was lower than the statutory rate, inclusive of state income taxes, primarily due to non-taxable income, valuation allowance reductions, and certain credits and deductions, partially offset by non-deductible business expenses.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from Continuing Operations</w:t>
      </w:r>
    </w:p>
    <w:p>
      <w:pPr>
        <w:spacing w:after="0" w:line="17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Net income from continuing operations decreased by $8.2 million to $4.1 million for the three months ended September 30, 2017, from $12.3 million for the same period last year. As a result of the decrease in net income from continuing operations, diluted earnings per share from continuing operations for the third quarter of 2017 was $0.19 compared to $0.57 for the third quarter of 2016.</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Net income from discontinued operations was $0.2 million for the three months ended September 30, 2017 and related to updated lease assumptions for vacated office space directly related to the sale of the Huron Legal segment. See Note 4 "Discontinued Operations" within the notes to our consolidated financial statements for additional information about our discontinued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7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EBITDA decreased $16.2 million to $19.6 million for the three months ended September 30, 2017 from $35.9 million for the three months ended September 30, 2016. Adjusted EBITDA decreased $16.0 million to $21.5 million in the third quarter of 2017 from $37.5 million in the third quarter of 2016. The decrease in EBITDA and adjusted EBITDA was primarily due to the decrease in segment operating income, as discussed below in Segment Results, as well as an increase in corporate expenses primarily due to our acquisitions of Innosight and Pope Woodhead.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w:t>
      </w:r>
    </w:p>
    <w:p>
      <w:pPr>
        <w:spacing w:after="0" w:line="17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Adjusted net income from continuing operations decreased $10.4 million to $9.3 million in the third quarter of 2017 compared to $19.7 million in the third quarter of 2016. As a result of the decrease in adjusted net income from continuing operations, adjusted diluted earnings per share from continuing operations was $0.43 for the third quarter of 2017, compared to $0.92 for the third quarter of 2016.</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Healthcare segment revenues decreased $23.8 million, or 23.1%, to $79.6 million for the third quarter of 2017 from $103.4 million for the third quarter of 2016. Revenues for the third quarter of 2017 included an incremental $1.7 million from our acquisition of HSM Consulting, which was completed mid-third quarter 2016.</w:t>
      </w:r>
    </w:p>
    <w:p>
      <w:pPr>
        <w:spacing w:after="0" w:line="12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During the three months ended September 30, 2017, revenues from fixed-fee engagements, time-and-expense engagements, performance-based arrangements, and software support and maintenance and subscription arrangements represented 68.5%, 16.6%, 6.7%, and 8.2% of this segment’s revenues, respectively, compared to 67.0%, 13.4%, 13.4%, and 6.2% of this segment’s revenues, respectively, for the same prior year period.</w:t>
      </w:r>
    </w:p>
    <w:p>
      <w:pPr>
        <w:spacing w:after="0" w:line="1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Of the overall $23.8 million decrease in revenues, $20.4 million was attributable to a decrease in revenue from our full-time billable consultants and $3.4 million was attributable to a decrease in revenue generated by our full-time equivalents.</w:t>
      </w:r>
    </w:p>
    <w:p>
      <w:pPr>
        <w:spacing w:after="0" w:line="11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decrease in revenue attributable to our full-time billable consultants reflected decreases in the average number of full-time billable consultants and the average billing rate, partially offset by an increase in the consultant utilization rate. This decrease in revenue was primarily driven by a decreased demand for our performance improvement solution. Performance-based fee revenue was $5.3 million during the third quarter of 2017 compared to $13.8 million during the third quarter of 2016. The level of performance-based fees earned may vary based on our clients’ risk sharing preferences and the mix of services we provide. Performance-based fee arrangements may also cause significant variations in revenues, operating results, and average billing rates due to our level of execution and the timing of achievement of the performance-based criteria.</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decrease in revenue attributable to our full-time equivalents was primarily driven by a decreased demand for our Studer Group solution and reflected a decrease in revenue per full-time equivalent, partially offset by an increase in the average number of full-time equivalents.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Healthcare segment operating income decreased $13.0 million, or 33.6%, to $25.8 million for the three months ended September 30, 2017 from $38.8 million for the three months ended September 30, 2016. The Healthcare segment operating margin, defined as segment operating income expressed as a percentage of segment revenues, decreased to 32.4% for the third quarter of 2017 from 37.5% in the same period last year. The decrease in this segment’s operating margin was primarily attributable to an increase in salaries and related expenses for our revenue-generating and support professionals as a percentage of revenues, as well as increases in contractor expenses, product and event costs, and signing and retention bonus expense for our revenue-generating professionals. These decreases to the operating margin are partially offset by decreases in performance bonus expense for our revenue-generating professionals, practice administration and meetings expenses, and intangible asset amortization expense, all as a percentage of revenues.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Education segment revenues increased $2.8 million, or 7.3%, to $41.4 million for the third quarter of 2017 from $38.6 million for the third quarter of 2016.</w:t>
      </w:r>
    </w:p>
    <w:p>
      <w:pPr>
        <w:spacing w:after="0" w:line="194"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During the three months ended September 30, 2017, revenues from fixed-fee engagements, time-and-expense engagements, and software support and maintenance and subscription arrangements represented 16.2%, 78.1%, and 5.7% of this segment’s revenues, respectively. During the three months ended September 30, 2016, revenues from fixed-fee engagements, time-and-expense engagements, performance-based arrangements, and software support and maintenance and subscription arrangements represented 12.2%, 80.4%, 1.6%, and 5.8% of this segment’s revenues, respectively.</w:t>
      </w:r>
    </w:p>
    <w:p>
      <w:pPr>
        <w:spacing w:after="0" w:line="10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Of the overall $2.8 million increase in revenues, $4.3 million was attributable to our full-time billable consultants, which was partially offset by a $1.5 million decrease in revenue attributable to our full-time equivalents. The increase in revenue attributable to our full-time billable consultants reflected increases in the average number of full-time billable consultants and the consultant utilization rate, partially offset by a decrease in the average billing rate. The decrease in revenue from our full-time equivalents was largely driven by a decrease in license revenues, and reflected decreases in both revenue per full-time equivalent and the average number of full-time equivalents in the third quarter of 2017 compared to the same prior year period.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Education segment operating income decreased $3.1 million, or 28.8%, to $7.8 million for the three months ended September 30, 2017 from $10.9 million for the three months ended September 30, 2016. Segment operating margin decreased to 18.7% for the third quarter of 2017 from 28.2% in the same period last year. The decrease in this segment’s operating margin was primarily attributable to increases in performance bonus expense and salaries and related expenses for our revenue-generating professionals, as well as an increase in performance bonus expense for our support personnel, all as a percentage of revenues. The increase in bonus expense was primarily the result of a significant performance bonus adjustment in the third quarter of 2017 to increase our year-to-date performance bonus accrual due to a revised full year forecast. These increases were partially offset by decreases in training expenses and practice administration and meetings expenses.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Advisory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Business Advisory segment revenues increased $14.0 million, or 33.9%, to $55.4 million for the third quarter of 2017 from $41.4 million for the third quarter of 2016. Revenues for the third quarter of 2017 included $13.4 million from our acquisitions of Innosight and Pope Woodhead, which were completed subsequent to the third quarter of 2016. Third quarter 2017 revenues also included revenues from our acquisition of the international assets of ADI Strategies, which was completed in April 2017 and has since been fully integrated into the Business Advisory segment.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three months ended September 30, 2017, revenues from fixed-fee engagements, time-and-expense engagements, performance-based arrangements, and software support and maintenance and subscription arrangements represented 37.5%, 57.7%, 3.0%, and 1.8% of this segment’s revenues, respectively, compared to 18.5%, 78.2%, 1.7%, and 1.6% of this segment’s revenues, respectively, for the same prior year period. Performance-based fee revenue was $1.7 million for the third quarter of 2017, compared to $0.7 million for the same prior year period. The level of performance-based fees earned may vary based on our clients’ preferences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and the mix of services we provide. Performance-based fee arrangements may also cause significant variations in revenues, operating results, and average billing rates due to our level of execution and the timing of achievement of the performance-based criteria.</w:t>
      </w:r>
    </w:p>
    <w:p>
      <w:pPr>
        <w:spacing w:after="0" w:line="1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Of the overall $14.0 million increase in revenues, $14.4 million was attributable to our full-time billable consultants, which was partially offset by a $0.4 million decrease in revenues attributable to our full-time equivalents. The increase in revenue from our full-time billable consultants was primarily driven by our acquisitions of Innosight, Pope Woodhead, and the international assets of ADI Strategies, and reflected an increase in the average number of full-time billable consultants, partially offset by decreases in the average billing rate and consultant utilization rate. The decrease in revenue from our full-time equivalents reflected a decrease in revenue per full-time equivalent, partially offset by an increase in the average number of full-time equivalents in the third quarter of 2017 compared to the same prior year period.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Business Advisory segment operating income increased by $4.2 million, or 49.1%, to $12.8 million for the three months ended September 30, 2017 from $8.6 million for the three months ended September 30, 2016. Segment operating margin increased to 23.2% for the third quarter of 2017 from 20.8% in the same period last year. The increase in this segment’s operating margin was primarily attributable to revenue growth that outpaced increases in performance bonus expense for our revenue-generating professionals, salaries and related expenses for our revenue-generating professionals and our support personnel, and contractor expenses. These increases to segment operating margin were partially offset by increases in travel related costs, signing and retention bonuses for our revenue-generating professionals, and third-party consulting expenses, all as a percentage of revenues.</w:t>
      </w:r>
    </w:p>
    <w:p>
      <w:pPr>
        <w:spacing w:after="0" w:line="107" w:lineRule="exact"/>
        <w:rPr>
          <w:sz w:val="20"/>
          <w:szCs w:val="20"/>
          <w:color w:val="auto"/>
        </w:rPr>
      </w:pPr>
    </w:p>
    <w:p>
      <w:pPr>
        <w:ind w:right="4120"/>
        <w:spacing w:after="0" w:line="440" w:lineRule="auto"/>
        <w:rPr>
          <w:sz w:val="20"/>
          <w:szCs w:val="20"/>
          <w:color w:val="auto"/>
        </w:rPr>
      </w:pPr>
      <w:r>
        <w:rPr>
          <w:rFonts w:ascii="Arial" w:cs="Arial" w:eastAsia="Arial" w:hAnsi="Arial"/>
          <w:sz w:val="18"/>
          <w:szCs w:val="18"/>
          <w:b w:val="1"/>
          <w:bCs w:val="1"/>
          <w:color w:val="auto"/>
        </w:rPr>
        <w:t>Nine Months Ended September 30, 2017 Compared to Nine Months Ended September 30, 2016 Revenues</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Revenues decreased $1.5 million, or 0.3%, to $546.6 million for the first nine months of 2017 from $548.1 million for the first nine months of 2016. Revenues for the first nine months of 2017 included $34.1 million from our acquisitions of Innosight and Pope Woodhead, which were completed subsequent to the third quarter of 2016, and $13.9 million of incremental revenues due to the full period impact of our acquisition of MyRounding Solutions, LLC ("MyRounding") and HSM Consulting, which we completed mid-first quarter 2016 and mid-third quarter 2016, respectively. Revenues for the first nine months of 2017 also included a full period impact of our acquisition of the U.S. assets of ADI Strategies and revenues from our acquisition of the international assets of ADI Strategies. These acquisitions were completed in May 2016 and April 2017, respectively, and have since been fully integrated into the Business Advisory segment.</w:t>
      </w:r>
    </w:p>
    <w:p>
      <w:pPr>
        <w:spacing w:after="0" w:line="13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overall $1.5 million decrease in revenues was primarily attributable to our full-time billable consultants. The decrease in full-time billable consultant revenues reflected decreases in the average billing rate and consultant utilization rate, mostly offset by an increase in the average number of billable consultants. As discussed below in Segment Results, this decrease in revenue was largely driven by decreased demand for services in our Healthcare segment, mostly offset by revenues from our acquisitions of Innosight and Pope Woodhead, as well as strengthened demand for services in our Business Advisory and Education segments.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7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total direct costs, including amortization of intangible assets and software development costs, increased $17.0 million, or 5.1%, to $351.6 million for the nine months ended September 30, 2017, from $334.6 million for the nine months ended September 30, 2016. The overall $17.0 million increase primarily related to a $14.3 million increase in salaries and related expenses for our revenue-generating professionals, which was largely driven by increased headcount from acquisitions and our ongoing cloud-based ERP investment, partially offset by a decrease in salaries and related expenses in our Healthcare segment as a result of headcount reductions. Additional increases included a $2.8 million increase in contractor expense, a $2.1 million increase in signing and retention bonus expense for our revenue-generating professionals, a $0.8 million increase in product and event costs, a $0.5 million increase in project costs, and a $0.5 million increase in technology expenses. These increases were partially offset by a $2.9 million decrease in intangible asset amortization expense and a $0.5 million decrease in performance bonus expense for our revenue-generating professionals. As a percentage of revenues, our total direct costs increased to 64.3% during the first nine months of 2017 compared to 61.0% during the first nine months of 2016 primarily due to the items described above.</w:t>
      </w:r>
    </w:p>
    <w:p>
      <w:pPr>
        <w:spacing w:after="0" w:line="11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Total direct costs for the nine months ended September 30, 2017 included $8.4 million of amortization expense for intangible assets, primarily representing customer contracts and software acquired in business combinations and internal software development costs, compared to $11.3 million of amortization expense for the same prior year period. The $2.9 million decrease in amortization expense was primarily attributable to the decreasing amortization expense of customer contracts acquired in our Studer Group acquisition, due to the accelerated basis of amortization, partially offset by the amortization of intangible assets acquired in the Innosight acquisition, which we completed in the first quarter of 2017. See Note 5 "Acquisitions" and Note 6 "Goodwill and Intangible Assets" within the notes to our consolidated financial statements for additional information about our intangible assets.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Gains, Net</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Selling, general and administrative expenses increased $12.2 million, or 10.2%, to $132.1 million in the nine months ended September 30, 2017, from $119.9 million in the nine months ended September 30, 2016. Selling, general and administrative expenses for the first nine months of 2017 included $9.8 million from Innosight and Pope Woodhead. The overall $12.2 million increase was primarily related to an $8.5 million increase in salaries and related expenses for our support personnel, a $2.2 million increase in facilities and other office-related expenses, a $1.4 million increase in travel related costs, a $1.2 million increase in third-party consulting expenses, a $1.0 million increase in promotion and sponsorship expenses, and a $0.7 million increase in signing and retention bonus expense for our support personnel. These increases were partially offset by a $2.5 million decrease in performance bonus expense for our support personnel and a $0.8 million decrease in share-based compensation expense for our support personnel. As a percentage of revenues, selling, general and administrative expenses increased to 24.2% during the first nine months of 2017 compared to 21.9% during the first nine months of 2016 primarily due to the items described above.</w:t>
      </w:r>
    </w:p>
    <w:p>
      <w:pPr>
        <w:spacing w:after="0" w:line="14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Restructuring charges for the first nine months of 2017 totaled $5.3 million, compared to $4.1 million for the first nine months of 2016. The charges for the first nine months of 2017 primarily consisted of $2.5 million related to the accrual of remaining lease obligations, net of estimated sublease income, due to relocating our San Francisco office to a smaller space and consolidating our Chicago and New York offices in the first nine months of 2017, and accelerated depreciation on leasehold improvements for our San Francisco office, $2.0 million related to workforce reductions in our Healthcare segment to better align our resources with market demand, and $0.4 million related to workforce reductions in our corporate operations primarily to adjust our infrastructure to align with the decreased workforce in the Healthcare segment. The charges for the first nine months of 2016 primarily consisted of $1.5 million related to updated assumptions for lease accruals for our Washington, D.C. space vacated in the fourth quarter of 2014, $1.2 million related to workforce reductions in our Healthcare segment to better align resources with market demand, $0.9 million related to workforce reductions in our corporate operations as we adjusted our infrastructure to align with our Huron Legal divestiture, and $0.2 million related to the wind down of our foreign consulting operations based in the Middle East.</w:t>
      </w:r>
    </w:p>
    <w:p>
      <w:pPr>
        <w:spacing w:after="0" w:line="12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Other gains, net totaled $0.2 million for the nine months ended September 30, 2017, and represents gains due to the decrease in the fair value of the liability for future expected contingent consideration payments related to acquisitions. In the first nine months of 2016, we recognized $0.5 million of remeasurement losses for the increase in the fair value of the contingent consideration liability. In connection with certain business acquisitions, we may be required to pay post-closing consideration to the sellers if specific financial performance targets are met over a number of years as specified in the related purchase agreements. See Note 11 "Fair Value of Financial Instruments" within the notes to our consolidated financial statements for additional information on the fair value of contingent consideration liabilities.</w:t>
      </w:r>
    </w:p>
    <w:p>
      <w:pPr>
        <w:spacing w:after="0" w:line="13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Depreciation and amortization expense increased by $5.5 million to $28.5 million in the nine months ended September 30, 2017, from $23.1 million in the nine months ended September 30, 2016. The increase was primarily attributable to amortization expense for intangible assets acquired in the Innosight, ADI Strategies, Pope Woodhead, and HSM Consulting acquisitions, and an increase in amortization expense for a customer-related intangible asset acquired in the Studer Group acquisition. Intangible asset amortization included within operating expenses primarily relates to certain customer relationships, trade names, and non-competition agreements acquired in connection with our business acquisitions. See Note 5 "Acquisitions" and Note 6 "Goodwill and Intangible Assets" within the notes to our consolidated financial statements for additional information about our intangible assets.</w:t>
      </w:r>
    </w:p>
    <w:p>
      <w:pPr>
        <w:spacing w:after="0" w:line="11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During the quarter ended June 30, 2017, we recorded a $209.6 million non-cash pretax goodwill impairment charge related to our Healthcare reporting unit. This charge is non-cash in nature and does not affect our liquidity or debt covenants. See the "Critical Accounting Policies" section below and Note 6 "Goodwill and Intangible Assets" within the notes to our consolidated financial statements for further discussion of this charge.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(Loss)</w:t>
      </w:r>
    </w:p>
    <w:p>
      <w:pPr>
        <w:spacing w:after="0" w:line="17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Operating income decreased $246.2 million, to a loss of $180.3 million in the first nine months of 2017 from income of $65.8 million in the first nine months of 2016. This decrease is primarily attributable to the $209.6 million non-cash pretax goodwill impairment charge recorded in the second quarter of 2017 related to our Healthcare segment. See the "Critical Accounting Policies" section below and Note 6 "Goodwill and Intangible Assets" within the notes to our consolidated financial statements for additional information on the non-cash goodwill impairment charge. Operating margin decreased to (33.0)% for the nine months ended September 30, 2017, compared to 12.0% for the nine months ended September 30, 2016. The decrease in operating margin was primarily attributable to the goodwill impairment charge, as well as increases in salaries and related expenses for both our revenue-generating professionals and support personnel, contractor expenses, and signing and retention bonuses for our revenue-generating professionals during the first nine months of 2017 compared to the same prior year period.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7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Total other expense, net decreased by $0.4 million to $10.6 million in the first nine months of 2017 from $11.0 million in the first nine months of 2016. The decrease was primarily attributable to a $0.9 million gain on sale of our Life Sciences Compliance and Operations solution within our Business Advisory segment in the second quarter of 2017. See Note 6 "Goodwill and Intangible Assets" within the notes to our consolidated financial statements for additional information on the sale. The decrease in total other expense, net was also attributable to a $1.8 million gain in the market value of our investments that are used to fund our deferred compensation liability, compared to a $1.0 million gain in the first nine months of 2016. These decreases were partially offset by a $1.5 million increase in interest expense, net of interest income in the first nine months of 2017 compared to the same prior year period. The increase in interest expense was due to higher levels of borrowings and higher interest rates under our credit facility during the first nine months of 2017 compared to the first nine months of 2016.</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 (Benefit)</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For the nine months ended September 30, 2017, our effective tax rate was 26.1% as we recognized income tax benefit from continuing operations of $49.7 million on a loss from continuing operations of $190.9 million. For the nine months ended September 30, 2016, our effective tax rate was 35.6% as we recognized income tax expense of $19.5 million on income from continuing operations of $54.8 million. The effective tax rate for the nine months ended September 30, 2017 was less favorable than the statutory rate, inclusive of state income taxes, primarily due to the $61.2 million non-deductible portion of the goodwill impairment charge recorded in the second quarter of 2017, as well as $1.8 million of discrete tax expense for share-based compensation related to the adoption of ASU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Refer to Note 3 "New Accounting Pronouncements" for additional information on the adoption of ASU 2016-09. These unfavorable discrete items were partially offset by a $2.7 million tax benefit recorded in the third quarter of 2017 related to a previously unrecognized tax benefit from our 2014 "check-the-box" election. The effective tax rate for the nine months ended September 30, 2016 was lower than the statutory rate, inclusive of state income taxes, primarily due to the year-to-date impact of a discrete favorable adjustment to our state tax rate in the second quarter of 2016, non-taxable income, valuation allowance reductions, certain credits and deductions, and a discrete tax benefit related to share-based compensation, partially offset by non-deductible business expenses.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from Continuing Operations</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income from continuing operations decreased by $176.5 million, to a net loss from continuing operations of $141.2 million for the nine months ended September 30, 2017, from net income from continuing operations of $35.3 million for the same prior year period. This decrease is primarily attributable to the $209.6 million non-cash pretax goodwill impairment charge related to our Healthcare segment. As a result of the decrease in net income from continuing operations, diluted loss per share from continuing operations for the first nine months of 2017 was $6.59 compared to diluted earnings per share from continuing operations of $1.65 for the first nine months of 2016. The non-cash goodwill impairment charge had a $7.16 unfavorable impact on diluted earnings per share from continuing operations for the first nine months of 2017.</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Net income from discontinued operations for the nine months ended September 30, 2017 was $0.7 million and primarily related to updated lease assumptions for vacated office space directly related to the sale of the Huron Legal segment. Net loss from discontinued operations for the nine months ended September 30, 2016 was $1.8 million and primarily related to obligations for former employees, legal fees, and updated lease assumptions for vacated office space directly related to the sale of the Huron Legal segment. See Note 4 "Discontinued Operations" within the notes to our consolidated financial statements for additional information about our discontinued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7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EBITDA decreased $241.6 million to a loss of $140.2 million for the nine months ended September 30, 2017, from earnings of $101.4 million for the nine months ended September 30, 2016. Adjusted EBITDA decreased $32.7 million to $73.1 million in the first nine months of 2017 from $105.8 million in the first nine months of 2016. The decrease in EBITDA was primarily attributable to the non-cash goodwill impairment charge of $209.6 million recorded in the second quarter of 2017. The decrease in adjusted EBITDA was primarily due to the decrease in segment operating income, as discussed below in Segment Results, as well as an increase in corporate expenses primarily due to our acquisitions of Innosight and Pope Woodhead.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Adjusted net income from continuing operations decreased $24.6 million to $31.7 million in the first nine months of 2017 compared to $56.3 million in the first nine months of 2016. As a result of the decrease in adjusted net income from continuing operations, adjusted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diluted earnings per share from continuing operations for the first nine months of 2017 was $1.47 compared to $2.63 for the first nine months of 2016.</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Healthcare segment revenues decreased $62.3 million, or 19.2%, to $261.3 million for the first nine months of 2017 from $323.5 million for the first nine months of 2016. Revenues for the first nine months of 2017 included $13.9 million of incremental revenues due to the full period impact of our acquisitions of HSM Consulting and MyRounding, which we completed mid-first quarter 2016 and mid-third quarter 2016, respectively.</w:t>
      </w:r>
    </w:p>
    <w:p>
      <w:pPr>
        <w:spacing w:after="0" w:line="11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During the nine months ended September 30, 2017, revenues from fixed-fee engagements, time-and-expense engagements, performance-based arrangements, and software support and maintenance and subscription arrangements represented 67.4%, 16.8%, 8.3%, and 7.5% of this segment’s revenues, respectively, compared to 70.4%, 10.7%, 13.1%, and 5.8% of this segment’s revenues, respectively, for the same prior year period.</w:t>
      </w:r>
    </w:p>
    <w:p>
      <w:pPr>
        <w:spacing w:after="0" w:line="1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overall $62.3 million decrease in revenues was primarily attributable to a decrease in revenue from our full-time billable consultants. The decrease in revenue attributable to our full-time billable consultants was primarily driven by a decreased demand for our performance improvement solution and reflected decreases in the average number of full-time billable consultants, average billing rate, and consultant utilization rate. Performance-based fee revenue was $21.6 million during the first nine months of 2017 compared to $42.5 million during the first nine months of 2016. The level of performance-based fees earned may vary based on our clients’ risk sharing preferences and the mix of services we provide. Performance-based fee arrangements may also cause significant variations in revenues, operating results, and average billing rates due to our level of execution and the timing of achievement of the performance-based criteria.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Healthcare segment operating income decreased $35.6 million, or 29.9%, to $83.6 million for the nine months ended September 30, 2017, from $119.2 million for the nine months ended September 30, 2016. The Healthcare segment operating margin decreased to 32.0% for the first nine months of 2017 from 36.9% in the same period last year. The decrease in this segment’s operating margin was primarily attributable to an increase in salaries and related expenses for our revenue-generating professionals as a percentage of revenues, as well as increases in salaries and related expenses for our support personnel, contractor expenses, product and event costs, and restructuring charges, partially offset by decreases in performance bonus expense for our revenue-generating professionals and support personnel as a percentage of revenues.</w:t>
      </w:r>
    </w:p>
    <w:p>
      <w:pPr>
        <w:spacing w:after="0" w:line="12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non-cash goodwill impairment charge discussed above within the consolidated results is not allocated at the segment level because the underlying goodwill asset is reflective of our corporate investment in the segments. We do not include the impact of goodwill impairment charges in our evaluation of segment performance. See the "Critical Accounting Policies" section below and Note 6 "Goodwill and Intangible Assets" within the notes to our consolidated financial statements for further discussion of this charge. We will continue to evaluate goodwill for impairment during future periods. Any future significant decline in the performance of the Healthcare segment compared to our internal forecasts could result in another non-cash goodwill impairment charge.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Education segment revenues increased $15.8 million, or 14.1%, to $127.6 million for the first nine months of 2017 from $111.8 million for the first nine months of 2016.</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For the nine months ended September 30, 2017, revenues from fixed-fee engagements, time-and-expense engagements, performance-based arrangements, and software support and maintenance and subscription arrangements represented 15.8%, 78.5%, 0.3%, and 5.4% of this segment’s revenues, respectively, compared to 14.5%, 78.6%, 0.9%, and 6.0% of this segment's revenues, respectively, during the same prior year period.</w:t>
      </w:r>
    </w:p>
    <w:p>
      <w:pPr>
        <w:spacing w:after="0" w:line="1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Of the overall $15.8 million increase in revenues, $16.9 million was attributable to our full-time billable consultants, which was partially offset by a $1.1 million decrease in revenues attributable to our full-time equivalents. The increase in revenue from our full-time billable consultants reflected increases in the average number of full-time billable consultants and consultant utilization rate, partially offset by a decrease in the average billing rate. The decrease in revenue from our full-time equivalents was largely driven by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 decrease in license revenues, and reflected decreases in both revenue per full-time equivalent and the average number of full-time equivalents in the first nine months of 2017 compared to the same prior year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Education segment operating income increased $0.3 million, or 0.9%, to $31.8 million for the nine months ended September 30, 2017, from $31.5 million for the nine months ended September 30, 2016. The Education segment operating margin decreased to 24.9% for the first nine months of 2017 from 28.1% in the same period last year. The decrease in this segment’s operating margin was primarily attributable to increases in performance bonus expense for both our revenue-generating professionals and support personnel, as well as an increase in salaries and related expenses for our revenue-generating professionals, all as a percentage of revenues, partially offset by decreases in training expenses and practice administration and meetings expenses.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Advisory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jc w:val="both"/>
        <w:ind w:right="40"/>
        <w:spacing w:after="0" w:line="276" w:lineRule="auto"/>
        <w:rPr>
          <w:sz w:val="20"/>
          <w:szCs w:val="20"/>
          <w:color w:val="auto"/>
        </w:rPr>
      </w:pPr>
      <w:r>
        <w:rPr>
          <w:rFonts w:ascii="Arial" w:cs="Arial" w:eastAsia="Arial" w:hAnsi="Arial"/>
          <w:sz w:val="17"/>
          <w:szCs w:val="17"/>
          <w:color w:val="auto"/>
        </w:rPr>
        <w:t>Business Advisory segment revenues increased $45.0 million, or 39.9%, to $157.8 million for the first nine months of 2017 from $112.8 million for the first nine months of 2016. Revenues for the first nine months of 2017 included $34.1 million from our acquisitions of Innosight and Pope Woodhead, which were completed subsequent to the third quarter of 2016. Revenues for the first nine months of 2017 also included a full period impact of our acquisition of the U.S. assets of ADI Strategies and revenues from our acquisition of the international assets of ADI Strategies. These acquisitions were completed in May 2016 and April 2017, respectively, and have since been fully integrated into the Business Advisory segment.</w:t>
      </w:r>
    </w:p>
    <w:p>
      <w:pPr>
        <w:spacing w:after="0" w:line="11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During the first nine months of 2017, revenues from fixed-fee engagements, time-and-expense engagements, performance-based arrangements, and software support and maintenance and subscription arrangements represented 34.7%, 62.6%, 1.2%, and 1.5% of this segment’s revenues, respectively, compared to 19.5%, 74.0%, 5.4%, and 1.1% of this segment’s revenues, respectively, during the same prior year period. Performance-based fee revenue was $1.9 million for the first nine months of 2017 compared to $6.2 million for the same prior year period. The level of performance-based fees earned may vary based on our clients’ preferences and the mix of services we provide. Performance-based fee arrangements may also cause significant variations in revenues, operating results, and average billing rates due to our level of execution and the timing of achievement of the performance-based criteria.</w:t>
      </w:r>
    </w:p>
    <w:p>
      <w:pPr>
        <w:spacing w:after="0" w:line="1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Of the overall $45.0 million increase in revenues, $44.1 million was attributable to our full-time billable consultants and $0.9 million was attributable to our full-time equivalents. The increase in revenue from our full-time billable consultants was primarily driven by our acquisitions of Innosight, ADI Strategies, and Pope Woodhead, and reflected increases in the average number of full-time billable consultants and consultant utilization rate, partially offset by a decrease in the average billing rate. The increase in revenue from our full-time equivalents reflected increases in the average number of full-time equivalents and revenue per full-time equivalent.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Business Advisory segment operating income increased by $11.6 million, or 49.9%, to $34.9 million for the nine months ended September 30, 2017, from $23.3 million for the nine months ended September 30, 2016. The Business Advisory segment operating margin increased to 22.1% for the first nine months of 2017 from 20.6% in the same period last year. The increase in this segment’s operating margin was primarily attributable to a decrease in performance bonus expense for our revenue-generating professionals, as a percentage of revenues, as well as decreases in share-based compensation expense for our revenue-generating professionals and contractor expense, partially offset by increases, as a percentage of revenues, in salaries and related expenses for our revenue-generating professionals, third-party consulting expenses, signing and retention bonuses for our revenue-generating professionals, and travel related costs.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right="400"/>
        <w:spacing w:after="0" w:line="342" w:lineRule="auto"/>
        <w:rPr>
          <w:sz w:val="20"/>
          <w:szCs w:val="20"/>
          <w:color w:val="auto"/>
        </w:rPr>
      </w:pPr>
      <w:r>
        <w:rPr>
          <w:rFonts w:ascii="Arial" w:cs="Arial" w:eastAsia="Arial" w:hAnsi="Arial"/>
          <w:sz w:val="16"/>
          <w:szCs w:val="16"/>
          <w:color w:val="auto"/>
        </w:rPr>
        <w:t>Cash and cash equivalents decreased $8.4 million, from $17.0 million at December 31, 2016 to $8.7 million at September 30, 2017. As of September 30, 2017, our primary sources of liquidity are cash on hand, cash flows from our U.S. operations, and borrowing capacity available under our credit facility.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880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(in thousands):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8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52,432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79,745</w:t>
            </w:r>
          </w:p>
        </w:tc>
      </w:tr>
      <w:tr>
        <w:trPr>
          <w:trHeight w:val="243"/>
        </w:trPr>
        <w:tc>
          <w:tcPr>
            <w:tcW w:w="8800" w:type="dxa"/>
            <w:vAlign w:val="bottom"/>
            <w:gridSpan w:val="2"/>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(125,253)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(81,233)</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64,262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(47,979)</w:t>
            </w:r>
          </w:p>
        </w:tc>
      </w:tr>
      <w:tr>
        <w:trPr>
          <w:trHeight w:val="243"/>
        </w:trPr>
        <w:tc>
          <w:tcPr>
            <w:tcW w:w="8800" w:type="dxa"/>
            <w:vAlign w:val="bottom"/>
            <w:gridSpan w:val="2"/>
          </w:tcPr>
          <w:p>
            <w:pPr>
              <w:ind w:left="380"/>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133</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(49,334)</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Net cash provided by operating activities totaled $52.4 million for the nine months ended September 30, 2017 and $79.7 million for the same period last year. Our operating assets and liabilities consist primarily of receivables from billed and unbilled services, accounts payable and accrued expenses, accrued payroll and related benefits, and deferred revenues. The volume of services rendered and the related billings and timing of collections on those billings, as well as payments of our accounts payable and salaries, bonuses, and related benefits to employees affect these account balances.</w:t>
      </w:r>
    </w:p>
    <w:p>
      <w:pPr>
        <w:spacing w:after="0" w:line="10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decrease in cash provided by operations for the first nine months of 2017 compared to the same prior year period was primarily attributable to lower net income, the collection of a settlement receivable in the first quarter of 2016 and a decrease in cash collections from clients in the first nine months of 2017, partially offset by decreased vendor and tax payments.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investing activities was $125.3 million for the nine months ended September 30, 2017 and $81.2 million for the same period last year.</w:t>
      </w:r>
    </w:p>
    <w:p>
      <w:pPr>
        <w:spacing w:after="0" w:line="183"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use of cash in the first nine months of 2017 primarily consisted of $106.9 million for the purchases of businesses and $20.1 million for purchases of property and equipment, primarily related to leasehold improvements and purchases of furniture and fixtures for new office spaces in certain locations.</w:t>
      </w:r>
    </w:p>
    <w:p>
      <w:pPr>
        <w:spacing w:after="0" w:line="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use of cash in the first nine months of 2016 primarily consisted of $69.1 million for the purchases of businesses and $9.4 million for purchases of property and equipment.</w:t>
      </w:r>
    </w:p>
    <w:p>
      <w:pPr>
        <w:spacing w:after="0" w:line="11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estimate that cash utilized for purchases of property and equipment in 2017 will be approximately $25.0 million, primarily consisting of leasehold improvements, furniture and fixtures, and information technology related equipment to support our corporate infrastructure.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Net cash provided by financing activities was $64.3 million for the nine months ended September 30, 2017. During the first nine months of 2017, we borrowed $241.0 million under our credit facility, primarily to fund our acquisitions of Innosight and Pope Woodhead and our annual performance bonus payment, and made repayments on our credit facility of $170.0 million.</w:t>
      </w:r>
    </w:p>
    <w:p>
      <w:pPr>
        <w:spacing w:after="0" w:line="12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Net cash used in financing activities was $48.0 million for the nine months ended September 30, 2016. During the first nine months of 2016, we repurchased and retired $55.3 million of our common stock under our Share Repurchase Program, as defined below, and had net borrowings of $12.0 million under our credit facility, primarily to fund the acquisitions of HSM Consulting and the U.S. assets of ADI Strategies and our annual performance bonus payment.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September 30, 2017, we had a share repurchase program permitting us to repurchase up to $125 million of our common stock through October 31, 2017 (the "Share Repurchase Program"). During the fourth quarter of 2017, our board of directors authorized an extension of the Share Repurchase Program through October 31, 2018. The amount and timing of the repurchases will be determined by management and will depend on a variety of factors, including the trading price of our common stock, capacity under our credit facility, general market and business conditions, and applicable legal requirements. During the first nine months of 2016, we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repurchased and retired 982,192 shares for $55.3 million. No shares were repurchased in the first nine months of 2017. As of September 30, 2017, $35.1 million remains available for share repurchases.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Arrangements</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At September 30, 2017, we had $250.0 million principal amount of our 1.25% convertible senior notes outstanding, $139.0 million outstanding under our senior secured credit facility, and $5.0 million outstanding under a promissory note, as discussed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1.25% Convertible Senior Notes</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September 2014, we issued $250.0 million principal amount of the Convertible Notes in a private offering. The Convertible Notes are senior unsecured obligations of the Company and will pay interest semi-annually on April 1 and October 1 of each year at an annual rate of 1.25%. The Convertible Notes will mature on October 1, 2019, unless earlier repurchased by the Company or converted in accordance with their terms.</w:t>
      </w:r>
    </w:p>
    <w:p>
      <w:pPr>
        <w:spacing w:after="0" w:line="11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Upon conversion, the Convertible Notes will be settled, at our election, in cash, shares of the Company’s common stock, or a combination of cash and shares of the Company’s common stock. Our current intent and policy is to settle conversions with a combination of cash and shares of common stock with the principal amount of the Convertible Notes paid in cash, in accordance with the settlement provisions of the Indenture.</w:t>
      </w:r>
    </w:p>
    <w:p>
      <w:pPr>
        <w:spacing w:after="0" w:line="1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initial conversion rate for the Convertible Notes is 12.5170 shares of our common stock per $1,000 principal amount of the Convertible Notes, which is equal to an initial conversion price of approximately $79.89 per share of our common stock.</w:t>
      </w:r>
    </w:p>
    <w:p>
      <w:pPr>
        <w:spacing w:after="0" w:line="1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connection with the issuance of the Convertible Notes, we entered into convertible note hedge transactions and warrant transactions. The convertible note hedge transactions are intended to reduce the potential future economic dilution associated with the conversion of the Convertible Notes and, combined with the warrants, effectively raise the price at which economic dilution would occur from the initial conversion price of approximately $79.89 to approximately $97.12 per share.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see Note 8 “Financing Arrangements” within the notes to our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17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has a $500 million senior secured revolving credit facility, subject to the terms of a Second Amended and Restated Credit Agreement dated as of March 31, 2015, as amended to date (as amended and modified the "Amended Credit Facility"), that becomes due and payable in full upon maturity on March 31, 2020. The Amended Credit Agreement provides the option to increase the revolving credit facility or establish term loan facilities in an aggregate amount of up to $100 million, subject to customary conditions and the approval of any lender whose commitment would be increased, resulting in a maximum available principal amount under the Amended Credit Agreement of $600 million. The initial borrowings under the Amended Credit Agreement were used to refinance borrowings outstanding under a prior credit agreement, and future borrowings under the Amended Credit Agreement may be used for working capital, capital expenditures, acquisitions of businesses, share repurchases, and general corporate purposes.</w:t>
      </w:r>
    </w:p>
    <w:p>
      <w:pPr>
        <w:spacing w:after="0" w:line="11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1.25% per annum and 2.00% per annum, in the case of LIBOR borrowings, or between 0.25% per annum and 1.00% per annum, in the case of base rate loans, based upon our Consolidated Leverage Ratio at such time.</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Amounts borrowed under the Amended Credit Agreement may be prepaid at any time without premium or penalty. We are required to prepay the amounts outstanding under the Amended Credit Agreement in certain circumstances, including a requirement to pay all amounts outstanding under the Amended Credit Agreement 90 days prior to the Convertible Indebtedness Maturity Date (as defined in the Amended Credit Agreement) unless (1) the Convertible Indebtedness Maturity Date is waived or extended to a later date, (2) the Company can demonstrate (a) Liquidity (as defined in the Amended Credit Agreement) in an amount at least equal to the principal amount due on the Convertible Indebtedness Maturity Date, and (b) financial covenant compliance after giving effect to such payments and any additional indebtedness incurred on a pro forma basis, or (3) this requirement is waived by the Required Lenders (as defined in the Amended Credit Agreement). In addition, we have the right to permanently reduce or terminate the unused portion of the commitments provided under the Amended Credit Agreement at any time.</w:t>
      </w:r>
    </w:p>
    <w:p>
      <w:pPr>
        <w:spacing w:after="0" w:line="1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ranging from 3.25 to 1.00 to 3.75 to 1.00, depending on the measurement period, and</w:t>
      </w:r>
    </w:p>
    <w:p>
      <w:pPr>
        <w:ind w:right="260" w:firstLine="8"/>
        <w:spacing w:after="0" w:line="261" w:lineRule="auto"/>
        <w:tabs>
          <w:tab w:leader="none" w:pos="2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minimum Consolidated Interest Coverage Ratio (defined as the ratio of consolidated EBITDA to interest) of 3.50 to 1.00. Consolidated EBITDA for purposes of the financial</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125" w:right="2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covenants is calculated on a continuing operations basis and includes adjustments to add back share-based compensation costs, non-cash goodwill impairment charges, certain non-cash restructuring charges, and pro forma historical EBITDA for businesses acquired. At September 30, 2017, we were in compliance with these financial covenants with a Consolidated Leverage Ratio of 3.52 to 1.00 and a Consolidated Interest Coverage Ratio of 12.60 to 1.00.</w:t>
      </w:r>
    </w:p>
    <w:p>
      <w:pPr>
        <w:spacing w:after="0" w:line="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Amended Credit Agreement contains restricted payment provisions, including a potential limit on the amount of dividends we may pay. Pursuant to the terms of the Amended Credit Agreement, if our Consolidated Leverage Ratio is greater than 3.00, the amount of dividends and other Restricted Payments (as defined in the Amended Credit Agreement) we may pay is limited to an amount up to $50 million plus 50% of cumulative consolidated net income (as defined in the Amended Credit Agreement) from the closing date of the Amended Credit Agreement plus 50% of the net cash proceeds from equity issuances after the closing date of the Amended Credit Agreement.</w:t>
      </w:r>
    </w:p>
    <w:p>
      <w:pPr>
        <w:spacing w:after="0" w:line="13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Borrowings outstanding under the Amended Credit Agreement at September 30, 2017 totaled $139.0 million. These borrowings carried a weighted average interest rate of 3.4%, including the impact of the interest rate swap in effect as of September 30, 2017 and described in Note 10 “Derivative Instruments and Hedging Activity” within the notes to the consolidated financial statements. Borrowings outstanding under the Amended Credit Agreement at December 31, 2016 were $68.0 million and carried a weighted average interest rate of 2.5%. The borrowing capacity under the revolving credit facility is reduced by any outstanding borrowings under the revolving credit facility and outstanding letters of credit. At September 30, 2017, we had outstanding letters of credit totaling $2.7 million, which are primarily used as security deposits for our office facilities. As of September 30, 2017, the unused borrowing capacity under the revolving credit facility was $358.3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Promissory Note due 2024</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June 30, 2017, in conjunction with our purchase of an aircraft related to the acquisition of Innosight, we assumed, from the sellers of the aircraft, a promissory note with an outstanding principal balance of $5.1 million. The principal balance of the promissory note is subject to scheduled monthly principal payments until the maturity date of March 1, 2024, at which time a final payment of $1.5 million, plus any accrued and unpaid interest, will be due. Under the terms of the promissory note, we will pay interest on the outstanding principal amount at a rate of one-month LIBOR plus 1.97% per annum. The obligations under the promissory note are secured pursuant to a Loan and Aircraft Security Agreement with Banc of America Leasing &amp; Capital, LLC, which grants the lender a first priority security interest in the aircraft. At September 30, 2017, the outstanding principal amount of the promissory note was $5.0 million. As of September 30, 2017, the aircraft had a carrying amount of $6.6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see Note 8 “Financing Arrangements” within the notes to the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Needs</w:t>
      </w:r>
    </w:p>
    <w:p>
      <w:pPr>
        <w:spacing w:after="0" w:line="17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primary financing need has been to fund our growth. Our growth strategy is to expand our service offerings, which may require investments in new hires, acquisitions of complementary businesses, possible expansion into other geographic areas, and related capital expenditures. We believe our internally generated liquidity, together with our available cash, the borrowing capacity available under our revolving credit facility, and access to external capital resources will be adequate to fund our long-term growth and capital needs arising from cash commitments and debt service obligations. Our ability to secure short-term and long-term financing in the future will depend on several factors, including our future profitability, the quality of our accounts receivable and unbilled services, our relative levels of debt and equity, and the overall condition of the credit markets.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For a summary of our commitments to make future payments under contractual obligations, see “Item 7. Management’s Discussion and Analysis of Financial Condition and Results of Operations – Contractual Obligations” in our Annual Report on Form 10-K for the year ended December 31, 2016.</w:t>
      </w:r>
    </w:p>
    <w:p>
      <w:pPr>
        <w:spacing w:after="0" w:line="9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connection with certain business acquisitions completed during the first nine months of 2017, we entered into contingent consideration arrangements, under which we may be required to pay post-closing consideration to the sellers if specific financial performance targets are met over a number of years as specified in the related purchase agreements. The aggregate fair value of these contingent consideration liabilities on the dates of acquisition was $15.5 million. Refer to Note 5 “Acquisitions” within the notes to the consolidated financial statements for additional information on the businesses acquired during the first nine months of 2017. At September 30, 2017, the aggregate fair value of all contingent consideration liabilities outstanding was $22.5 million.</w:t>
      </w:r>
    </w:p>
    <w:p>
      <w:pPr>
        <w:spacing w:after="0" w:line="10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discussed above in "Liquidity and Capital Resources," on June 30, 2017, in conjunction with our purchase of an aircraft related to the acquisition of Innosight, we assumed, from the sellers of the aircraft, a promissory note with an outstanding principal balance of $5.1 million. The principal balance of the promissory note is subject to scheduled monthly principal payments until the maturity date of March 1, 2024, at which time a final payment of $1.5 million, plus any accrued and unpaid interest will be due. Under the terms of the promissory note, we will pay interest on the outstanding principal amount at a rate of one-month LIBOR plus 1.97% per annum.</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Refer to "Liquidity and Capital Resources" and Note 8 "Financing Arrangements" within the notes to the consolidated financial statements for additional information on our outstanding borrowings, including the schedule of monthly principal payments.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the scheduled future payments of the contingent consideration arrangements and promissory note described above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60" w:type="dxa"/>
            <w:vAlign w:val="bottom"/>
            <w:gridSpan w:val="5"/>
          </w:tcPr>
          <w:p>
            <w:pPr>
              <w:ind w:left="120"/>
              <w:spacing w:after="0"/>
              <w:rPr>
                <w:sz w:val="20"/>
                <w:szCs w:val="20"/>
                <w:color w:val="auto"/>
              </w:rPr>
            </w:pPr>
            <w:r>
              <w:rPr>
                <w:rFonts w:ascii="Arial" w:cs="Arial" w:eastAsia="Arial" w:hAnsi="Arial"/>
                <w:sz w:val="18"/>
                <w:szCs w:val="18"/>
                <w:b w:val="1"/>
                <w:bCs w:val="1"/>
                <w:color w:val="auto"/>
              </w:rPr>
              <w:t>Payments Due by Period</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4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4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Less than</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More than</w:t>
            </w:r>
          </w:p>
        </w:tc>
      </w:tr>
      <w:tr>
        <w:trPr>
          <w:trHeight w:val="234"/>
        </w:trPr>
        <w:tc>
          <w:tcPr>
            <w:tcW w:w="4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1 Year</w:t>
            </w:r>
          </w:p>
        </w:tc>
        <w:tc>
          <w:tcPr>
            <w:tcW w:w="18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1-3 Years</w:t>
            </w:r>
          </w:p>
        </w:tc>
        <w:tc>
          <w:tcPr>
            <w:tcW w:w="18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3-5 Years</w:t>
            </w:r>
          </w:p>
        </w:tc>
        <w:tc>
          <w:tcPr>
            <w:tcW w:w="160" w:type="dxa"/>
            <w:vAlign w:val="bottom"/>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rPr>
              <w:t>5 Years</w:t>
            </w:r>
          </w:p>
        </w:tc>
      </w:tr>
      <w:tr>
        <w:trPr>
          <w:trHeight w:val="27"/>
        </w:trPr>
        <w:tc>
          <w:tcPr>
            <w:tcW w:w="4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Promissory note—principal and interest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5,682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2,456</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other material changes to our contractual obligations since December 31,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material off-balance sheet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Management’s discussion and analysis of financial condition and results of operations are based upon our consolidated financial statements, which have been prepared in accordance with GAAP.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there are five accounting policies that could be considered critical: revenue recognition, allowances for doubtful accounts and unbilled services, business combinations, carrying values of goodwill and other intangible assets, and accounting for income taxes. For a detailed discussion of these critical accounting policies, see “Item 7. Management’s Discussion and Analysis of Financial Condition and Results of Operations – Critical Accounting Policies” in our Annual Report on Form 10-K for the year ended December 31, 2016. Below is an update to our critical accounting policy related to the carrying value of goodwill and other intangible assets. There have been no material changes to our other critical accounting policies during the first nine months of 2017.</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Carrying Values of Goodwill and Other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Innosight</w:t>
      </w:r>
    </w:p>
    <w:p>
      <w:pPr>
        <w:spacing w:after="0" w:line="17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On March 1, 2017, we completed our acquisition of Innosight, a growth strategy firm focused on helping companies navigate disruptive change, enable innovation, and manage strategic transformation. Innosight's results of operations have been included in our consolidated financial statements and results of operations of our Business Advisory segment from the date of acquisition. The goodwill recorded as part of the allocation of the purchase price of Innosight has been assigned to Innosight as a separate reporting unit, which is referred to as Strategy and Innovation.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ASU 2017-04</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ASU 2017-04 eliminated Step 2 of the goodwill impairment test, which required us to determine the implied fair value of goodwill by allocating the reporting unit's fair value to each of its assets and liabilities as if the reporting unit was acquired in a business acquisition. Instead, the updated guidance requires an entity to perform its annual or interim goodwill impairment test by comparing the fair value of the reporting unit to its carrying value, and recognizing a non-cash impairment charge for the amount by which the carrying value exceeds the reporting unit's fair value with the loss not exceeding the total amount of goodwill allocated to that reporting unit. We adopted this guidance in the second quarter of 2017 on a prospective basis and applied the new guidance to our goodwill impairment tests described below.</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2017 Goodwill Reallocation</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Effective June 1, 2017, we reorganized our internal financial reporting structure, which management uses to assess performance and allocate resources, by moving our Life Sciences practice from the Education and Life Sciences reporting unit and segment to its own reporting unit within the Business Advisory segment. The remaining Education and Life Sciences segment is now referred to as the Education segment. We will continue to operate under three reportable segments: Healthcare, Education, and Business Advisory.</w:t>
      </w:r>
    </w:p>
    <w:p>
      <w:pPr>
        <w:sectPr>
          <w:pgSz w:w="11900" w:h="16838" w:orient="portrait"/>
          <w:cols w:equalWidth="0" w:num="1">
            <w:col w:w="11400"/>
          </w:cols>
          <w:pgMar w:left="240" w:top="125" w:right="25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00"/>
          </w:cols>
          <w:pgMar w:left="240" w:top="125" w:right="25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These three reportable segments will be comprised of the following six reporting units for goodwill impairment testing purpose: Healthcare, Education, Business Advisory, Enterprise Solutions and Analytics, Strategy and Innovation, and Life Sciences. The Business Advisory, Enterprise Solutions and Analytics, Strategy and Innovation, and Life Sciences reporting units comprise our Business Advisory segment.</w:t>
      </w:r>
    </w:p>
    <w:p>
      <w:pPr>
        <w:spacing w:after="0" w:line="1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result of the reorganization, we reallocated $10.8 million of the goodwill balance associated with the previous Education and Life Sciences reporting unit to the new Life Sciences reporting unit based on the relative fair values of the Life Sciences reporting unit and the remaining Education reporting unit. The estimated fair values were determined using a combination of the income approach and the market approach, utilizing the guideline company method, with a fifty-fifty weighting.</w:t>
      </w:r>
    </w:p>
    <w:p>
      <w:pPr>
        <w:spacing w:after="0" w:line="13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conjunction with the goodwill reallocation, we performed a goodwill impairment test for the goodwill balances within our Education reporting unit and Life Sciences reporting unit as of June 1, 2017. Based on the results of the goodwill impairment test, we determined that the fair values of our Education reporting unit and Life Sciences reporting unit exceeded their carrying values. As such, we concluded there was no indication of goodwill impairment for either reporting unit.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2017 Goodwill Impairment Analysis</w:t>
      </w:r>
    </w:p>
    <w:p>
      <w:pPr>
        <w:spacing w:after="0" w:line="17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Since the first quarter of 2016, the Healthcare segment, which is also a reporting unit, has experienced declining revenues, primarily driven by softness in our revenue cycle offering within our performance improvement solution. This softness is attributable to decreased demand for our services, the winding down of some of our larger projects and a growing trend toward smaller projects, as well as fewer large integrated projects. In light of these challenges, several initiatives have been undertaken to improve the segment's financial performance, including repositioning our solutions to address the most critical needs of our clients, the expansion of our existing services such as those in our Studer Group, strategy, physician and technology offerings, and workforce reductions to better align resources with market demand. While the initiatives undertaken to improve the financial performance of our Healthcare segment are yielding some positive impacts, hospitals and health systems continue to face regulatory and funding uncertainty; therefore, we remain cautious about near-term growth. As we have previously disclosed in prior quarters, if the financial performance of our Healthcare segment continued to decline and did not meet our expectations, we could be required to perform an interim impairment analysis with respect to our carrying value of goodwill for the Healthcare reporting unit prior to our usual annual test. Based on forecasts prepared in connection with our quarterly forecasting cycle during the second quarter of 2017, we determined that the likely time frame to improve the financial results of this segment will take longer than originally anticipated. As such, we concluded, during the second quarter of 2017, that the fair value of the Healthcare reporting unit may no longer exceed its carrying value. In connection with the preparation of our financial statements for the quarter ended June 30, 2017, we performed an interim impairment test on the Healthcare reporting unit.</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Based on the estimated fair value of the Healthcare reporting unit described below, we recorded a $209.6 million non-cash pretax charge in the second quarter of 2017 to reduce the carrying value of goodwill in our Healthcare reporting unit.</w:t>
      </w:r>
    </w:p>
    <w:p>
      <w:pPr>
        <w:spacing w:after="0" w:line="1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goodwill impairment test was performed by comparing the fair value of the Healthcare reporting unit with its carrying value and, in accordance with ASU 2017-04, which we adopted in the second quarter of 2017, recognizing an impairment charge for the amount by which the carrying value exceeded the fair value. To estimate the fair value of the Healthcare reporting unit, we relied on a combination of the income approach and the market approach, with a fifty-fifty weighting.</w:t>
      </w:r>
    </w:p>
    <w:p>
      <w:pPr>
        <w:spacing w:after="0" w:line="1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income approach, we utilized a discounted cash flow analysis, which involved estimating the expected after-tax cash flows that will be generated by the reporting unit and then discounting those cash flows to present value reflecting the relevant risks associated with the reporting unit and the time value of money. This approach requires the use of significant estimates and assumptions, including long-term projections of future cash flows, market conditions, and a discount rate that reflects the risk inherent in the future cash flows. In estimating future cash flows, we relied on an internally generated 11-year forecast. For periods after the 11-year forecast, we assumed a long-term annual revenue growth rate of 3.5%. Our forecast is based on historical experience, current backlog, expected market demand, and other industry information. Our discounted cash flow analysis assumed a 10.0% weighted average cost of capital discount rate.</w:t>
      </w:r>
    </w:p>
    <w:p>
      <w:pPr>
        <w:spacing w:after="0" w:line="13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the market approach, we utilized the guideline company method, which involved calculating valuation multiples based on operating data from guideline publicly traded companies. Multiples derived from guideline companies provide an indication of how much a knowledgeable investor in the marketplace would be willing to pay for a company. These multiples are evaluated and adjusted based on specific characteristics of the Healthcare reporting unit relative to the selected guideline companies and applied to the reporting unit's operating data to arrive at an indication of value.</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Determining the fair value of any reporting unit requires us to make significant judgments, estimates, and assumptions. While we believe that the estimates and assumptions underlying our valuation of the Healthcare reporting unit are reasonable, these estimates and assumptions could have a significant impact on whether or not another non-cash impairment charge is recognized in the future and also the magnitude of any such charge. The results of an impairment analysis are as of a point in time. There is no assurance that the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actual future earnings or cash flows of our Healthcare reporting unit will be consistent with our projections. We will monitor any changes to our assumptions and will evaluate goodwill as part of our annual goodwill impairment testing in the fourth quarter of 2017, or on an interim basis, if required. Any future significant decline in our operations compared to our internal forecast could result in another non-cash goodwill impairment charge, which could be material.</w:t>
      </w:r>
    </w:p>
    <w:p>
      <w:pPr>
        <w:spacing w:after="0" w:line="9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As discussed above, as of September 30, 2017, we have six reporting units with goodwill balances: our Healthcare and Education segments, and our Business Advisory, Enterprise Solutions and Analytics, Strategy and Innovation, and Life Sciences practices, which together make up our Business Advisory operating segment.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goodwill for each of our reporting units as of September 30, 2017 are as follows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Carrying Value</w:t>
            </w:r>
          </w:p>
        </w:tc>
      </w:tr>
      <w:tr>
        <w:trPr>
          <w:trHeight w:val="234"/>
        </w:trPr>
        <w:tc>
          <w:tcPr>
            <w:tcW w:w="9820" w:type="dxa"/>
            <w:vAlign w:val="bottom"/>
            <w:gridSpan w:val="2"/>
          </w:tcPr>
          <w:p>
            <w:pPr>
              <w:ind w:left="40"/>
              <w:spacing w:after="0"/>
              <w:rPr>
                <w:sz w:val="20"/>
                <w:szCs w:val="20"/>
                <w:color w:val="auto"/>
              </w:rPr>
            </w:pPr>
            <w:r>
              <w:rPr>
                <w:rFonts w:ascii="Arial" w:cs="Arial" w:eastAsia="Arial" w:hAnsi="Arial"/>
                <w:sz w:val="18"/>
                <w:szCs w:val="18"/>
                <w:b w:val="1"/>
                <w:bCs w:val="1"/>
                <w:color w:val="auto"/>
              </w:rPr>
              <w:t>Reporting Unit</w:t>
            </w:r>
          </w:p>
        </w:tc>
        <w:tc>
          <w:tcPr>
            <w:tcW w:w="160" w:type="dxa"/>
            <w:vAlign w:val="bottom"/>
          </w:tcPr>
          <w:p>
            <w:pPr>
              <w:spacing w:after="0"/>
              <w:rPr>
                <w:sz w:val="20"/>
                <w:szCs w:val="20"/>
                <w:color w:val="auto"/>
              </w:rPr>
            </w:pPr>
          </w:p>
        </w:tc>
        <w:tc>
          <w:tcPr>
            <w:tcW w:w="1440" w:type="dxa"/>
            <w:vAlign w:val="bottom"/>
          </w:tcPr>
          <w:p>
            <w:pPr>
              <w:jc w:val="right"/>
              <w:ind w:right="250"/>
              <w:spacing w:after="0"/>
              <w:rPr>
                <w:sz w:val="20"/>
                <w:szCs w:val="20"/>
                <w:color w:val="auto"/>
              </w:rPr>
            </w:pPr>
            <w:r>
              <w:rPr>
                <w:rFonts w:ascii="Arial" w:cs="Arial" w:eastAsia="Arial" w:hAnsi="Arial"/>
                <w:sz w:val="18"/>
                <w:szCs w:val="18"/>
                <w:b w:val="1"/>
                <w:bCs w:val="1"/>
                <w:color w:val="auto"/>
              </w:rPr>
              <w:t>of Goodwill</w:t>
            </w:r>
          </w:p>
        </w:tc>
      </w:tr>
      <w:tr>
        <w:trPr>
          <w:trHeight w:val="27"/>
        </w:trPr>
        <w:tc>
          <w:tcPr>
            <w:tcW w:w="9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427,209</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Education</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102,830</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16,094</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Enterprise Solutions and Analytics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45,119</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Strategy and Innovation</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87,432</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Life Sciences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10,691</w:t>
            </w:r>
          </w:p>
        </w:tc>
      </w:tr>
      <w:tr>
        <w:trPr>
          <w:trHeight w:val="27"/>
        </w:trPr>
        <w:tc>
          <w:tcPr>
            <w:tcW w:w="9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9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689,375</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Three of our reporting units have been established primarily or entirely through recent business acquisitions: Enterprise Solutions and Analytics, Strategy and Innovation, and Life Sciences. Our Enterprise Solutions and Analytics reporting unit was established with the acquisition of Blue Stone International, LLC in October 2013. Since that time, we have completed five additional business acquisitions within the reporting unit, most recently the acquisitions of the U.S. assets and international assets of ADI Strategies in May 2016 and April 2017, respectively. Our Strategy and Innovation reporting unit was established with the acquisition of Innosight in March 2017. Our Life Sciences reporting unit is primarily comprised of two recent acquisitions: The Frankel Group Associates LLC in January 2014 and Pope Woodhead in January 2017.</w:t>
      </w:r>
    </w:p>
    <w:p>
      <w:pPr>
        <w:spacing w:after="0" w:line="12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We record the assets acquired and liabilities assumed in business combinations, including identifiable intangible assets, at their estimated fair values as of the acquisition date, and goodwill is recorded as the excess of the fair value of consideration transferred, including any contingent consideration, over the fair value of the net assets acquired. Therefore, the initial accounting for an acquisition results in no headroom, as its fair value equals its carrying value.</w:t>
      </w:r>
    </w:p>
    <w:p>
      <w:pPr>
        <w:spacing w:after="0" w:line="93"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Our most recent goodwill impairment test for the Enterprise Solutions and Analytics reporting unit was performed as of November 30, 2016, as part of our annual goodwill impairment test, pursuant to our policy, and based on the results of the first step of that analysis, the reporting unit’s fair value exceeded its carrying value by 11%.</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Our most recent goodwill impairment test for the Life Sciences reporting unit was performed as of June 1, 2017, as part of the reorganization of our internal financial reporting structure, as discussed above under the section titled </w:t>
      </w:r>
      <w:r>
        <w:rPr>
          <w:rFonts w:ascii="Arial" w:cs="Arial" w:eastAsia="Arial" w:hAnsi="Arial"/>
          <w:sz w:val="18"/>
          <w:szCs w:val="18"/>
          <w:i w:val="1"/>
          <w:iCs w:val="1"/>
          <w:color w:val="auto"/>
        </w:rPr>
        <w:t>Second Quarter 2017 Goodwill Reallocation</w:t>
      </w:r>
      <w:r>
        <w:rPr>
          <w:rFonts w:ascii="Arial" w:cs="Arial" w:eastAsia="Arial" w:hAnsi="Arial"/>
          <w:sz w:val="18"/>
          <w:szCs w:val="18"/>
          <w:color w:val="auto"/>
        </w:rPr>
        <w:t>. Based on the results of that analysis, the reporting unit’s fair value exceeded its carrying value by 16%.</w:t>
      </w:r>
    </w:p>
    <w:p>
      <w:pPr>
        <w:spacing w:after="0" w:line="18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have not yet performed a goodwill impairment test for the Strategy and Innovation reporting unit, as the reporting unit was established during the current year with the acquisition of Innosight in March 2017 and there have been no triggering events requiring an interim goodwill impairment test to date.</w:t>
      </w:r>
    </w:p>
    <w:p>
      <w:pPr>
        <w:spacing w:after="0" w:line="12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Since the date of the most recent goodwill impairment tests for the Enterprise Solutions and Analytics and Life Sciences reporting units, and since the inception of the Strategy and Innovation reporting unit, the performance of these three reporting units has continued to reasonably meet our expectations such that no triggering event for an interim goodwill impairment analysis was identified. We will monitor any changes to our assumptions and will evaluate goodwill as part of our annual goodwill impairment testing in the fourth quarter of 2017, or on an interim basis, if required. Any future significant decline in our operations compared to our internal forecast could result in a non-cash goodwill impairment charge as a result of any such test.</w:t>
      </w:r>
    </w:p>
    <w:p>
      <w:pPr>
        <w:spacing w:after="0" w:line="15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For further discussion of our 2016 annual goodwill impairment test, see "Item 7. Management's Discussion and Analysis of Financial Condition and Results of Operations - Critical Accounting Policies" in our Annual Report on Form 10-K for the year ended December 31, 2016.</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Refer to Note 3 “New Accounting Pronouncements” within the notes to the consolidated financial statements for information on new accounting pronouncements.</w:t>
      </w:r>
    </w:p>
    <w:p>
      <w:pPr>
        <w:spacing w:after="0" w:line="27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risks primarily from changes in interest rates and changes in the market value of our 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 and Interest Rate Risk</w:t>
      </w:r>
    </w:p>
    <w:p>
      <w:pPr>
        <w:spacing w:after="0" w:line="17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value of our Convertible Notes is exposed to interest rate risk. Generally, the fair value of our fixed interest rate Convertible Notes will increase as interest rates fall and decrease as interest rates rise. In addition, the fair value of our Convertible Notes is affected by our stock price. The carrying value of our Convertible Notes was $230.8 million as of September 30, 2017, which represents the liability component of the $250.0 million principal balance. The estimated fair value of our Convertible Notes at September 30, 2017 was $233.6 million, and was determined based on the quoted bid price of the Convertible Notes in an over-the-counter market as of the last day of trading for the quarter ended September 30, 2017, which was $93.438 per $100 principal amount.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Concurrent with the issuance of the Convertible Notes, we entered into separate convertible note hedge and warrant transactions. The convertible note hedge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transactions are intended to reduce the potential future economic dilution associated with the conversion of the Convertible Notes and, combined with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warrants, effectively raise the price at which economic dilution would occur from the initial conversion price of approximately $79.89 to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$97.12 per share. Under the convertible note hedge transactions, we have the option to purchase a total of approximately 3.1 million shares of our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which is the number of shares initially issuable upon conversion of the Convertible Notes in full, at a price of approximately $79.89, which corresponds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initial conversion price of the Convertible Notes, subject to customary anti-dilution adjustments substantially similar to those in the Convertible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warrant transactions, the holders of the warrants have the option to purchase a total of approximately 3.1 million shares of our common stock at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of approximately $97.12. If the average market value per share of our common stock for the reporting period exceeds the strike price of the warrants,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warrants will have a dilutive effect on our earnings per share.</w:t>
      </w:r>
    </w:p>
    <w:p>
      <w:pPr>
        <w:spacing w:after="0" w:line="15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have exposure to changes in interest rates associated with borrowings under our bank credit facility, which has variable interest rates tied to LIBOR or an alternate base rate, at our option. At September 30, 2017, we had borrowings outstanding under the credit facility totaling $139.0 million that carried a weighted average interest rate of 3.4%, including the impact of the interest rate swap described below. A hypothetical 100 basis point change in this interest rate would have a $0.9 million effect on our pretax income, on an annualized basis, including the effect of the interest rate swap. At December 31, 2016, our borrowings outstanding under the credit facility totaled $68.0 million and carried a weighted average interest rate of 2.5%, including the effect of the interest rate swap described below. The outstanding borrowings at December 31, 2016 were fully hedged against changes in interest rates by our interest rate swap, which had a notional amount of $68.0 million at December 31, 2016.</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April 4, 2013, we entered into a forward amortizing interest rate swap agreement effective March 31, 2014 and ending August 31, 2017. We entered into this derivative instrument to hedge against the interest rate risks of our variable-rate borrowings. The swap had an initial notional amount of $60.0 million and amortized quarterly until April 2016. In April 2016, the notional amount of this interest rate swap increased to $86.0 million and continued to amortize quarterly until it expired in August 2017. Under the terms of the interest rate swap agreement, we received from the counterparty interest on the notional amount based on one-month LIBOR and we paid to the counterparty a fixed rate of 0.985%.</w:t>
      </w:r>
    </w:p>
    <w:p>
      <w:pPr>
        <w:spacing w:after="0" w:line="13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June 22, 2017, we entered into a forward interest rate swap agreement effective August 31, 2017 and ending August 31, 2022, with a notional amount of $50.0 million. We entered into this derivative instrument to continue to hedge against the interest rate risks of our variable-rate borrowings. Under the terms of the interest rate swap agreement, we receive from the counterparty interest on the notional amount based on one-month LIBOR and we pay to the counterparty a fixed rate of 1.900%.</w:t>
      </w:r>
    </w:p>
    <w:p>
      <w:pPr>
        <w:spacing w:after="0" w:line="13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also have exposure to changes in interest rates associated with the promissory note assumed on June 30, 2017 in connection with our purchase of an aircraft, which has variable interest rates tied to LIBOR. At September 30, 2017, the outstanding principal amount of the promissory note was $5.0 million and carried an interest rate of 3.2%. A hypothetical 100 basis point change in this interest rate would have a $0.1 million effect on our pretax income, on an annualized basis.</w:t>
      </w:r>
    </w:p>
    <w:p>
      <w:pPr>
        <w:spacing w:after="0" w:line="13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do not use derivative instruments for trading or other speculative purposes. From time to time, we invest excess cash in short-term marketable securities. These investments principally consist of overnight sweep accounts. Due to the short maturity of these investments, we have concluded that we do not have material market risk exposure.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a non-interest bearing convertible debt investment in a privately-held company, which we account for as an available-for-sale debt security. As such, the investment is carried at fair value with unrealized holding gains and losses excluded from earnings and reported in other comprehensive income. As of September 30, 2017, the fair value of the investment was $31.9 million, with a total cost basis of $27.9 million.</w:t>
      </w:r>
    </w:p>
    <w:p>
      <w:pPr>
        <w:spacing w:after="0" w:line="28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September 30, 2017. Based on this evaluation, our Chief Executive Officer and Chief Financial Officer have concluded that, as of September 30, 2017,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three months ended September 30, 2017 that has materially affected, or is reasonably likely to materially affect, our internal control over financial reporting.</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360"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required by this Item is incorporated by reference from Note 14 "Commitments, Contingencies and Guarantees" included in Part I, Item 1 of this Quarterly Report on Form 10-Q.</w:t>
      </w:r>
    </w:p>
    <w:p>
      <w:pPr>
        <w:spacing w:after="0" w:line="11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29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40" w:lineRule="exact"/>
        <w:rPr>
          <w:sz w:val="20"/>
          <w:szCs w:val="20"/>
          <w:color w:val="auto"/>
        </w:rPr>
      </w:pPr>
    </w:p>
    <w:p>
      <w:pPr>
        <w:ind w:right="1920"/>
        <w:spacing w:after="0" w:line="264" w:lineRule="auto"/>
        <w:rPr>
          <w:sz w:val="20"/>
          <w:szCs w:val="20"/>
          <w:color w:val="auto"/>
        </w:rPr>
      </w:pPr>
      <w:r>
        <w:rPr>
          <w:rFonts w:ascii="Arial" w:cs="Arial" w:eastAsia="Arial" w:hAnsi="Arial"/>
          <w:sz w:val="18"/>
          <w:szCs w:val="18"/>
          <w:color w:val="auto"/>
        </w:rPr>
        <w:t>The following information updates, and should be read in conjunction with, the information disclosed in Part 1, Item 1A, “Risk Factors” of our Annual Report on Form 10-K for the fiscal year ended December 31, 2016, which was filed with the Securities and Exchange Commission on February 23, 2017.</w:t>
      </w:r>
    </w:p>
    <w:p>
      <w:pPr>
        <w:spacing w:after="0" w:line="123" w:lineRule="exact"/>
        <w:rPr>
          <w:sz w:val="20"/>
          <w:szCs w:val="20"/>
          <w:color w:val="auto"/>
        </w:rPr>
      </w:pPr>
    </w:p>
    <w:p>
      <w:pPr>
        <w:ind w:right="660"/>
        <w:spacing w:after="0" w:line="313" w:lineRule="auto"/>
        <w:rPr>
          <w:sz w:val="20"/>
          <w:szCs w:val="20"/>
          <w:color w:val="auto"/>
        </w:rPr>
      </w:pPr>
      <w:r>
        <w:rPr>
          <w:rFonts w:ascii="Arial" w:cs="Arial" w:eastAsia="Arial" w:hAnsi="Arial"/>
          <w:sz w:val="17"/>
          <w:szCs w:val="17"/>
          <w:b w:val="1"/>
          <w:bCs w:val="1"/>
          <w:color w:val="auto"/>
        </w:rPr>
        <w:t>Our goodwill and other intangible assets represent a substantial amount of our total assets, and we may be required to recognize a non-cash impairment charge for these assets if the performance of one or more of our reporting units falls below our expectations.</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Our total assets reflect a substantial amount of intangible assets, primarily goodwill. At December 31, 2016, goodwill and other intangible assets totaled</w:t>
      </w:r>
    </w:p>
    <w:p>
      <w:pPr>
        <w:spacing w:after="0" w:line="35"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$881.2 million, or 76%, of our total assets. During the second quarter of 2017, we wrote off $209.6 million of goodwill related to our Healthcare segment as discussed below. At September 30, 2017, goodwill and other intangible assets totaled $770.2 million, or 71%, of our total assets. The goodwill results from our acquisitions, representing the excess of the fair value of consideration transferred over the fair value of the net assets acquired. We test goodwill for impairment, at the reporting unit level, annually and whenever events or circumstances make it more likely than not that an impairment may have occurred.</w:t>
      </w:r>
    </w:p>
    <w:p>
      <w:pPr>
        <w:spacing w:after="0" w:line="10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Since the first quarter of 2016, the Healthcare segment, which is also a reporting unit, has experienced declining revenues, primarily driven by softness in our revenue cycle offering within our performance improvement solution. This softness is attributable to decreased demand for our services, the winding down of some of our larger projects and a growing trend toward smaller projects, as well as fewer large integrated projects. In light of these challenges, several initiatives have been undertaken to improve the segment's financial performance, including repositioning our solutions to address the most critical needs of our clients, the expansion of our existing services such as those in our Studer Group, strategy, physician and technology offerings, and workforce reductions to better align resources with market demand. While the initiatives undertaken to improve the financial performance of our Healthcare segment are yielding some positive impacts, hospitals and health systems continue to face regulatory and funding uncertainty; therefore, we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125" w:right="29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remain cautious about near-term growth. As we have previously disclosed in prior quarters, if the financial performance of our Healthcare segment continued to decline and did not meet our expectations, we could be required to perform an interim impairment analysis with respect to our carrying value of goodwill for the Healthcare reporting unit prior to our usual annual test. Based on forecasts prepared in connection with our quarterly forecasting cycle during the second quarter of 2017, we determined that the likely time frame to improve the financial results of this segment will take longer than originally anticipated. As such, we concluded, during the second quarter of 2017, that the fair value of the Healthcare reporting unit may no longer exceed its carrying value. In connection with the preparation of our financial statements for the quarter ended June 30, 2017, we performed an interim impairment test on the Healthcare reporting unit. Based on the estimated fair value of the Healthcare reporting unit, we recorded a $209.6 million non-cash pretax charge in the second quarter of 2017 to reduce the carrying value of goodwill in our Healthcare reporting unit.</w:t>
      </w:r>
    </w:p>
    <w:p>
      <w:pPr>
        <w:spacing w:after="0" w:line="1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Determining the fair value of any reporting unit requires us to make significant judgments, estimates, and assumptions. While we believe that the estimates and assumptions underlying our valuation of the Healthcare reporting unit are reasonable, these estimates and assumptions could have a significant impact on whether or not another non-cash impairment charge is recognized in the future and also the magnitude of any such charge. The results of an impairment analysis are as of a point in time. There is no assurance that the actual future earnings or cash flows of our Healthcare reporting unit will be consistent with our projections. We will monitor any changes to our assumptions and will evaluate goodwill as part of our annual goodwill impairment testing in the fourth quarter of 2017, or on an interim basis, if required. Any future significant decline in our operations compared to our internal forecast could result in another non-cash goodwill impairment charge, which could be material.</w:t>
      </w:r>
    </w:p>
    <w:p>
      <w:pPr>
        <w:spacing w:after="0" w:line="12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Three of our reporting units have been established primarily or entirely through recent business acquisitions: Enterprise Solutions and Analytics, Strategy and Innovation, and Life Sciences. Our Enterprise Solutions and Analytics reporting unit was established with the acquisition of Blue Stone International, LLC in October 2013. Since that time, we have completed five additional business acquisitions within the reporting unit, most recently the acquisitions of the U.S. assets and international assets of ADI Strategies in May 2016 and April 2017, respectively. Our Strategy and Innovation reporting unit was established with the acquisition of Innosight in March 2017. Our Life Sciences reporting unit is primarily comprised of two recent acquisitions: The Frankel Group Associates LLC in January 2014 and Pope Woodhead in January 2017.</w:t>
      </w:r>
    </w:p>
    <w:p>
      <w:pPr>
        <w:spacing w:after="0" w:line="30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We record the assets acquired and liabilities assumed in business combinations, including identifiable intangible assets, at their estimated fair values as of the acquisition date, and goodwill is recorded as the excess of the fair value of consideration transferred, including any contingent consideration, over the fair value of the net assets acquired. Therefore, the initial accounting for an acquisition results in no headroom, as its fair value equals its carrying value.</w:t>
      </w:r>
    </w:p>
    <w:p>
      <w:pPr>
        <w:spacing w:after="0" w:line="26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Our most recent goodwill impairment test for the Enterprise Solutions and Analytics reporting unit was performed as of November 30, 2016, as part of our annual goodwill impairment test, pursuant to our policy, and based on the results of the first step of that analysis, the reporting unit’s fair value exceeded its carrying value by 11%.</w:t>
      </w:r>
    </w:p>
    <w:p>
      <w:pPr>
        <w:spacing w:after="0" w:line="303"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Our most recent goodwill impairment test for the Life Sciences reporting unit was performed as of June 1, 2017, as part of the reorganization of our internal financial reporting structure, as discussed in the "Critical Accounting Policies" section within Part I - Item 2. "Management's Discussion and Analysis of Financial Condition and Results of Operations." Based on the results of that analysis, the reporting unit’s fair value exceeded its carrying value by 16%.</w:t>
      </w:r>
    </w:p>
    <w:p>
      <w:pPr>
        <w:spacing w:after="0" w:line="268"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have not yet performed a goodwill impairment test for the Strategy and Innovation reporting unit, as the reporting unit was established during the current year with the acquisition of Innosight in March 2017 and there have been no triggering events requiring an interim goodwill impairment test to date.</w:t>
      </w:r>
    </w:p>
    <w:p>
      <w:pPr>
        <w:spacing w:after="0" w:line="24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Since the date of the most recent goodwill impairment tests for the Enterprise Solutions and Analytics and Life Sciences reporting units, and since the inception of the Strategy and Innovation reporting unit, the performance of these three reporting units has continued to reasonably meet our expectations such that no triggering event for an interim goodwill impairment analysis was identified. We will monitor any changes to our assumptions and will evaluate goodwill as part of our annual goodwill impairment testing in the fourth quarter of 2017, or on an interim basis, if required. Any future significant decline in our operations compared to our internal forecast could result in a non-cash goodwill impairment charge as a result of any such test.</w:t>
      </w:r>
    </w:p>
    <w:p>
      <w:pPr>
        <w:spacing w:after="0" w:line="28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Refer to “Critical Accounting Policies” within Part I - Item 2. “Management’s Discussion and Analysis of Financial Condition and Results of Operations” and Note 6 “Goodwill and Intangible Assets” within the notes to our consolidated financial statements for further discussion of business combinations, goodwill, intangible assets, and impairment tests performed in 2017.</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0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Stock Ownership Participation Program, 2012 Omnibus Incentive Plan, and 2004 Omnibus Stock Plan, which was replaced by the 2012 Omnibus Incentive Plan, permit the netting of common stock upon vesting of restricted stock awards to satisfy individual tax withholding requirements. During the quarter ended September 30, 2017, we reacquired 4,798 shares of common stock with a weighted average fair market value of $39.78 as a result of such tax withholdings.</w:t>
      </w:r>
    </w:p>
    <w:p>
      <w:pPr>
        <w:spacing w:after="0" w:line="13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board of directors authorized a share repurchase program pursuant to which we may, from time to time, repurchase up to $125 million of our common stock through October 31, 2017 (the "Share Repurchase Program"). During the fourth quarter of 2017, our board of directors authorized an extension of the Share Repurchase Program through October 31, 2018. The amount and timing of the repurchases will be determined by management and will depend on a variety of factors, including the trading price of our common stock, capacity under our line of credit, general market and business conditions, and applicable legal requirements.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with respect to purchases we made of our common stock during the quarter ended September 30, 2017.</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Dollar Value of Shares</w:t>
            </w: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that may yet be</w:t>
            </w: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b w:val="1"/>
                <w:bCs w:val="1"/>
                <w:color w:val="auto"/>
              </w:rPr>
              <w:t>Total 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Average Price</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 Plans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Purchased under the</w:t>
            </w:r>
          </w:p>
        </w:tc>
      </w:tr>
      <w:tr>
        <w:trPr>
          <w:trHeight w:val="261"/>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xml:space="preserve">Shares Purchased </w:t>
            </w:r>
            <w:r>
              <w:rPr>
                <w:rFonts w:ascii="Arial" w:cs="Arial" w:eastAsia="Arial" w:hAnsi="Arial"/>
                <w:sz w:val="21"/>
                <w:szCs w:val="21"/>
                <w:b w:val="1"/>
                <w:bCs w:val="1"/>
                <w:color w:val="auto"/>
                <w:w w:val="87"/>
                <w:vertAlign w:val="superscript"/>
              </w:rPr>
              <w:t>(1)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Paid per Share</w:t>
            </w:r>
          </w:p>
        </w:tc>
        <w:tc>
          <w:tcPr>
            <w:tcW w:w="10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jc w:val="center"/>
              <w:ind w:right="110"/>
              <w:spacing w:after="0" w:line="262" w:lineRule="exact"/>
              <w:rPr>
                <w:sz w:val="20"/>
                <w:szCs w:val="20"/>
                <w:color w:val="auto"/>
              </w:rPr>
            </w:pPr>
            <w:r>
              <w:rPr>
                <w:rFonts w:ascii="Arial" w:cs="Arial" w:eastAsia="Arial" w:hAnsi="Arial"/>
                <w:sz w:val="18"/>
                <w:szCs w:val="18"/>
                <w:b w:val="1"/>
                <w:bCs w:val="1"/>
                <w:color w:val="auto"/>
                <w:w w:val="88"/>
              </w:rPr>
              <w:t xml:space="preserve">Plans or Programs </w:t>
            </w:r>
            <w:r>
              <w:rPr>
                <w:rFonts w:ascii="Arial" w:cs="Arial" w:eastAsia="Arial" w:hAnsi="Arial"/>
                <w:sz w:val="25"/>
                <w:szCs w:val="25"/>
                <w:b w:val="1"/>
                <w:bCs w:val="1"/>
                <w:color w:val="auto"/>
                <w:w w:val="88"/>
                <w:vertAlign w:val="superscript"/>
              </w:rPr>
              <w:t>(2)</w:t>
            </w:r>
          </w:p>
        </w:tc>
      </w:tr>
      <w:tr>
        <w:trPr>
          <w:trHeight w:val="244"/>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1, 2017 - July 31, 2017</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3,194</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43.08</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35,143,546</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August 1, 2017 - August 31, 2017</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796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35.47</w:t>
            </w:r>
          </w:p>
        </w:tc>
        <w:tc>
          <w:tcPr>
            <w:tcW w:w="100" w:type="dxa"/>
            <w:vAlign w:val="bottom"/>
          </w:tcPr>
          <w:p>
            <w:pPr>
              <w:spacing w:after="0"/>
              <w:rPr>
                <w:sz w:val="21"/>
                <w:szCs w:val="21"/>
                <w:color w:val="auto"/>
              </w:rPr>
            </w:pPr>
          </w:p>
        </w:tc>
        <w:tc>
          <w:tcPr>
            <w:tcW w:w="1800" w:type="dxa"/>
            <w:vAlign w:val="bottom"/>
          </w:tcPr>
          <w:p>
            <w:pPr>
              <w:ind w:left="15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35,143,546</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7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1, 2017 - September 30, 2017</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808</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30.95</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35,143,546</w:t>
            </w:r>
          </w:p>
        </w:tc>
      </w:tr>
      <w:tr>
        <w:trPr>
          <w:trHeight w:val="257"/>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4,798</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39.78</w:t>
            </w:r>
          </w:p>
        </w:tc>
        <w:tc>
          <w:tcPr>
            <w:tcW w:w="100" w:type="dxa"/>
            <w:vAlign w:val="bottom"/>
          </w:tcPr>
          <w:p>
            <w:pPr>
              <w:spacing w:after="0"/>
              <w:rPr>
                <w:sz w:val="22"/>
                <w:szCs w:val="22"/>
                <w:color w:val="auto"/>
              </w:rPr>
            </w:pPr>
          </w:p>
        </w:tc>
        <w:tc>
          <w:tcPr>
            <w:tcW w:w="1800" w:type="dxa"/>
            <w:vAlign w:val="bottom"/>
            <w:tcBorders>
              <w:top w:val="single" w:sz="8" w:color="auto"/>
              <w:bottom w:val="single" w:sz="8" w:color="auto"/>
            </w:tcBorders>
          </w:tcPr>
          <w:p>
            <w:pPr>
              <w:ind w:left="1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pacing w:after="0" w:line="40" w:lineRule="exact"/>
        <w:rPr>
          <w:sz w:val="20"/>
          <w:szCs w:val="20"/>
          <w:color w:val="auto"/>
        </w:rPr>
      </w:pPr>
    </w:p>
    <w:p>
      <w:pPr>
        <w:ind w:left="980" w:right="440" w:hanging="972"/>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shares repurchased for each period represents shares to satisfy employee tax withholding requirements. These shares do not reduce the repurchase authority under the Share Repurchase Program.</w:t>
      </w:r>
    </w:p>
    <w:p>
      <w:pPr>
        <w:spacing w:after="0" w:line="8" w:lineRule="exact"/>
        <w:rPr>
          <w:rFonts w:ascii="Arial" w:cs="Arial" w:eastAsia="Arial" w:hAnsi="Arial"/>
          <w:sz w:val="18"/>
          <w:szCs w:val="18"/>
          <w:color w:val="auto"/>
        </w:rPr>
      </w:pPr>
    </w:p>
    <w:p>
      <w:pPr>
        <w:ind w:left="980" w:hanging="972"/>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the end of the period.</w:t>
      </w:r>
    </w:p>
    <w:p>
      <w:pPr>
        <w:spacing w:after="0" w:line="27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exhibits are filed as part of this Quarterly Report on Form 10-Q.</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Incorporated by Reference</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20" w:type="dxa"/>
            <w:vAlign w:val="bottom"/>
            <w:gridSpan w:val="11"/>
            <w:vMerge w:val="restart"/>
          </w:tcPr>
          <w:p>
            <w:pPr>
              <w:ind w:left="56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3"/>
                <w:szCs w:val="13"/>
                <w:color w:val="auto"/>
              </w:rPr>
            </w:pPr>
          </w:p>
        </w:tc>
        <w:tc>
          <w:tcPr>
            <w:tcW w:w="9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Filed</w:t>
            </w:r>
          </w:p>
        </w:tc>
        <w:tc>
          <w:tcPr>
            <w:tcW w:w="10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Furnished</w:t>
            </w:r>
          </w:p>
        </w:tc>
        <w:tc>
          <w:tcPr>
            <w:tcW w:w="9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13"/>
                <w:szCs w:val="13"/>
                <w:color w:val="auto"/>
              </w:rPr>
            </w:pPr>
          </w:p>
        </w:tc>
        <w:tc>
          <w:tcPr>
            <w:tcW w:w="7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Period</w:t>
            </w:r>
          </w:p>
        </w:tc>
        <w:tc>
          <w:tcPr>
            <w:tcW w:w="9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3"/>
                <w:szCs w:val="13"/>
                <w:color w:val="auto"/>
              </w:rPr>
            </w:pP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92"/>
        </w:trPr>
        <w:tc>
          <w:tcPr>
            <w:tcW w:w="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11"/>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herewith</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herewith</w:t>
            </w:r>
          </w:p>
        </w:tc>
        <w:tc>
          <w:tcPr>
            <w:tcW w:w="10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Ending</w:t>
            </w: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89"/>
        </w:trPr>
        <w:tc>
          <w:tcPr>
            <w:tcW w:w="660" w:type="dxa"/>
            <w:vAlign w:val="bottom"/>
          </w:tcPr>
          <w:p>
            <w:pPr>
              <w:ind w:left="40"/>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80" w:type="dxa"/>
            <w:vAlign w:val="bottom"/>
            <w:gridSpan w:val="14"/>
          </w:tcPr>
          <w:p>
            <w:pPr>
              <w:spacing w:after="0"/>
              <w:rPr>
                <w:rFonts w:ascii="Arial" w:cs="Arial" w:eastAsia="Arial" w:hAnsi="Arial"/>
                <w:sz w:val="16"/>
                <w:szCs w:val="16"/>
                <w:color w:val="0000FF"/>
                <w:w w:val="94"/>
              </w:rPr>
            </w:pPr>
            <w:hyperlink w:anchor="page60">
              <w:r>
                <w:rPr>
                  <w:rFonts w:ascii="Arial" w:cs="Arial" w:eastAsia="Arial" w:hAnsi="Arial"/>
                  <w:sz w:val="16"/>
                  <w:szCs w:val="16"/>
                  <w:color w:val="0000FF"/>
                  <w:w w:val="94"/>
                </w:rPr>
                <w:t>Amendment No. 2 of the Credit Agreement, dated as of October 24, 2017,</w:t>
              </w:r>
            </w:hyperlink>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80" w:type="dxa"/>
            <w:vAlign w:val="bottom"/>
            <w:tcBorders>
              <w:top w:val="single" w:sz="8" w:color="0000FF"/>
              <w:bottom w:val="single" w:sz="8" w:color="0000FF"/>
            </w:tcBorders>
            <w:gridSpan w:val="5"/>
          </w:tcPr>
          <w:p>
            <w:pPr>
              <w:spacing w:after="0" w:line="183" w:lineRule="exact"/>
              <w:rPr>
                <w:rFonts w:ascii="Arial" w:cs="Arial" w:eastAsia="Arial" w:hAnsi="Arial"/>
                <w:sz w:val="16"/>
                <w:szCs w:val="16"/>
                <w:color w:val="0000FF"/>
                <w:w w:val="92"/>
              </w:rPr>
            </w:pPr>
            <w:hyperlink w:anchor="page60">
              <w:r>
                <w:rPr>
                  <w:rFonts w:ascii="Arial" w:cs="Arial" w:eastAsia="Arial" w:hAnsi="Arial"/>
                  <w:sz w:val="16"/>
                  <w:szCs w:val="16"/>
                  <w:color w:val="0000FF"/>
                  <w:w w:val="92"/>
                </w:rPr>
                <w:t>by and among Huron Consulting Group Inc., as Borrower, certain</w:t>
              </w:r>
            </w:hyperlink>
          </w:p>
        </w:tc>
        <w:tc>
          <w:tcPr>
            <w:tcW w:w="540" w:type="dxa"/>
            <w:vAlign w:val="bottom"/>
            <w:tcBorders>
              <w:top w:val="single" w:sz="8" w:color="0000FF"/>
            </w:tcBorders>
            <w:gridSpan w:val="5"/>
          </w:tcPr>
          <w:p>
            <w:pPr>
              <w:spacing w:after="0"/>
              <w:rPr>
                <w:sz w:val="15"/>
                <w:szCs w:val="15"/>
                <w:color w:val="auto"/>
              </w:rPr>
            </w:pPr>
          </w:p>
        </w:tc>
        <w:tc>
          <w:tcPr>
            <w:tcW w:w="160" w:type="dxa"/>
            <w:vAlign w:val="bottom"/>
            <w:gridSpan w:val="4"/>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60" w:type="dxa"/>
            <w:vAlign w:val="bottom"/>
            <w:tcBorders>
              <w:bottom w:val="single" w:sz="8" w:color="0000FF"/>
            </w:tcBorders>
            <w:gridSpan w:val="12"/>
          </w:tcPr>
          <w:p>
            <w:pPr>
              <w:spacing w:after="0" w:line="183" w:lineRule="exact"/>
              <w:rPr>
                <w:rFonts w:ascii="Arial" w:cs="Arial" w:eastAsia="Arial" w:hAnsi="Arial"/>
                <w:sz w:val="16"/>
                <w:szCs w:val="16"/>
                <w:color w:val="0000FF"/>
                <w:w w:val="92"/>
              </w:rPr>
            </w:pPr>
            <w:hyperlink w:anchor="page60">
              <w:r>
                <w:rPr>
                  <w:rFonts w:ascii="Arial" w:cs="Arial" w:eastAsia="Arial" w:hAnsi="Arial"/>
                  <w:sz w:val="16"/>
                  <w:szCs w:val="16"/>
                  <w:color w:val="0000FF"/>
                  <w:w w:val="92"/>
                </w:rPr>
                <w:t>subsidiaries, as Guarantors, and Bank of America, N.A., as Administrative</w:t>
              </w:r>
            </w:hyperlink>
          </w:p>
        </w:tc>
        <w:tc>
          <w:tcPr>
            <w:tcW w:w="12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80" w:type="dxa"/>
            <w:vAlign w:val="bottom"/>
            <w:tcBorders>
              <w:bottom w:val="single" w:sz="8" w:color="0000FF"/>
            </w:tcBorders>
            <w:gridSpan w:val="3"/>
          </w:tcPr>
          <w:p>
            <w:pPr>
              <w:spacing w:after="0" w:line="183" w:lineRule="exact"/>
              <w:rPr>
                <w:rFonts w:ascii="Arial" w:cs="Arial" w:eastAsia="Arial" w:hAnsi="Arial"/>
                <w:sz w:val="16"/>
                <w:szCs w:val="16"/>
                <w:color w:val="0000FF"/>
                <w:w w:val="92"/>
              </w:rPr>
            </w:pPr>
            <w:hyperlink w:anchor="page60">
              <w:r>
                <w:rPr>
                  <w:rFonts w:ascii="Arial" w:cs="Arial" w:eastAsia="Arial" w:hAnsi="Arial"/>
                  <w:sz w:val="16"/>
                  <w:szCs w:val="16"/>
                  <w:color w:val="0000FF"/>
                  <w:w w:val="92"/>
                </w:rPr>
                <w:t>Agent for and on behalf of the Lenders.</w:t>
              </w:r>
            </w:hyperlink>
          </w:p>
        </w:tc>
        <w:tc>
          <w:tcPr>
            <w:tcW w:w="2400" w:type="dxa"/>
            <w:vAlign w:val="bottom"/>
            <w:gridSpan w:val="11"/>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60" w:type="dxa"/>
            <w:vAlign w:val="bottom"/>
          </w:tcPr>
          <w:p>
            <w:pPr>
              <w:ind w:left="40"/>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80" w:type="dxa"/>
            <w:vAlign w:val="bottom"/>
            <w:gridSpan w:val="14"/>
          </w:tcPr>
          <w:p>
            <w:pPr>
              <w:spacing w:after="0"/>
              <w:rPr>
                <w:rFonts w:ascii="Arial" w:cs="Arial" w:eastAsia="Arial" w:hAnsi="Arial"/>
                <w:sz w:val="16"/>
                <w:szCs w:val="16"/>
                <w:color w:val="0000FF"/>
              </w:rPr>
            </w:pPr>
            <w:hyperlink w:anchor="page65">
              <w:r>
                <w:rPr>
                  <w:rFonts w:ascii="Arial" w:cs="Arial" w:eastAsia="Arial" w:hAnsi="Arial"/>
                  <w:sz w:val="16"/>
                  <w:szCs w:val="16"/>
                  <w:color w:val="0000FF"/>
                </w:rPr>
                <w:t>Certification of the Chief Executive Officer, pursuant to Rule 13a-</w:t>
              </w:r>
            </w:hyperlink>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80" w:type="dxa"/>
            <w:vAlign w:val="bottom"/>
            <w:gridSpan w:val="14"/>
          </w:tcPr>
          <w:p>
            <w:pPr>
              <w:spacing w:after="0" w:line="183" w:lineRule="exact"/>
              <w:rPr>
                <w:rFonts w:ascii="Arial" w:cs="Arial" w:eastAsia="Arial" w:hAnsi="Arial"/>
                <w:sz w:val="16"/>
                <w:szCs w:val="16"/>
                <w:color w:val="0000FF"/>
              </w:rPr>
            </w:pPr>
            <w:hyperlink w:anchor="page65">
              <w:r>
                <w:rPr>
                  <w:rFonts w:ascii="Arial" w:cs="Arial" w:eastAsia="Arial" w:hAnsi="Arial"/>
                  <w:sz w:val="16"/>
                  <w:szCs w:val="16"/>
                  <w:color w:val="0000FF"/>
                </w:rPr>
                <w:t>14(a)/15d-14(a), as adopted pursuant to Section 302 of the Sarbanes-</w:t>
              </w:r>
            </w:hyperlink>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Borders>
              <w:top w:val="single" w:sz="8" w:color="0000FF"/>
              <w:bottom w:val="single" w:sz="8" w:color="0000FF"/>
            </w:tcBorders>
            <w:gridSpan w:val="2"/>
          </w:tcPr>
          <w:p>
            <w:pPr>
              <w:spacing w:after="0" w:line="183" w:lineRule="exact"/>
              <w:rPr>
                <w:rFonts w:ascii="Arial" w:cs="Arial" w:eastAsia="Arial" w:hAnsi="Arial"/>
                <w:sz w:val="16"/>
                <w:szCs w:val="16"/>
                <w:color w:val="0000FF"/>
                <w:w w:val="94"/>
              </w:rPr>
            </w:pPr>
            <w:hyperlink w:anchor="page65">
              <w:r>
                <w:rPr>
                  <w:rFonts w:ascii="Arial" w:cs="Arial" w:eastAsia="Arial" w:hAnsi="Arial"/>
                  <w:sz w:val="16"/>
                  <w:szCs w:val="16"/>
                  <w:color w:val="0000FF"/>
                  <w:w w:val="94"/>
                </w:rPr>
                <w:t>Oxley Act of 2002.</w:t>
              </w:r>
            </w:hyperlink>
          </w:p>
        </w:tc>
        <w:tc>
          <w:tcPr>
            <w:tcW w:w="3200" w:type="dxa"/>
            <w:vAlign w:val="bottom"/>
            <w:tcBorders>
              <w:top w:val="single" w:sz="8" w:color="0000FF"/>
            </w:tcBorders>
            <w:gridSpan w:val="5"/>
          </w:tcPr>
          <w:p>
            <w:pPr>
              <w:spacing w:after="0"/>
              <w:rPr>
                <w:sz w:val="15"/>
                <w:szCs w:val="15"/>
                <w:color w:val="auto"/>
              </w:rPr>
            </w:pPr>
          </w:p>
        </w:tc>
        <w:tc>
          <w:tcPr>
            <w:tcW w:w="520" w:type="dxa"/>
            <w:vAlign w:val="bottom"/>
            <w:gridSpan w:val="7"/>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60" w:type="dxa"/>
            <w:vAlign w:val="bottom"/>
          </w:tcPr>
          <w:p>
            <w:pPr>
              <w:ind w:left="40"/>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80" w:type="dxa"/>
            <w:vAlign w:val="bottom"/>
            <w:gridSpan w:val="14"/>
          </w:tcPr>
          <w:p>
            <w:pPr>
              <w:spacing w:after="0"/>
              <w:rPr>
                <w:rFonts w:ascii="Arial" w:cs="Arial" w:eastAsia="Arial" w:hAnsi="Arial"/>
                <w:sz w:val="16"/>
                <w:szCs w:val="16"/>
                <w:color w:val="0000FF"/>
              </w:rPr>
            </w:pPr>
            <w:hyperlink w:anchor="page66">
              <w:r>
                <w:rPr>
                  <w:rFonts w:ascii="Arial" w:cs="Arial" w:eastAsia="Arial" w:hAnsi="Arial"/>
                  <w:sz w:val="16"/>
                  <w:szCs w:val="16"/>
                  <w:color w:val="0000FF"/>
                </w:rPr>
                <w:t>Certification of the Chief Financial Officer, pursuant to Rule 13a-</w:t>
              </w:r>
            </w:hyperlink>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900" w:type="dxa"/>
            <w:vAlign w:val="bottom"/>
            <w:gridSpan w:val="3"/>
            <w:shd w:val="clear" w:color="auto" w:fill="0000FF"/>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80" w:type="dxa"/>
            <w:vAlign w:val="bottom"/>
            <w:gridSpan w:val="14"/>
          </w:tcPr>
          <w:p>
            <w:pPr>
              <w:spacing w:after="0" w:line="183" w:lineRule="exact"/>
              <w:rPr>
                <w:rFonts w:ascii="Arial" w:cs="Arial" w:eastAsia="Arial" w:hAnsi="Arial"/>
                <w:sz w:val="16"/>
                <w:szCs w:val="16"/>
                <w:color w:val="0000FF"/>
              </w:rPr>
            </w:pPr>
            <w:hyperlink w:anchor="page66">
              <w:r>
                <w:rPr>
                  <w:rFonts w:ascii="Arial" w:cs="Arial" w:eastAsia="Arial" w:hAnsi="Arial"/>
                  <w:sz w:val="16"/>
                  <w:szCs w:val="16"/>
                  <w:color w:val="0000FF"/>
                </w:rPr>
                <w:t>14(a)/15d-14(a), as adopted pursuant to Section 302 of the Sarbanes-</w:t>
              </w:r>
            </w:hyperlink>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Borders>
              <w:top w:val="single" w:sz="8" w:color="0000FF"/>
              <w:bottom w:val="single" w:sz="8" w:color="0000FF"/>
            </w:tcBorders>
            <w:gridSpan w:val="2"/>
          </w:tcPr>
          <w:p>
            <w:pPr>
              <w:spacing w:after="0" w:line="183" w:lineRule="exact"/>
              <w:rPr>
                <w:rFonts w:ascii="Arial" w:cs="Arial" w:eastAsia="Arial" w:hAnsi="Arial"/>
                <w:sz w:val="16"/>
                <w:szCs w:val="16"/>
                <w:color w:val="0000FF"/>
                <w:w w:val="94"/>
              </w:rPr>
            </w:pPr>
            <w:hyperlink w:anchor="page66">
              <w:r>
                <w:rPr>
                  <w:rFonts w:ascii="Arial" w:cs="Arial" w:eastAsia="Arial" w:hAnsi="Arial"/>
                  <w:sz w:val="16"/>
                  <w:szCs w:val="16"/>
                  <w:color w:val="0000FF"/>
                  <w:w w:val="94"/>
                </w:rPr>
                <w:t>Oxley Act of 2002.</w:t>
              </w:r>
            </w:hyperlink>
          </w:p>
        </w:tc>
        <w:tc>
          <w:tcPr>
            <w:tcW w:w="3200" w:type="dxa"/>
            <w:vAlign w:val="bottom"/>
            <w:tcBorders>
              <w:top w:val="single" w:sz="8" w:color="0000FF"/>
            </w:tcBorders>
            <w:gridSpan w:val="5"/>
          </w:tcPr>
          <w:p>
            <w:pPr>
              <w:spacing w:after="0"/>
              <w:rPr>
                <w:sz w:val="15"/>
                <w:szCs w:val="15"/>
                <w:color w:val="auto"/>
              </w:rPr>
            </w:pPr>
          </w:p>
        </w:tc>
        <w:tc>
          <w:tcPr>
            <w:tcW w:w="520" w:type="dxa"/>
            <w:vAlign w:val="bottom"/>
            <w:gridSpan w:val="7"/>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60" w:type="dxa"/>
            <w:vAlign w:val="bottom"/>
          </w:tcPr>
          <w:p>
            <w:pPr>
              <w:ind w:left="40"/>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tcBorders>
              <w:bottom w:val="single" w:sz="8" w:color="0000FF"/>
            </w:tcBorders>
            <w:gridSpan w:val="11"/>
          </w:tcPr>
          <w:p>
            <w:pPr>
              <w:spacing w:after="0"/>
              <w:rPr>
                <w:rFonts w:ascii="Arial" w:cs="Arial" w:eastAsia="Arial" w:hAnsi="Arial"/>
                <w:sz w:val="16"/>
                <w:szCs w:val="16"/>
                <w:color w:val="0000FF"/>
                <w:w w:val="93"/>
              </w:rPr>
            </w:pPr>
            <w:hyperlink w:anchor="page67">
              <w:r>
                <w:rPr>
                  <w:rFonts w:ascii="Arial" w:cs="Arial" w:eastAsia="Arial" w:hAnsi="Arial"/>
                  <w:sz w:val="16"/>
                  <w:szCs w:val="16"/>
                  <w:color w:val="0000FF"/>
                  <w:w w:val="93"/>
                </w:rPr>
                <w:t>Certification of the Chief Executive Officer, pursuant to 18 U.S.C. Section</w:t>
              </w:r>
            </w:hyperlink>
          </w:p>
        </w:tc>
        <w:tc>
          <w:tcPr>
            <w:tcW w:w="140" w:type="dxa"/>
            <w:vAlign w:val="bottom"/>
            <w:gridSpan w:val="3"/>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tcBorders>
              <w:bottom w:val="single" w:sz="8" w:color="0000FF"/>
            </w:tcBorders>
            <w:gridSpan w:val="8"/>
          </w:tcPr>
          <w:p>
            <w:pPr>
              <w:spacing w:after="0" w:line="183" w:lineRule="exact"/>
              <w:rPr>
                <w:rFonts w:ascii="Arial" w:cs="Arial" w:eastAsia="Arial" w:hAnsi="Arial"/>
                <w:sz w:val="16"/>
                <w:szCs w:val="16"/>
                <w:color w:val="0000FF"/>
                <w:w w:val="90"/>
              </w:rPr>
            </w:pPr>
            <w:hyperlink w:anchor="page67">
              <w:r>
                <w:rPr>
                  <w:rFonts w:ascii="Arial" w:cs="Arial" w:eastAsia="Arial" w:hAnsi="Arial"/>
                  <w:sz w:val="16"/>
                  <w:szCs w:val="16"/>
                  <w:color w:val="0000FF"/>
                  <w:w w:val="90"/>
                </w:rPr>
                <w:t>1350, as adopted pursuant to Section 906 of the Sarbanes-Oxley Act of</w:t>
              </w:r>
            </w:hyperlink>
          </w:p>
        </w:tc>
        <w:tc>
          <w:tcPr>
            <w:tcW w:w="360" w:type="dxa"/>
            <w:vAlign w:val="bottom"/>
            <w:gridSpan w:val="6"/>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0000FF"/>
            </w:tcBorders>
          </w:tcPr>
          <w:p>
            <w:pPr>
              <w:spacing w:after="0" w:line="183" w:lineRule="exact"/>
              <w:rPr>
                <w:rFonts w:ascii="Arial" w:cs="Arial" w:eastAsia="Arial" w:hAnsi="Arial"/>
                <w:sz w:val="16"/>
                <w:szCs w:val="16"/>
                <w:color w:val="0000FF"/>
                <w:w w:val="84"/>
              </w:rPr>
            </w:pPr>
            <w:hyperlink w:anchor="page67">
              <w:r>
                <w:rPr>
                  <w:rFonts w:ascii="Arial" w:cs="Arial" w:eastAsia="Arial" w:hAnsi="Arial"/>
                  <w:sz w:val="16"/>
                  <w:szCs w:val="16"/>
                  <w:color w:val="0000FF"/>
                  <w:w w:val="84"/>
                </w:rPr>
                <w:t>2002.</w:t>
              </w:r>
            </w:hyperlink>
          </w:p>
        </w:tc>
        <w:tc>
          <w:tcPr>
            <w:tcW w:w="9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60" w:type="dxa"/>
            <w:vAlign w:val="bottom"/>
          </w:tcPr>
          <w:p>
            <w:pPr>
              <w:ind w:left="40"/>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0" w:type="dxa"/>
            <w:vAlign w:val="bottom"/>
            <w:tcBorders>
              <w:bottom w:val="single" w:sz="8" w:color="0000FF"/>
            </w:tcBorders>
            <w:gridSpan w:val="9"/>
          </w:tcPr>
          <w:p>
            <w:pPr>
              <w:spacing w:after="0"/>
              <w:rPr>
                <w:rFonts w:ascii="Arial" w:cs="Arial" w:eastAsia="Arial" w:hAnsi="Arial"/>
                <w:sz w:val="16"/>
                <w:szCs w:val="16"/>
                <w:color w:val="0000FF"/>
                <w:w w:val="93"/>
              </w:rPr>
            </w:pPr>
            <w:hyperlink w:anchor="page68">
              <w:r>
                <w:rPr>
                  <w:rFonts w:ascii="Arial" w:cs="Arial" w:eastAsia="Arial" w:hAnsi="Arial"/>
                  <w:sz w:val="16"/>
                  <w:szCs w:val="16"/>
                  <w:color w:val="0000FF"/>
                  <w:w w:val="93"/>
                </w:rPr>
                <w:t>Certification of the Chief Financial Officer, pursuant to 18 U.S.C. Section</w:t>
              </w:r>
            </w:hyperlink>
          </w:p>
        </w:tc>
        <w:tc>
          <w:tcPr>
            <w:tcW w:w="180" w:type="dxa"/>
            <w:vAlign w:val="bottom"/>
            <w:gridSpan w:val="5"/>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tcBorders>
              <w:bottom w:val="single" w:sz="8" w:color="0000FF"/>
            </w:tcBorders>
            <w:gridSpan w:val="8"/>
          </w:tcPr>
          <w:p>
            <w:pPr>
              <w:spacing w:after="0" w:line="183" w:lineRule="exact"/>
              <w:rPr>
                <w:rFonts w:ascii="Arial" w:cs="Arial" w:eastAsia="Arial" w:hAnsi="Arial"/>
                <w:sz w:val="16"/>
                <w:szCs w:val="16"/>
                <w:color w:val="0000FF"/>
                <w:w w:val="90"/>
              </w:rPr>
            </w:pPr>
            <w:hyperlink w:anchor="page68">
              <w:r>
                <w:rPr>
                  <w:rFonts w:ascii="Arial" w:cs="Arial" w:eastAsia="Arial" w:hAnsi="Arial"/>
                  <w:sz w:val="16"/>
                  <w:szCs w:val="16"/>
                  <w:color w:val="0000FF"/>
                  <w:w w:val="90"/>
                </w:rPr>
                <w:t>1350, as adopted pursuant to Section 906 of the Sarbanes-Oxley Act of</w:t>
              </w:r>
            </w:hyperlink>
          </w:p>
        </w:tc>
        <w:tc>
          <w:tcPr>
            <w:tcW w:w="360" w:type="dxa"/>
            <w:vAlign w:val="bottom"/>
            <w:gridSpan w:val="6"/>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0000FF"/>
            </w:tcBorders>
          </w:tcPr>
          <w:p>
            <w:pPr>
              <w:spacing w:after="0" w:line="183" w:lineRule="exact"/>
              <w:rPr>
                <w:rFonts w:ascii="Arial" w:cs="Arial" w:eastAsia="Arial" w:hAnsi="Arial"/>
                <w:sz w:val="16"/>
                <w:szCs w:val="16"/>
                <w:color w:val="0000FF"/>
                <w:w w:val="84"/>
              </w:rPr>
            </w:pPr>
            <w:hyperlink w:anchor="page68">
              <w:r>
                <w:rPr>
                  <w:rFonts w:ascii="Arial" w:cs="Arial" w:eastAsia="Arial" w:hAnsi="Arial"/>
                  <w:sz w:val="16"/>
                  <w:szCs w:val="16"/>
                  <w:color w:val="0000FF"/>
                  <w:w w:val="84"/>
                </w:rPr>
                <w:t>2002.</w:t>
              </w:r>
            </w:hyperlink>
          </w:p>
        </w:tc>
        <w:tc>
          <w:tcPr>
            <w:tcW w:w="9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101.INS</w:t>
            </w:r>
          </w:p>
        </w:tc>
        <w:tc>
          <w:tcPr>
            <w:tcW w:w="20" w:type="dxa"/>
            <w:vAlign w:val="bottom"/>
          </w:tcPr>
          <w:p>
            <w:pPr>
              <w:spacing w:after="0"/>
              <w:rPr>
                <w:sz w:val="23"/>
                <w:szCs w:val="23"/>
                <w:color w:val="auto"/>
              </w:rPr>
            </w:pPr>
          </w:p>
        </w:tc>
        <w:tc>
          <w:tcPr>
            <w:tcW w:w="4980" w:type="dxa"/>
            <w:vAlign w:val="bottom"/>
            <w:gridSpan w:val="14"/>
          </w:tcPr>
          <w:p>
            <w:pPr>
              <w:spacing w:after="0"/>
              <w:rPr>
                <w:sz w:val="20"/>
                <w:szCs w:val="20"/>
                <w:color w:val="auto"/>
              </w:rPr>
            </w:pPr>
            <w:r>
              <w:rPr>
                <w:rFonts w:ascii="Arial" w:cs="Arial" w:eastAsia="Arial" w:hAnsi="Arial"/>
                <w:sz w:val="16"/>
                <w:szCs w:val="16"/>
                <w:color w:val="auto"/>
              </w:rPr>
              <w:t>XBRL Instance Document</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101.SCH</w:t>
            </w:r>
          </w:p>
        </w:tc>
        <w:tc>
          <w:tcPr>
            <w:tcW w:w="20" w:type="dxa"/>
            <w:vAlign w:val="bottom"/>
          </w:tcPr>
          <w:p>
            <w:pPr>
              <w:spacing w:after="0"/>
              <w:rPr>
                <w:sz w:val="23"/>
                <w:szCs w:val="23"/>
                <w:color w:val="auto"/>
              </w:rPr>
            </w:pPr>
          </w:p>
        </w:tc>
        <w:tc>
          <w:tcPr>
            <w:tcW w:w="4980" w:type="dxa"/>
            <w:vAlign w:val="bottom"/>
            <w:gridSpan w:val="14"/>
          </w:tcPr>
          <w:p>
            <w:pPr>
              <w:spacing w:after="0"/>
              <w:rPr>
                <w:sz w:val="20"/>
                <w:szCs w:val="20"/>
                <w:color w:val="auto"/>
              </w:rPr>
            </w:pPr>
            <w:r>
              <w:rPr>
                <w:rFonts w:ascii="Arial" w:cs="Arial" w:eastAsia="Arial" w:hAnsi="Arial"/>
                <w:sz w:val="16"/>
                <w:szCs w:val="16"/>
                <w:color w:val="auto"/>
              </w:rPr>
              <w:t>XBRL Taxonomy Extension Schema Document</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101.CAL</w:t>
            </w:r>
          </w:p>
        </w:tc>
        <w:tc>
          <w:tcPr>
            <w:tcW w:w="20" w:type="dxa"/>
            <w:vAlign w:val="bottom"/>
          </w:tcPr>
          <w:p>
            <w:pPr>
              <w:spacing w:after="0"/>
              <w:rPr>
                <w:sz w:val="23"/>
                <w:szCs w:val="23"/>
                <w:color w:val="auto"/>
              </w:rPr>
            </w:pPr>
          </w:p>
        </w:tc>
        <w:tc>
          <w:tcPr>
            <w:tcW w:w="4980" w:type="dxa"/>
            <w:vAlign w:val="bottom"/>
            <w:gridSpan w:val="14"/>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101.LAB</w:t>
            </w:r>
          </w:p>
        </w:tc>
        <w:tc>
          <w:tcPr>
            <w:tcW w:w="20" w:type="dxa"/>
            <w:vAlign w:val="bottom"/>
          </w:tcPr>
          <w:p>
            <w:pPr>
              <w:spacing w:after="0"/>
              <w:rPr>
                <w:sz w:val="23"/>
                <w:szCs w:val="23"/>
                <w:color w:val="auto"/>
              </w:rPr>
            </w:pPr>
          </w:p>
        </w:tc>
        <w:tc>
          <w:tcPr>
            <w:tcW w:w="4980" w:type="dxa"/>
            <w:vAlign w:val="bottom"/>
            <w:gridSpan w:val="14"/>
          </w:tcPr>
          <w:p>
            <w:pPr>
              <w:spacing w:after="0"/>
              <w:rPr>
                <w:sz w:val="20"/>
                <w:szCs w:val="20"/>
                <w:color w:val="auto"/>
              </w:rPr>
            </w:pPr>
            <w:r>
              <w:rPr>
                <w:rFonts w:ascii="Arial" w:cs="Arial" w:eastAsia="Arial" w:hAnsi="Arial"/>
                <w:sz w:val="16"/>
                <w:szCs w:val="16"/>
                <w:color w:val="auto"/>
              </w:rPr>
              <w:t>XBRL Taxonomy Extension Label Linkbase Document</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101.PRE</w:t>
            </w:r>
          </w:p>
        </w:tc>
        <w:tc>
          <w:tcPr>
            <w:tcW w:w="20" w:type="dxa"/>
            <w:vAlign w:val="bottom"/>
          </w:tcPr>
          <w:p>
            <w:pPr>
              <w:spacing w:after="0"/>
              <w:rPr>
                <w:sz w:val="23"/>
                <w:szCs w:val="23"/>
                <w:color w:val="auto"/>
              </w:rPr>
            </w:pPr>
          </w:p>
        </w:tc>
        <w:tc>
          <w:tcPr>
            <w:tcW w:w="4980" w:type="dxa"/>
            <w:vAlign w:val="bottom"/>
            <w:gridSpan w:val="14"/>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101.DEF</w:t>
            </w:r>
          </w:p>
        </w:tc>
        <w:tc>
          <w:tcPr>
            <w:tcW w:w="20" w:type="dxa"/>
            <w:vAlign w:val="bottom"/>
          </w:tcPr>
          <w:p>
            <w:pPr>
              <w:spacing w:after="0"/>
              <w:rPr>
                <w:sz w:val="23"/>
                <w:szCs w:val="23"/>
                <w:color w:val="auto"/>
              </w:rPr>
            </w:pPr>
          </w:p>
        </w:tc>
        <w:tc>
          <w:tcPr>
            <w:tcW w:w="4980" w:type="dxa"/>
            <w:vAlign w:val="bottom"/>
            <w:gridSpan w:val="14"/>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40"/>
        <w:spacing w:after="0"/>
        <w:tabs>
          <w:tab w:leader="none" w:pos="1100" w:val="left"/>
          <w:tab w:leader="none" w:pos="8040" w:val="left"/>
          <w:tab w:leader="none" w:pos="8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 2017</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OHN</w:t>
      </w:r>
      <w:r>
        <w:rPr>
          <w:rFonts w:ascii="Arial" w:cs="Arial" w:eastAsia="Arial" w:hAnsi="Arial"/>
          <w:sz w:val="17"/>
          <w:szCs w:val="17"/>
          <w:color w:val="auto"/>
        </w:rPr>
        <w:t xml:space="preserve"> D. K</w:t>
      </w:r>
      <w:r>
        <w:rPr>
          <w:rFonts w:ascii="Arial" w:cs="Arial" w:eastAsia="Arial" w:hAnsi="Arial"/>
          <w:sz w:val="13"/>
          <w:szCs w:val="13"/>
          <w:color w:val="auto"/>
        </w:rPr>
        <w:t>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31750</wp:posOffset>
            </wp:positionV>
            <wp:extent cx="15265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57"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John D. Kelly</w:t>
      </w:r>
    </w:p>
    <w:p>
      <w:pPr>
        <w:spacing w:after="0" w:line="6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Financial Officer and Treasurer</w:t>
      </w:r>
    </w:p>
    <w:p>
      <w:pPr>
        <w:spacing w:after="0" w:line="200" w:lineRule="exact"/>
        <w:rPr>
          <w:sz w:val="20"/>
          <w:szCs w:val="20"/>
          <w:color w:val="auto"/>
        </w:rPr>
      </w:pPr>
    </w:p>
    <w:p>
      <w:pPr>
        <w:spacing w:after="0" w:line="2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125" w:right="4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AMENDMENT NO. 2</w:t>
      </w:r>
    </w:p>
    <w:p>
      <w:pPr>
        <w:spacing w:after="0" w:line="216" w:lineRule="exact"/>
        <w:rPr>
          <w:sz w:val="20"/>
          <w:szCs w:val="20"/>
          <w:color w:val="auto"/>
        </w:rPr>
      </w:pPr>
    </w:p>
    <w:p>
      <w:pPr>
        <w:ind w:right="20" w:firstLine="648"/>
        <w:spacing w:after="0" w:line="246" w:lineRule="auto"/>
        <w:rPr>
          <w:sz w:val="20"/>
          <w:szCs w:val="20"/>
          <w:color w:val="auto"/>
        </w:rPr>
      </w:pPr>
      <w:r>
        <w:rPr>
          <w:rFonts w:ascii="Arial" w:cs="Arial" w:eastAsia="Arial" w:hAnsi="Arial"/>
          <w:sz w:val="20"/>
          <w:szCs w:val="20"/>
          <w:color w:val="auto"/>
        </w:rPr>
        <w:t>THIS AMENDMENT NO. 2, dated as of October 24, 2017 (this “</w:t>
      </w:r>
      <w:r>
        <w:rPr>
          <w:rFonts w:ascii="Arial" w:cs="Arial" w:eastAsia="Arial" w:hAnsi="Arial"/>
          <w:sz w:val="20"/>
          <w:szCs w:val="20"/>
          <w:u w:val="single" w:color="auto"/>
          <w:color w:val="auto"/>
        </w:rPr>
        <w:t>Amendment</w:t>
      </w:r>
      <w:r>
        <w:rPr>
          <w:rFonts w:ascii="Arial" w:cs="Arial" w:eastAsia="Arial" w:hAnsi="Arial"/>
          <w:sz w:val="20"/>
          <w:szCs w:val="20"/>
          <w:color w:val="auto"/>
        </w:rPr>
        <w:t>”), of the Credit Agreement referenced below is by and among HURON CONSULTING GROUP INC., a Delaware corporation, as Borrower, the Guarantors identified herein, and BANK OF AMERICA, N.A., as Administrative Agent for and on behalf of the Lenders. Capitalized terms used but not otherwise defined herein shall have the meanings provided in the Credit Agreement.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W I T N E S S E T H</w:t>
      </w:r>
    </w:p>
    <w:p>
      <w:pPr>
        <w:spacing w:after="0" w:line="216" w:lineRule="exact"/>
        <w:rPr>
          <w:sz w:val="20"/>
          <w:szCs w:val="20"/>
          <w:color w:val="auto"/>
        </w:rPr>
      </w:pPr>
    </w:p>
    <w:p>
      <w:pPr>
        <w:jc w:val="both"/>
        <w:ind w:right="200" w:firstLine="648"/>
        <w:spacing w:after="0" w:line="246" w:lineRule="auto"/>
        <w:rPr>
          <w:sz w:val="20"/>
          <w:szCs w:val="20"/>
          <w:color w:val="auto"/>
        </w:rPr>
      </w:pPr>
      <w:r>
        <w:rPr>
          <w:rFonts w:ascii="Arial" w:cs="Arial" w:eastAsia="Arial" w:hAnsi="Arial"/>
          <w:sz w:val="20"/>
          <w:szCs w:val="20"/>
          <w:color w:val="auto"/>
        </w:rPr>
        <w:t>WHEREAS, a credit facility has been established in favor of the Borrower pursuant to the terms of that certain Second Amended and Restated Credit Agreement dated as of March 31, 2015 (as amended and modified,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by and among Huron Consulting Group Inc., a Delaware corporation, as Borrower, certain subsidiaries of Huron Consulting Group Inc., as Guarantors, the Lenders identified therein and Bank of America, N.A., as Administrative Agent and Collateral Agent;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Borrower has requested an amendment of the Credit Agreement in certain respects; and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Required Lenders have agreed to the requested amendment on the terms and conditions set forth herein.</w:t>
      </w:r>
    </w:p>
    <w:p>
      <w:pPr>
        <w:spacing w:after="0" w:line="227" w:lineRule="exact"/>
        <w:rPr>
          <w:sz w:val="20"/>
          <w:szCs w:val="20"/>
          <w:color w:val="auto"/>
        </w:rPr>
      </w:pPr>
    </w:p>
    <w:p>
      <w:pPr>
        <w:ind w:right="120" w:firstLine="648"/>
        <w:spacing w:after="0" w:line="287" w:lineRule="auto"/>
        <w:rPr>
          <w:sz w:val="20"/>
          <w:szCs w:val="20"/>
          <w:color w:val="auto"/>
        </w:rPr>
      </w:pPr>
      <w:r>
        <w:rPr>
          <w:rFonts w:ascii="Arial" w:cs="Arial" w:eastAsia="Arial" w:hAnsi="Arial"/>
          <w:sz w:val="19"/>
          <w:szCs w:val="19"/>
          <w:color w:val="auto"/>
        </w:rPr>
        <w:t>NOW, THEREFORE, in consideration of the premises contained herein and for other good and valuable consideration, the receipt and sufficiency of which are hereby acknowledged, the parties hereto, intending to be legally bound hereby, agree as follows:</w:t>
      </w:r>
    </w:p>
    <w:p>
      <w:pPr>
        <w:spacing w:after="0" w:line="14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220" w:type="dxa"/>
            <w:vAlign w:val="bottom"/>
          </w:tcPr>
          <w:p>
            <w:pPr>
              <w:jc w:val="right"/>
              <w:ind w:right="341"/>
              <w:spacing w:after="0"/>
              <w:rPr>
                <w:sz w:val="20"/>
                <w:szCs w:val="20"/>
                <w:color w:val="auto"/>
              </w:rPr>
            </w:pPr>
            <w:r>
              <w:rPr>
                <w:rFonts w:ascii="Arial" w:cs="Arial" w:eastAsia="Arial" w:hAnsi="Arial"/>
                <w:sz w:val="20"/>
                <w:szCs w:val="20"/>
                <w:color w:val="auto"/>
                <w:w w:val="85"/>
              </w:rPr>
              <w:t>Section 1.</w:t>
            </w:r>
          </w:p>
        </w:tc>
        <w:tc>
          <w:tcPr>
            <w:tcW w:w="860" w:type="dxa"/>
            <w:vAlign w:val="bottom"/>
          </w:tcPr>
          <w:p>
            <w:pPr>
              <w:spacing w:after="0"/>
              <w:rPr>
                <w:sz w:val="19"/>
                <w:szCs w:val="19"/>
                <w:color w:val="auto"/>
              </w:rPr>
            </w:pPr>
          </w:p>
        </w:tc>
        <w:tc>
          <w:tcPr>
            <w:tcW w:w="8440" w:type="dxa"/>
            <w:vAlign w:val="bottom"/>
            <w:gridSpan w:val="2"/>
          </w:tcPr>
          <w:p>
            <w:pPr>
              <w:spacing w:after="0"/>
              <w:rPr>
                <w:sz w:val="20"/>
                <w:szCs w:val="20"/>
                <w:color w:val="auto"/>
              </w:rPr>
            </w:pPr>
            <w:r>
              <w:rPr>
                <w:rFonts w:ascii="Arial" w:cs="Arial" w:eastAsia="Arial" w:hAnsi="Arial"/>
                <w:sz w:val="20"/>
                <w:szCs w:val="20"/>
                <w:color w:val="auto"/>
              </w:rPr>
              <w:t>Amendments.</w:t>
            </w:r>
          </w:p>
        </w:tc>
      </w:tr>
      <w:tr>
        <w:trPr>
          <w:trHeight w:val="20"/>
        </w:trPr>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r>
      <w:tr>
        <w:trPr>
          <w:trHeight w:val="497"/>
        </w:trPr>
        <w:tc>
          <w:tcPr>
            <w:tcW w:w="1220" w:type="dxa"/>
            <w:vAlign w:val="bottom"/>
          </w:tcPr>
          <w:p>
            <w:pPr>
              <w:jc w:val="right"/>
              <w:ind w:right="221"/>
              <w:spacing w:after="0"/>
              <w:rPr>
                <w:sz w:val="20"/>
                <w:szCs w:val="20"/>
                <w:color w:val="auto"/>
              </w:rPr>
            </w:pPr>
            <w:r>
              <w:rPr>
                <w:rFonts w:ascii="Arial" w:cs="Arial" w:eastAsia="Arial" w:hAnsi="Arial"/>
                <w:sz w:val="20"/>
                <w:szCs w:val="20"/>
                <w:color w:val="auto"/>
              </w:rPr>
              <w:t>1.1</w:t>
            </w:r>
          </w:p>
        </w:tc>
        <w:tc>
          <w:tcPr>
            <w:tcW w:w="9300" w:type="dxa"/>
            <w:vAlign w:val="bottom"/>
            <w:gridSpan w:val="3"/>
          </w:tcPr>
          <w:p>
            <w:pPr>
              <w:ind w:left="320"/>
              <w:spacing w:after="0"/>
              <w:rPr>
                <w:sz w:val="20"/>
                <w:szCs w:val="20"/>
                <w:color w:val="auto"/>
              </w:rPr>
            </w:pPr>
            <w:r>
              <w:rPr>
                <w:rFonts w:ascii="Arial" w:cs="Arial" w:eastAsia="Arial" w:hAnsi="Arial"/>
                <w:sz w:val="20"/>
                <w:szCs w:val="20"/>
                <w:color w:val="auto"/>
                <w:w w:val="92"/>
              </w:rPr>
              <w:t>In Section 1.01 (Defined Terms) the definition of “Consolidated EBITDA” is amended by inserting the following</w:t>
            </w:r>
          </w:p>
        </w:tc>
      </w:tr>
    </w:tbl>
    <w:p>
      <w:pPr>
        <w:spacing w:after="0" w:line="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immediately after the instance of “Consolidated Net Income” in clause (b) thereof:</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“and without duplication of any amounts added back in the calculation thereof”</w:t>
      </w:r>
    </w:p>
    <w:p>
      <w:pPr>
        <w:spacing w:after="0" w:line="229" w:lineRule="exact"/>
        <w:rPr>
          <w:sz w:val="20"/>
          <w:szCs w:val="20"/>
          <w:color w:val="auto"/>
        </w:rPr>
      </w:pPr>
    </w:p>
    <w:p>
      <w:pPr>
        <w:ind w:left="1300"/>
        <w:spacing w:after="0"/>
        <w:tabs>
          <w:tab w:leader="none" w:pos="218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color w:val="auto"/>
        </w:rPr>
        <w:t>In Section 1.01 (Defined Terms) the definition of “Consolidated Net Income” is amended to read as follows:</w:t>
      </w:r>
    </w:p>
    <w:p>
      <w:pPr>
        <w:spacing w:after="0" w:line="229" w:lineRule="exact"/>
        <w:rPr>
          <w:sz w:val="20"/>
          <w:szCs w:val="20"/>
          <w:color w:val="auto"/>
        </w:rPr>
      </w:pPr>
    </w:p>
    <w:p>
      <w:pPr>
        <w:ind w:left="660" w:right="20"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Income</w:t>
      </w:r>
      <w:r>
        <w:rPr>
          <w:rFonts w:ascii="Arial" w:cs="Arial" w:eastAsia="Arial" w:hAnsi="Arial"/>
          <w:sz w:val="19"/>
          <w:szCs w:val="19"/>
          <w:color w:val="auto"/>
        </w:rPr>
        <w:t>” means, for any period for the Borrower and its Subsidiaries, net income (or loss) determined on a consolidated basis in accordance with GAAP, but excluding, without duplication, any non-cash goodwill impairment charge and non-cash extraordinary gains or losses and related tax effects thereon. Except as otherwise expressly provided, the applicable period shall be the four consecutive fiscal quarters ending as of the date of determination.</w:t>
      </w:r>
    </w:p>
    <w:p>
      <w:pPr>
        <w:spacing w:after="0" w:line="190" w:lineRule="exact"/>
        <w:rPr>
          <w:sz w:val="20"/>
          <w:szCs w:val="20"/>
          <w:color w:val="auto"/>
        </w:rPr>
      </w:pPr>
    </w:p>
    <w:p>
      <w:pPr>
        <w:ind w:right="80" w:firstLine="648"/>
        <w:spacing w:after="0" w:line="273"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Representations and Warranties, No Default</w:t>
      </w:r>
      <w:r>
        <w:rPr>
          <w:rFonts w:ascii="Arial" w:cs="Arial" w:eastAsia="Arial" w:hAnsi="Arial"/>
          <w:sz w:val="20"/>
          <w:szCs w:val="20"/>
          <w:color w:val="auto"/>
        </w:rPr>
        <w:t>. Each of the Loan Parties hereby represents and warrants that as of the effective date of this Amendment, (i) no Default or Event of Default exists and is continuing, and (ii) all representations and warranties contained in the Credit Agreement are true and correct in all material respects on and as of the date hereof, as though made on and as of the date hereof, except to the extent that such representations and warranties specifically refer to an earlier date, in which case they were true and correct in all material respects as of such earlier date.</w:t>
      </w:r>
    </w:p>
    <w:p>
      <w:pPr>
        <w:spacing w:after="0" w:line="191" w:lineRule="exact"/>
        <w:rPr>
          <w:sz w:val="20"/>
          <w:szCs w:val="20"/>
          <w:color w:val="auto"/>
        </w:rPr>
      </w:pPr>
    </w:p>
    <w:p>
      <w:pPr>
        <w:ind w:right="20" w:firstLine="648"/>
        <w:spacing w:after="0" w:line="289"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Effectiveness</w:t>
      </w:r>
      <w:r>
        <w:rPr>
          <w:rFonts w:ascii="Arial" w:cs="Arial" w:eastAsia="Arial" w:hAnsi="Arial"/>
          <w:sz w:val="20"/>
          <w:szCs w:val="20"/>
          <w:color w:val="auto"/>
        </w:rPr>
        <w:t>. This Amendment shall become effective on the date that the following conditions have been satisfied:</w:t>
      </w:r>
    </w:p>
    <w:p>
      <w:pPr>
        <w:spacing w:after="0" w:line="175" w:lineRule="exact"/>
        <w:rPr>
          <w:sz w:val="20"/>
          <w:szCs w:val="20"/>
          <w:color w:val="auto"/>
        </w:rPr>
      </w:pPr>
    </w:p>
    <w:p>
      <w:pPr>
        <w:ind w:left="660" w:right="120" w:firstLine="648"/>
        <w:spacing w:after="0" w:line="289"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Consents</w:t>
      </w:r>
      <w:r>
        <w:rPr>
          <w:rFonts w:ascii="Arial" w:cs="Arial" w:eastAsia="Arial" w:hAnsi="Arial"/>
          <w:sz w:val="20"/>
          <w:szCs w:val="20"/>
          <w:color w:val="auto"/>
        </w:rPr>
        <w:t>. The Administrative Agent shall have received (a) signed consents to this Amendment from the Required Lenders, and (b) executed signature pages hereto from each Loan Party; and</w:t>
      </w:r>
    </w:p>
    <w:p>
      <w:pPr>
        <w:sectPr>
          <w:pgSz w:w="11900" w:h="16838" w:orient="portrait"/>
          <w:cols w:equalWidth="0" w:num="1">
            <w:col w:w="11420"/>
          </w:cols>
          <w:pgMar w:left="240" w:top="121" w:right="239" w:bottom="1440" w:gutter="0" w:footer="0" w:header="0"/>
        </w:sectPr>
      </w:pPr>
    </w:p>
    <w:bookmarkStart w:id="60" w:name="page61"/>
    <w:bookmarkEnd w:id="60"/>
    <w:tbl>
      <w:tblPr>
        <w:tblLayout w:type="fixed"/>
        <w:tblInd w:w="130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720" w:type="dxa"/>
            <w:vAlign w:val="bottom"/>
          </w:tcPr>
          <w:p>
            <w:pPr>
              <w:ind w:left="6780"/>
              <w:spacing w:after="0"/>
              <w:rPr>
                <w:sz w:val="20"/>
                <w:szCs w:val="20"/>
                <w:color w:val="auto"/>
              </w:rPr>
            </w:pPr>
            <w:r>
              <w:rPr>
                <w:rFonts w:ascii="Arial" w:cs="Arial" w:eastAsia="Arial" w:hAnsi="Arial"/>
                <w:sz w:val="18"/>
                <w:szCs w:val="18"/>
                <w:b w:val="1"/>
                <w:bCs w:val="1"/>
                <w:color w:val="auto"/>
                <w:w w:val="91"/>
              </w:rPr>
              <w:t>Exhibit 10.1</w:t>
            </w:r>
          </w:p>
        </w:tc>
      </w:tr>
      <w:tr>
        <w:trPr>
          <w:trHeight w:val="662"/>
        </w:trPr>
        <w:tc>
          <w:tcPr>
            <w:tcW w:w="900" w:type="dxa"/>
            <w:vAlign w:val="bottom"/>
          </w:tcPr>
          <w:p>
            <w:pPr>
              <w:jc w:val="right"/>
              <w:ind w:right="541"/>
              <w:spacing w:after="0"/>
              <w:rPr>
                <w:sz w:val="20"/>
                <w:szCs w:val="20"/>
                <w:color w:val="auto"/>
              </w:rPr>
            </w:pPr>
            <w:r>
              <w:rPr>
                <w:rFonts w:ascii="Arial" w:cs="Arial" w:eastAsia="Arial" w:hAnsi="Arial"/>
                <w:sz w:val="20"/>
                <w:szCs w:val="20"/>
                <w:color w:val="auto"/>
                <w:w w:val="86"/>
              </w:rPr>
              <w:t>3.2</w:t>
            </w:r>
          </w:p>
        </w:tc>
        <w:tc>
          <w:tcPr>
            <w:tcW w:w="9220" w:type="dxa"/>
            <w:vAlign w:val="bottom"/>
            <w:gridSpan w:val="2"/>
          </w:tcPr>
          <w:p>
            <w:pPr>
              <w:spacing w:after="0"/>
              <w:rPr>
                <w:sz w:val="20"/>
                <w:szCs w:val="20"/>
                <w:color w:val="auto"/>
              </w:rPr>
            </w:pPr>
            <w:r>
              <w:rPr>
                <w:rFonts w:ascii="Arial" w:cs="Arial" w:eastAsia="Arial" w:hAnsi="Arial"/>
                <w:sz w:val="20"/>
                <w:szCs w:val="20"/>
                <w:color w:val="auto"/>
                <w:w w:val="92"/>
              </w:rPr>
              <w:t>Fees and Expenses. The Administrative Agent shall have received all fees required to be paid, and all expenses</w:t>
            </w:r>
          </w:p>
        </w:tc>
      </w:tr>
      <w:tr>
        <w:trPr>
          <w:trHeight w:val="20"/>
        </w:trPr>
        <w:tc>
          <w:tcPr>
            <w:tcW w:w="9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r>
    </w:tbl>
    <w:p>
      <w:pPr>
        <w:spacing w:after="0" w:line="3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(including the reasonable fees and expenses of legal counsel), on or before the date hereof.</w:t>
      </w:r>
    </w:p>
    <w:p>
      <w:pPr>
        <w:spacing w:after="0" w:line="243" w:lineRule="exact"/>
        <w:rPr>
          <w:sz w:val="20"/>
          <w:szCs w:val="20"/>
          <w:color w:val="auto"/>
        </w:rPr>
      </w:pPr>
    </w:p>
    <w:p>
      <w:pPr>
        <w:ind w:right="180" w:firstLine="648"/>
        <w:spacing w:after="0" w:line="274"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Guarantor Acknowledgment</w:t>
      </w:r>
      <w:r>
        <w:rPr>
          <w:rFonts w:ascii="Arial" w:cs="Arial" w:eastAsia="Arial" w:hAnsi="Arial"/>
          <w:sz w:val="20"/>
          <w:szCs w:val="20"/>
          <w:color w:val="auto"/>
        </w:rPr>
        <w:t>. Each Guarantor acknowledges and consents to all of the terms and conditions of this Amendment, affirms its Guaranteed Obligations under and in respect of the Loan Documents and agrees that this Amendment and all documents executed in connection herewith do not operate to reduce or discharge any Guarantor’s obligations under the Loan Documents, except as expressly set forth therein.</w:t>
      </w:r>
    </w:p>
    <w:p>
      <w:pPr>
        <w:spacing w:after="0" w:line="192" w:lineRule="exact"/>
        <w:rPr>
          <w:sz w:val="20"/>
          <w:szCs w:val="20"/>
          <w:color w:val="auto"/>
        </w:rPr>
      </w:pPr>
    </w:p>
    <w:p>
      <w:pPr>
        <w:ind w:right="180" w:firstLine="648"/>
        <w:spacing w:after="0" w:line="293"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Counterparts</w:t>
      </w:r>
      <w:r>
        <w:rPr>
          <w:rFonts w:ascii="Arial" w:cs="Arial" w:eastAsia="Arial" w:hAnsi="Arial"/>
          <w:sz w:val="19"/>
          <w:szCs w:val="19"/>
          <w:color w:val="auto"/>
        </w:rPr>
        <w:t>. This Amendment may be executed in any number of counterparts and by different parties hereto on separate counterparts, each of which when so executed and delivered shall be deemed to be an original, but all of which when taken together shall constitute a single instrument. Delivery of an executed counterpart of a signature page of this Amendment by facsimile or any other electronic transmission shall be effective as delivery of a manually executed counterpart hereof.</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40" w:type="dxa"/>
            <w:vAlign w:val="bottom"/>
          </w:tcPr>
          <w:p>
            <w:pPr>
              <w:ind w:left="660"/>
              <w:spacing w:after="0"/>
              <w:rPr>
                <w:sz w:val="20"/>
                <w:szCs w:val="20"/>
                <w:color w:val="auto"/>
              </w:rPr>
            </w:pPr>
            <w:r>
              <w:rPr>
                <w:rFonts w:ascii="Arial" w:cs="Arial" w:eastAsia="Arial" w:hAnsi="Arial"/>
                <w:sz w:val="20"/>
                <w:szCs w:val="20"/>
                <w:color w:val="auto"/>
              </w:rPr>
              <w:t>Section  6.</w:t>
            </w:r>
          </w:p>
        </w:tc>
        <w:tc>
          <w:tcPr>
            <w:tcW w:w="100" w:type="dxa"/>
            <w:vAlign w:val="bottom"/>
          </w:tcPr>
          <w:p>
            <w:pPr>
              <w:spacing w:after="0"/>
              <w:rPr>
                <w:sz w:val="19"/>
                <w:szCs w:val="19"/>
                <w:color w:val="auto"/>
              </w:rPr>
            </w:pPr>
          </w:p>
        </w:tc>
        <w:tc>
          <w:tcPr>
            <w:tcW w:w="8580" w:type="dxa"/>
            <w:vAlign w:val="bottom"/>
            <w:gridSpan w:val="3"/>
          </w:tcPr>
          <w:p>
            <w:pPr>
              <w:spacing w:after="0"/>
              <w:rPr>
                <w:sz w:val="20"/>
                <w:szCs w:val="20"/>
                <w:color w:val="auto"/>
              </w:rPr>
            </w:pPr>
            <w:r>
              <w:rPr>
                <w:rFonts w:ascii="Arial" w:cs="Arial" w:eastAsia="Arial" w:hAnsi="Arial"/>
                <w:sz w:val="20"/>
                <w:szCs w:val="20"/>
                <w:color w:val="auto"/>
              </w:rPr>
              <w:t>Applicable  Law.  THIS  AMENDMENT  SHALL  BE  GOVERNED  BY,  AND  CONSTRUED  IN</w:t>
            </w:r>
          </w:p>
        </w:tc>
      </w:tr>
      <w:tr>
        <w:trPr>
          <w:trHeight w:val="20"/>
        </w:trPr>
        <w:tc>
          <w:tcPr>
            <w:tcW w:w="284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r>
        <w:trPr>
          <w:trHeight w:val="281"/>
        </w:trPr>
        <w:tc>
          <w:tcPr>
            <w:tcW w:w="11420" w:type="dxa"/>
            <w:vAlign w:val="bottom"/>
            <w:gridSpan w:val="5"/>
          </w:tcPr>
          <w:p>
            <w:pPr>
              <w:spacing w:after="0"/>
              <w:rPr>
                <w:sz w:val="20"/>
                <w:szCs w:val="20"/>
                <w:color w:val="auto"/>
              </w:rPr>
            </w:pPr>
            <w:r>
              <w:rPr>
                <w:rFonts w:ascii="Arial" w:cs="Arial" w:eastAsia="Arial" w:hAnsi="Arial"/>
                <w:sz w:val="20"/>
                <w:szCs w:val="20"/>
                <w:color w:val="auto"/>
              </w:rPr>
              <w:t>ACCORDANCE WITH, THE LAWS OF THE STATE OF ILLINOIS.</w:t>
            </w:r>
          </w:p>
        </w:tc>
      </w:tr>
      <w:tr>
        <w:trPr>
          <w:trHeight w:val="428"/>
        </w:trPr>
        <w:tc>
          <w:tcPr>
            <w:tcW w:w="2740" w:type="dxa"/>
            <w:vAlign w:val="bottom"/>
          </w:tcPr>
          <w:p>
            <w:pPr>
              <w:ind w:left="660"/>
              <w:spacing w:after="0"/>
              <w:rPr>
                <w:sz w:val="20"/>
                <w:szCs w:val="20"/>
                <w:color w:val="auto"/>
              </w:rPr>
            </w:pPr>
            <w:r>
              <w:rPr>
                <w:rFonts w:ascii="Arial" w:cs="Arial" w:eastAsia="Arial" w:hAnsi="Arial"/>
                <w:sz w:val="20"/>
                <w:szCs w:val="20"/>
                <w:color w:val="auto"/>
              </w:rPr>
              <w:t>Section 7.</w:t>
            </w:r>
          </w:p>
        </w:tc>
        <w:tc>
          <w:tcPr>
            <w:tcW w:w="8680" w:type="dxa"/>
            <w:vAlign w:val="bottom"/>
            <w:gridSpan w:val="4"/>
          </w:tcPr>
          <w:p>
            <w:pPr>
              <w:spacing w:after="0"/>
              <w:rPr>
                <w:sz w:val="20"/>
                <w:szCs w:val="20"/>
                <w:color w:val="auto"/>
              </w:rPr>
            </w:pPr>
            <w:r>
              <w:rPr>
                <w:rFonts w:ascii="Arial" w:cs="Arial" w:eastAsia="Arial" w:hAnsi="Arial"/>
                <w:sz w:val="20"/>
                <w:szCs w:val="20"/>
                <w:color w:val="auto"/>
                <w:w w:val="93"/>
              </w:rPr>
              <w:t>Expenses. The Borrower agrees to pay all reasonable costs and expenses of the Administrative Agent in</w:t>
            </w:r>
          </w:p>
        </w:tc>
      </w:tr>
      <w:tr>
        <w:trPr>
          <w:trHeight w:val="20"/>
        </w:trPr>
        <w:tc>
          <w:tcPr>
            <w:tcW w:w="2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bl>
    <w:p>
      <w:pPr>
        <w:spacing w:after="0" w:line="37" w:lineRule="exact"/>
        <w:rPr>
          <w:sz w:val="20"/>
          <w:szCs w:val="20"/>
          <w:color w:val="auto"/>
        </w:rPr>
      </w:pPr>
    </w:p>
    <w:p>
      <w:pPr>
        <w:ind w:right="80"/>
        <w:spacing w:after="0" w:line="289" w:lineRule="auto"/>
        <w:rPr>
          <w:sz w:val="20"/>
          <w:szCs w:val="20"/>
          <w:color w:val="auto"/>
        </w:rPr>
      </w:pPr>
      <w:r>
        <w:rPr>
          <w:rFonts w:ascii="Arial" w:cs="Arial" w:eastAsia="Arial" w:hAnsi="Arial"/>
          <w:sz w:val="20"/>
          <w:szCs w:val="20"/>
          <w:color w:val="auto"/>
        </w:rPr>
        <w:t>connection with the preparation, execution and delivery of this Amendment, including the reasonable fees and expenses of Moore &amp; Van Allen PLLC.</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40" w:type="dxa"/>
            <w:vAlign w:val="bottom"/>
          </w:tcPr>
          <w:p>
            <w:pPr>
              <w:ind w:left="660"/>
              <w:spacing w:after="0"/>
              <w:rPr>
                <w:sz w:val="20"/>
                <w:szCs w:val="20"/>
                <w:color w:val="auto"/>
              </w:rPr>
            </w:pPr>
            <w:r>
              <w:rPr>
                <w:rFonts w:ascii="Arial" w:cs="Arial" w:eastAsia="Arial" w:hAnsi="Arial"/>
                <w:sz w:val="20"/>
                <w:szCs w:val="20"/>
                <w:color w:val="auto"/>
              </w:rPr>
              <w:t>Section 8.</w:t>
            </w:r>
          </w:p>
        </w:tc>
        <w:tc>
          <w:tcPr>
            <w:tcW w:w="8420" w:type="dxa"/>
            <w:vAlign w:val="bottom"/>
            <w:gridSpan w:val="3"/>
          </w:tcPr>
          <w:p>
            <w:pPr>
              <w:spacing w:after="0"/>
              <w:rPr>
                <w:sz w:val="20"/>
                <w:szCs w:val="20"/>
                <w:color w:val="auto"/>
              </w:rPr>
            </w:pPr>
            <w:r>
              <w:rPr>
                <w:rFonts w:ascii="Arial" w:cs="Arial" w:eastAsia="Arial" w:hAnsi="Arial"/>
                <w:sz w:val="20"/>
                <w:szCs w:val="20"/>
                <w:color w:val="auto"/>
                <w:w w:val="95"/>
              </w:rPr>
              <w:t>Headings. The headings of this Amendment are for purposes of reference only and shall not limit or</w:t>
            </w:r>
          </w:p>
        </w:tc>
      </w:tr>
      <w:tr>
        <w:trPr>
          <w:trHeight w:val="20"/>
        </w:trPr>
        <w:tc>
          <w:tcPr>
            <w:tcW w:w="27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281"/>
        </w:trPr>
        <w:tc>
          <w:tcPr>
            <w:tcW w:w="11160" w:type="dxa"/>
            <w:vAlign w:val="bottom"/>
            <w:gridSpan w:val="4"/>
          </w:tcPr>
          <w:p>
            <w:pPr>
              <w:spacing w:after="0"/>
              <w:rPr>
                <w:sz w:val="20"/>
                <w:szCs w:val="20"/>
                <w:color w:val="auto"/>
              </w:rPr>
            </w:pPr>
            <w:r>
              <w:rPr>
                <w:rFonts w:ascii="Arial" w:cs="Arial" w:eastAsia="Arial" w:hAnsi="Arial"/>
                <w:sz w:val="20"/>
                <w:szCs w:val="20"/>
                <w:color w:val="auto"/>
              </w:rPr>
              <w:t>otherwise affect the meaning hereof.</w:t>
            </w:r>
          </w:p>
        </w:tc>
      </w:tr>
      <w:tr>
        <w:trPr>
          <w:trHeight w:val="428"/>
        </w:trPr>
        <w:tc>
          <w:tcPr>
            <w:tcW w:w="2740" w:type="dxa"/>
            <w:vAlign w:val="bottom"/>
          </w:tcPr>
          <w:p>
            <w:pPr>
              <w:ind w:left="660"/>
              <w:spacing w:after="0"/>
              <w:rPr>
                <w:sz w:val="20"/>
                <w:szCs w:val="20"/>
                <w:color w:val="auto"/>
              </w:rPr>
            </w:pPr>
            <w:r>
              <w:rPr>
                <w:rFonts w:ascii="Arial" w:cs="Arial" w:eastAsia="Arial" w:hAnsi="Arial"/>
                <w:sz w:val="20"/>
                <w:szCs w:val="20"/>
                <w:color w:val="auto"/>
              </w:rPr>
              <w:t>Section 9.</w:t>
            </w:r>
          </w:p>
        </w:tc>
        <w:tc>
          <w:tcPr>
            <w:tcW w:w="8420" w:type="dxa"/>
            <w:vAlign w:val="bottom"/>
            <w:gridSpan w:val="3"/>
          </w:tcPr>
          <w:p>
            <w:pPr>
              <w:spacing w:after="0"/>
              <w:rPr>
                <w:sz w:val="20"/>
                <w:szCs w:val="20"/>
                <w:color w:val="auto"/>
              </w:rPr>
            </w:pPr>
            <w:r>
              <w:rPr>
                <w:rFonts w:ascii="Arial" w:cs="Arial" w:eastAsia="Arial" w:hAnsi="Arial"/>
                <w:sz w:val="20"/>
                <w:szCs w:val="20"/>
                <w:color w:val="auto"/>
                <w:w w:val="90"/>
              </w:rPr>
              <w:t>Effect of Amendment. Except as expressly set forth herein, (i) this Amendment shall not by implication or</w:t>
            </w:r>
          </w:p>
        </w:tc>
      </w:tr>
      <w:tr>
        <w:trPr>
          <w:trHeight w:val="20"/>
        </w:trPr>
        <w:tc>
          <w:tcPr>
            <w:tcW w:w="27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bl>
    <w:p>
      <w:pPr>
        <w:spacing w:after="0" w:line="37" w:lineRule="exact"/>
        <w:rPr>
          <w:sz w:val="20"/>
          <w:szCs w:val="20"/>
          <w:color w:val="auto"/>
        </w:rPr>
      </w:pPr>
    </w:p>
    <w:p>
      <w:pPr>
        <w:ind w:right="20"/>
        <w:spacing w:after="0" w:line="302" w:lineRule="auto"/>
        <w:rPr>
          <w:sz w:val="20"/>
          <w:szCs w:val="20"/>
          <w:color w:val="auto"/>
        </w:rPr>
      </w:pPr>
      <w:r>
        <w:rPr>
          <w:rFonts w:ascii="Arial" w:cs="Arial" w:eastAsia="Arial" w:hAnsi="Arial"/>
          <w:sz w:val="18"/>
          <w:szCs w:val="18"/>
          <w:color w:val="auto"/>
        </w:rPr>
        <w:t>otherwise limit, impair, constitute a waiver of or otherwise affect the rights and remedies of the Lenders, the Administrative Agent, any other Agent, the Swing Line Lender or the L/C Issuer, in each case under the Credit Agreement or any other Loan Document, and (ii) shall not alter, modify, amend or in any way affect any of the terms, conditions, obligations, covenants or agreements contained in the Credit Agreement or any other provision of either such agreement or any other Loan Document. Except as expressly set forth herein, each and every term, condition, obligation, covenant and agreement contained in the Credit Agreement or any other Loan Document is hereby ratified and re-affirmed in all respects and shall continue in full force and effect. Each Loan Party reaffirms its obligations under the Loan Documents to which it is party and the validity of the Liens granted by it pursuant to the Collateral Documents. This Amendment shall constitute a Loan Document for purposes of the Credit Agreement and from and after the effective date hereof, all references to the Credit Agreement in any Loan Document and all references in the Credit Agreement to “this Agreement”, “hereunder”, “hereof” or words of like import referring to the Credit Agreement, shall, unless expressly provided otherwise, refer to the Credit Agreement as amended by this Amendment. Each of the Loan Parties hereby consents to this Amendment and confirms that all obligations of such Loan Party under the Loan Documents to which such Loan Party is a party shall continue to apply to the Credit Agreement as amended hereby.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ectPr>
          <w:pgSz w:w="11900" w:h="16838" w:orient="portrait"/>
          <w:cols w:equalWidth="0" w:num="1">
            <w:col w:w="11420"/>
          </w:cols>
          <w:pgMar w:left="240" w:top="121"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IN WITNESS WHEREOF, the parties hereto have caused this Amendment to be duly executed as of the date first above written.</w:t>
      </w:r>
    </w:p>
    <w:p>
      <w:pPr>
        <w:spacing w:after="0" w:line="200" w:lineRule="exact"/>
        <w:rPr>
          <w:sz w:val="20"/>
          <w:szCs w:val="20"/>
          <w:color w:val="auto"/>
        </w:rPr>
      </w:pPr>
    </w:p>
    <w:p>
      <w:pPr>
        <w:spacing w:after="0" w:line="201" w:lineRule="exact"/>
        <w:rPr>
          <w:sz w:val="20"/>
          <w:szCs w:val="20"/>
          <w:color w:val="auto"/>
        </w:rPr>
      </w:pPr>
    </w:p>
    <w:tbl>
      <w:tblPr>
        <w:tblLayout w:type="fixed"/>
        <w:tblInd w:w="160" w:type="dxa"/>
        <w:tblCellMar>
          <w:top w:w="0" w:type="dxa"/>
          <w:left w:w="0" w:type="dxa"/>
          <w:bottom w:w="0" w:type="dxa"/>
          <w:right w:w="0" w:type="dxa"/>
        </w:tblCellMar>
      </w:tblPr>
      <w:tr>
        <w:trPr>
          <w:trHeight w:val="250"/>
        </w:trPr>
        <w:tc>
          <w:tcPr>
            <w:tcW w:w="2080" w:type="dxa"/>
            <w:vAlign w:val="bottom"/>
          </w:tcPr>
          <w:p>
            <w:pPr>
              <w:spacing w:after="0"/>
              <w:rPr>
                <w:sz w:val="20"/>
                <w:szCs w:val="20"/>
                <w:color w:val="auto"/>
              </w:rPr>
            </w:pPr>
            <w:r>
              <w:rPr>
                <w:rFonts w:ascii="Arial" w:cs="Arial" w:eastAsia="Arial" w:hAnsi="Arial"/>
                <w:sz w:val="20"/>
                <w:szCs w:val="20"/>
                <w:color w:val="auto"/>
              </w:rPr>
              <w:t>BORROWER:</w:t>
            </w:r>
          </w:p>
        </w:tc>
        <w:tc>
          <w:tcPr>
            <w:tcW w:w="1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000" w:type="dxa"/>
            <w:vAlign w:val="bottom"/>
          </w:tcPr>
          <w:p>
            <w:pPr>
              <w:spacing w:after="0"/>
              <w:rPr>
                <w:sz w:val="21"/>
                <w:szCs w:val="21"/>
                <w:color w:val="auto"/>
              </w:rPr>
            </w:pPr>
          </w:p>
        </w:tc>
      </w:tr>
      <w:tr>
        <w:trPr>
          <w:trHeight w:val="411"/>
        </w:trPr>
        <w:tc>
          <w:tcPr>
            <w:tcW w:w="2080" w:type="dxa"/>
            <w:vAlign w:val="bottom"/>
          </w:tcPr>
          <w:p>
            <w:pPr>
              <w:spacing w:after="0"/>
              <w:rPr>
                <w:sz w:val="24"/>
                <w:szCs w:val="24"/>
                <w:color w:val="auto"/>
              </w:rPr>
            </w:pPr>
          </w:p>
        </w:tc>
        <w:tc>
          <w:tcPr>
            <w:tcW w:w="7700" w:type="dxa"/>
            <w:vAlign w:val="bottom"/>
            <w:gridSpan w:val="3"/>
          </w:tcPr>
          <w:p>
            <w:pPr>
              <w:ind w:left="680"/>
              <w:spacing w:after="0"/>
              <w:rPr>
                <w:sz w:val="20"/>
                <w:szCs w:val="20"/>
                <w:color w:val="auto"/>
              </w:rPr>
            </w:pPr>
            <w:r>
              <w:rPr>
                <w:rFonts w:ascii="Arial" w:cs="Arial" w:eastAsia="Arial" w:hAnsi="Arial"/>
                <w:sz w:val="20"/>
                <w:szCs w:val="20"/>
                <w:color w:val="auto"/>
              </w:rPr>
              <w:t>HURON CONSULTING GROUP INC.,</w:t>
            </w:r>
          </w:p>
        </w:tc>
      </w:tr>
      <w:tr>
        <w:trPr>
          <w:trHeight w:val="250"/>
        </w:trPr>
        <w:tc>
          <w:tcPr>
            <w:tcW w:w="2080" w:type="dxa"/>
            <w:vAlign w:val="bottom"/>
          </w:tcPr>
          <w:p>
            <w:pPr>
              <w:spacing w:after="0"/>
              <w:rPr>
                <w:sz w:val="21"/>
                <w:szCs w:val="21"/>
                <w:color w:val="auto"/>
              </w:rPr>
            </w:pPr>
          </w:p>
        </w:tc>
        <w:tc>
          <w:tcPr>
            <w:tcW w:w="7700" w:type="dxa"/>
            <w:vAlign w:val="bottom"/>
            <w:gridSpan w:val="3"/>
          </w:tcPr>
          <w:p>
            <w:pPr>
              <w:ind w:left="680"/>
              <w:spacing w:after="0"/>
              <w:rPr>
                <w:sz w:val="20"/>
                <w:szCs w:val="20"/>
                <w:color w:val="auto"/>
              </w:rPr>
            </w:pPr>
            <w:r>
              <w:rPr>
                <w:rFonts w:ascii="Arial" w:cs="Arial" w:eastAsia="Arial" w:hAnsi="Arial"/>
                <w:sz w:val="20"/>
                <w:szCs w:val="20"/>
                <w:color w:val="auto"/>
              </w:rPr>
              <w:t>a Delaware corporation</w:t>
            </w:r>
          </w:p>
        </w:tc>
      </w:tr>
      <w:tr>
        <w:trPr>
          <w:trHeight w:val="401"/>
        </w:trPr>
        <w:tc>
          <w:tcPr>
            <w:tcW w:w="2080" w:type="dxa"/>
            <w:vAlign w:val="bottom"/>
          </w:tcPr>
          <w:p>
            <w:pPr>
              <w:spacing w:after="0"/>
              <w:rPr>
                <w:sz w:val="24"/>
                <w:szCs w:val="24"/>
                <w:color w:val="auto"/>
              </w:rPr>
            </w:pPr>
          </w:p>
        </w:tc>
        <w:tc>
          <w:tcPr>
            <w:tcW w:w="1260" w:type="dxa"/>
            <w:vAlign w:val="bottom"/>
          </w:tcPr>
          <w:p>
            <w:pPr>
              <w:ind w:left="680"/>
              <w:spacing w:after="0"/>
              <w:rPr>
                <w:sz w:val="20"/>
                <w:szCs w:val="20"/>
                <w:color w:val="auto"/>
              </w:rPr>
            </w:pPr>
            <w:r>
              <w:rPr>
                <w:rFonts w:ascii="Arial" w:cs="Arial" w:eastAsia="Arial" w:hAnsi="Arial"/>
                <w:sz w:val="20"/>
                <w:szCs w:val="20"/>
                <w:color w:val="auto"/>
              </w:rPr>
              <w:t>By:</w:t>
            </w:r>
          </w:p>
        </w:tc>
        <w:tc>
          <w:tcPr>
            <w:tcW w:w="14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5"/>
              </w:rPr>
              <w:t>/s/ JOHN KELLY</w:t>
            </w:r>
          </w:p>
        </w:tc>
        <w:tc>
          <w:tcPr>
            <w:tcW w:w="5000" w:type="dxa"/>
            <w:vAlign w:val="bottom"/>
          </w:tcPr>
          <w:p>
            <w:pPr>
              <w:spacing w:after="0"/>
              <w:rPr>
                <w:sz w:val="24"/>
                <w:szCs w:val="24"/>
                <w:color w:val="auto"/>
              </w:rPr>
            </w:pPr>
          </w:p>
        </w:tc>
      </w:tr>
      <w:tr>
        <w:trPr>
          <w:trHeight w:val="233"/>
        </w:trPr>
        <w:tc>
          <w:tcPr>
            <w:tcW w:w="2080" w:type="dxa"/>
            <w:vAlign w:val="bottom"/>
          </w:tcPr>
          <w:p>
            <w:pPr>
              <w:spacing w:after="0"/>
              <w:rPr>
                <w:sz w:val="20"/>
                <w:szCs w:val="20"/>
                <w:color w:val="auto"/>
              </w:rPr>
            </w:pPr>
          </w:p>
        </w:tc>
        <w:tc>
          <w:tcPr>
            <w:tcW w:w="7700" w:type="dxa"/>
            <w:vAlign w:val="bottom"/>
            <w:gridSpan w:val="3"/>
          </w:tcPr>
          <w:p>
            <w:pPr>
              <w:ind w:left="680"/>
              <w:spacing w:after="0"/>
              <w:rPr>
                <w:sz w:val="20"/>
                <w:szCs w:val="20"/>
                <w:color w:val="auto"/>
              </w:rPr>
            </w:pPr>
            <w:r>
              <w:rPr>
                <w:rFonts w:ascii="Arial" w:cs="Arial" w:eastAsia="Arial" w:hAnsi="Arial"/>
                <w:sz w:val="20"/>
                <w:szCs w:val="20"/>
                <w:color w:val="auto"/>
              </w:rPr>
              <w:t>Name: John Kelly</w:t>
            </w:r>
          </w:p>
        </w:tc>
      </w:tr>
      <w:tr>
        <w:trPr>
          <w:trHeight w:val="250"/>
        </w:trPr>
        <w:tc>
          <w:tcPr>
            <w:tcW w:w="2080" w:type="dxa"/>
            <w:vAlign w:val="bottom"/>
          </w:tcPr>
          <w:p>
            <w:pPr>
              <w:spacing w:after="0"/>
              <w:rPr>
                <w:sz w:val="21"/>
                <w:szCs w:val="21"/>
                <w:color w:val="auto"/>
              </w:rPr>
            </w:pPr>
          </w:p>
        </w:tc>
        <w:tc>
          <w:tcPr>
            <w:tcW w:w="7700" w:type="dxa"/>
            <w:vAlign w:val="bottom"/>
            <w:gridSpan w:val="3"/>
          </w:tcPr>
          <w:p>
            <w:pPr>
              <w:ind w:left="680"/>
              <w:spacing w:after="0"/>
              <w:rPr>
                <w:sz w:val="20"/>
                <w:szCs w:val="20"/>
                <w:color w:val="auto"/>
              </w:rPr>
            </w:pPr>
            <w:r>
              <w:rPr>
                <w:rFonts w:ascii="Arial" w:cs="Arial" w:eastAsia="Arial" w:hAnsi="Arial"/>
                <w:sz w:val="20"/>
                <w:szCs w:val="20"/>
                <w:color w:val="auto"/>
              </w:rPr>
              <w:t>Title: EVP, CFO and Treasurer</w:t>
            </w:r>
          </w:p>
        </w:tc>
      </w:tr>
      <w:tr>
        <w:trPr>
          <w:trHeight w:val="492"/>
        </w:trPr>
        <w:tc>
          <w:tcPr>
            <w:tcW w:w="2080" w:type="dxa"/>
            <w:vAlign w:val="bottom"/>
          </w:tcPr>
          <w:p>
            <w:pPr>
              <w:spacing w:after="0"/>
              <w:rPr>
                <w:sz w:val="20"/>
                <w:szCs w:val="20"/>
                <w:color w:val="auto"/>
              </w:rPr>
            </w:pPr>
            <w:r>
              <w:rPr>
                <w:rFonts w:ascii="Arial" w:cs="Arial" w:eastAsia="Arial" w:hAnsi="Arial"/>
                <w:sz w:val="20"/>
                <w:szCs w:val="20"/>
                <w:color w:val="auto"/>
              </w:rPr>
              <w:t>GUARANTORS:</w:t>
            </w:r>
          </w:p>
        </w:tc>
        <w:tc>
          <w:tcPr>
            <w:tcW w:w="7700" w:type="dxa"/>
            <w:vAlign w:val="bottom"/>
            <w:gridSpan w:val="3"/>
          </w:tcPr>
          <w:p>
            <w:pPr>
              <w:ind w:left="680"/>
              <w:spacing w:after="0"/>
              <w:rPr>
                <w:sz w:val="20"/>
                <w:szCs w:val="20"/>
                <w:color w:val="auto"/>
              </w:rPr>
            </w:pPr>
            <w:r>
              <w:rPr>
                <w:rFonts w:ascii="Arial" w:cs="Arial" w:eastAsia="Arial" w:hAnsi="Arial"/>
                <w:sz w:val="20"/>
                <w:szCs w:val="20"/>
                <w:color w:val="auto"/>
              </w:rPr>
              <w:t>HURON CONSULTING GROUP HOLDINGS LLC,</w:t>
            </w:r>
          </w:p>
        </w:tc>
      </w:tr>
      <w:tr>
        <w:trPr>
          <w:trHeight w:val="250"/>
        </w:trPr>
        <w:tc>
          <w:tcPr>
            <w:tcW w:w="2080" w:type="dxa"/>
            <w:vAlign w:val="bottom"/>
          </w:tcPr>
          <w:p>
            <w:pPr>
              <w:spacing w:after="0"/>
              <w:rPr>
                <w:sz w:val="21"/>
                <w:szCs w:val="21"/>
                <w:color w:val="auto"/>
              </w:rPr>
            </w:pPr>
          </w:p>
        </w:tc>
        <w:tc>
          <w:tcPr>
            <w:tcW w:w="7700" w:type="dxa"/>
            <w:vAlign w:val="bottom"/>
            <w:gridSpan w:val="3"/>
          </w:tcPr>
          <w:p>
            <w:pPr>
              <w:ind w:left="680"/>
              <w:spacing w:after="0"/>
              <w:rPr>
                <w:sz w:val="20"/>
                <w:szCs w:val="20"/>
                <w:color w:val="auto"/>
              </w:rPr>
            </w:pPr>
            <w:r>
              <w:rPr>
                <w:rFonts w:ascii="Arial" w:cs="Arial" w:eastAsia="Arial" w:hAnsi="Arial"/>
                <w:sz w:val="20"/>
                <w:szCs w:val="20"/>
                <w:color w:val="auto"/>
              </w:rPr>
              <w:t>a Delaware limited liability company</w:t>
            </w:r>
          </w:p>
        </w:tc>
      </w:tr>
      <w:tr>
        <w:trPr>
          <w:trHeight w:val="401"/>
        </w:trPr>
        <w:tc>
          <w:tcPr>
            <w:tcW w:w="2080" w:type="dxa"/>
            <w:vAlign w:val="bottom"/>
          </w:tcPr>
          <w:p>
            <w:pPr>
              <w:spacing w:after="0"/>
              <w:rPr>
                <w:sz w:val="24"/>
                <w:szCs w:val="24"/>
                <w:color w:val="auto"/>
              </w:rPr>
            </w:pPr>
          </w:p>
        </w:tc>
        <w:tc>
          <w:tcPr>
            <w:tcW w:w="1260" w:type="dxa"/>
            <w:vAlign w:val="bottom"/>
          </w:tcPr>
          <w:p>
            <w:pPr>
              <w:ind w:left="680"/>
              <w:spacing w:after="0"/>
              <w:rPr>
                <w:sz w:val="20"/>
                <w:szCs w:val="20"/>
                <w:color w:val="auto"/>
              </w:rPr>
            </w:pPr>
            <w:r>
              <w:rPr>
                <w:rFonts w:ascii="Arial" w:cs="Arial" w:eastAsia="Arial" w:hAnsi="Arial"/>
                <w:sz w:val="20"/>
                <w:szCs w:val="20"/>
                <w:color w:val="auto"/>
              </w:rPr>
              <w:t>By:</w:t>
            </w:r>
          </w:p>
        </w:tc>
        <w:tc>
          <w:tcPr>
            <w:tcW w:w="14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5"/>
              </w:rPr>
              <w:t>/s/ JOHN KELLY</w:t>
            </w:r>
          </w:p>
        </w:tc>
        <w:tc>
          <w:tcPr>
            <w:tcW w:w="5000" w:type="dxa"/>
            <w:vAlign w:val="bottom"/>
          </w:tcPr>
          <w:p>
            <w:pPr>
              <w:spacing w:after="0"/>
              <w:rPr>
                <w:sz w:val="24"/>
                <w:szCs w:val="24"/>
                <w:color w:val="auto"/>
              </w:rPr>
            </w:pPr>
          </w:p>
        </w:tc>
      </w:tr>
      <w:tr>
        <w:trPr>
          <w:trHeight w:val="233"/>
        </w:trPr>
        <w:tc>
          <w:tcPr>
            <w:tcW w:w="2080" w:type="dxa"/>
            <w:vAlign w:val="bottom"/>
          </w:tcPr>
          <w:p>
            <w:pPr>
              <w:spacing w:after="0"/>
              <w:rPr>
                <w:sz w:val="20"/>
                <w:szCs w:val="20"/>
                <w:color w:val="auto"/>
              </w:rPr>
            </w:pPr>
          </w:p>
        </w:tc>
        <w:tc>
          <w:tcPr>
            <w:tcW w:w="7700" w:type="dxa"/>
            <w:vAlign w:val="bottom"/>
            <w:gridSpan w:val="3"/>
          </w:tcPr>
          <w:p>
            <w:pPr>
              <w:ind w:left="680"/>
              <w:spacing w:after="0"/>
              <w:rPr>
                <w:sz w:val="20"/>
                <w:szCs w:val="20"/>
                <w:color w:val="auto"/>
              </w:rPr>
            </w:pPr>
            <w:r>
              <w:rPr>
                <w:rFonts w:ascii="Arial" w:cs="Arial" w:eastAsia="Arial" w:hAnsi="Arial"/>
                <w:sz w:val="20"/>
                <w:szCs w:val="20"/>
                <w:color w:val="auto"/>
              </w:rPr>
              <w:t>Name: John Kelly</w:t>
            </w:r>
          </w:p>
        </w:tc>
      </w:tr>
      <w:tr>
        <w:trPr>
          <w:trHeight w:val="250"/>
        </w:trPr>
        <w:tc>
          <w:tcPr>
            <w:tcW w:w="2080" w:type="dxa"/>
            <w:vAlign w:val="bottom"/>
          </w:tcPr>
          <w:p>
            <w:pPr>
              <w:spacing w:after="0"/>
              <w:rPr>
                <w:sz w:val="21"/>
                <w:szCs w:val="21"/>
                <w:color w:val="auto"/>
              </w:rPr>
            </w:pPr>
          </w:p>
        </w:tc>
        <w:tc>
          <w:tcPr>
            <w:tcW w:w="7700" w:type="dxa"/>
            <w:vAlign w:val="bottom"/>
            <w:gridSpan w:val="3"/>
          </w:tcPr>
          <w:p>
            <w:pPr>
              <w:ind w:left="680"/>
              <w:spacing w:after="0"/>
              <w:rPr>
                <w:sz w:val="20"/>
                <w:szCs w:val="20"/>
                <w:color w:val="auto"/>
              </w:rPr>
            </w:pPr>
            <w:r>
              <w:rPr>
                <w:rFonts w:ascii="Arial" w:cs="Arial" w:eastAsia="Arial" w:hAnsi="Arial"/>
                <w:sz w:val="20"/>
                <w:szCs w:val="20"/>
                <w:color w:val="auto"/>
              </w:rPr>
              <w:t>Title: EVP, CFO and Treasurer</w:t>
            </w:r>
          </w:p>
        </w:tc>
      </w:tr>
      <w:tr>
        <w:trPr>
          <w:trHeight w:val="492"/>
        </w:trPr>
        <w:tc>
          <w:tcPr>
            <w:tcW w:w="2080" w:type="dxa"/>
            <w:vAlign w:val="bottom"/>
          </w:tcPr>
          <w:p>
            <w:pPr>
              <w:spacing w:after="0"/>
              <w:rPr>
                <w:sz w:val="24"/>
                <w:szCs w:val="24"/>
                <w:color w:val="auto"/>
              </w:rPr>
            </w:pPr>
          </w:p>
        </w:tc>
        <w:tc>
          <w:tcPr>
            <w:tcW w:w="7700" w:type="dxa"/>
            <w:vAlign w:val="bottom"/>
            <w:gridSpan w:val="3"/>
          </w:tcPr>
          <w:p>
            <w:pPr>
              <w:ind w:left="680"/>
              <w:spacing w:after="0"/>
              <w:rPr>
                <w:sz w:val="20"/>
                <w:szCs w:val="20"/>
                <w:color w:val="auto"/>
              </w:rPr>
            </w:pPr>
            <w:r>
              <w:rPr>
                <w:rFonts w:ascii="Arial" w:cs="Arial" w:eastAsia="Arial" w:hAnsi="Arial"/>
                <w:sz w:val="20"/>
                <w:szCs w:val="20"/>
                <w:color w:val="auto"/>
              </w:rPr>
              <w:t>HURON CONSULTING SERVICES LLC,</w:t>
            </w:r>
          </w:p>
        </w:tc>
      </w:tr>
      <w:tr>
        <w:trPr>
          <w:trHeight w:val="250"/>
        </w:trPr>
        <w:tc>
          <w:tcPr>
            <w:tcW w:w="2080" w:type="dxa"/>
            <w:vAlign w:val="bottom"/>
          </w:tcPr>
          <w:p>
            <w:pPr>
              <w:spacing w:after="0"/>
              <w:rPr>
                <w:sz w:val="21"/>
                <w:szCs w:val="21"/>
                <w:color w:val="auto"/>
              </w:rPr>
            </w:pPr>
          </w:p>
        </w:tc>
        <w:tc>
          <w:tcPr>
            <w:tcW w:w="7700" w:type="dxa"/>
            <w:vAlign w:val="bottom"/>
            <w:gridSpan w:val="3"/>
          </w:tcPr>
          <w:p>
            <w:pPr>
              <w:ind w:left="680"/>
              <w:spacing w:after="0"/>
              <w:rPr>
                <w:sz w:val="20"/>
                <w:szCs w:val="20"/>
                <w:color w:val="auto"/>
              </w:rPr>
            </w:pPr>
            <w:r>
              <w:rPr>
                <w:rFonts w:ascii="Arial" w:cs="Arial" w:eastAsia="Arial" w:hAnsi="Arial"/>
                <w:sz w:val="20"/>
                <w:szCs w:val="20"/>
                <w:color w:val="auto"/>
              </w:rPr>
              <w:t>a Delaware limited liability company</w:t>
            </w:r>
          </w:p>
        </w:tc>
      </w:tr>
      <w:tr>
        <w:trPr>
          <w:trHeight w:val="401"/>
        </w:trPr>
        <w:tc>
          <w:tcPr>
            <w:tcW w:w="2080" w:type="dxa"/>
            <w:vAlign w:val="bottom"/>
          </w:tcPr>
          <w:p>
            <w:pPr>
              <w:spacing w:after="0"/>
              <w:rPr>
                <w:sz w:val="24"/>
                <w:szCs w:val="24"/>
                <w:color w:val="auto"/>
              </w:rPr>
            </w:pPr>
          </w:p>
        </w:tc>
        <w:tc>
          <w:tcPr>
            <w:tcW w:w="1260" w:type="dxa"/>
            <w:vAlign w:val="bottom"/>
          </w:tcPr>
          <w:p>
            <w:pPr>
              <w:ind w:left="680"/>
              <w:spacing w:after="0"/>
              <w:rPr>
                <w:sz w:val="20"/>
                <w:szCs w:val="20"/>
                <w:color w:val="auto"/>
              </w:rPr>
            </w:pPr>
            <w:r>
              <w:rPr>
                <w:rFonts w:ascii="Arial" w:cs="Arial" w:eastAsia="Arial" w:hAnsi="Arial"/>
                <w:sz w:val="20"/>
                <w:szCs w:val="20"/>
                <w:color w:val="auto"/>
              </w:rPr>
              <w:t>By:</w:t>
            </w:r>
          </w:p>
        </w:tc>
        <w:tc>
          <w:tcPr>
            <w:tcW w:w="14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5"/>
              </w:rPr>
              <w:t>/s/ JOHN KELLY</w:t>
            </w:r>
          </w:p>
        </w:tc>
        <w:tc>
          <w:tcPr>
            <w:tcW w:w="5000" w:type="dxa"/>
            <w:vAlign w:val="bottom"/>
          </w:tcPr>
          <w:p>
            <w:pPr>
              <w:spacing w:after="0"/>
              <w:rPr>
                <w:sz w:val="24"/>
                <w:szCs w:val="24"/>
                <w:color w:val="auto"/>
              </w:rPr>
            </w:pPr>
          </w:p>
        </w:tc>
      </w:tr>
      <w:tr>
        <w:trPr>
          <w:trHeight w:val="233"/>
        </w:trPr>
        <w:tc>
          <w:tcPr>
            <w:tcW w:w="2080" w:type="dxa"/>
            <w:vAlign w:val="bottom"/>
          </w:tcPr>
          <w:p>
            <w:pPr>
              <w:spacing w:after="0"/>
              <w:rPr>
                <w:sz w:val="20"/>
                <w:szCs w:val="20"/>
                <w:color w:val="auto"/>
              </w:rPr>
            </w:pPr>
          </w:p>
        </w:tc>
        <w:tc>
          <w:tcPr>
            <w:tcW w:w="7700" w:type="dxa"/>
            <w:vAlign w:val="bottom"/>
            <w:gridSpan w:val="3"/>
          </w:tcPr>
          <w:p>
            <w:pPr>
              <w:ind w:left="680"/>
              <w:spacing w:after="0"/>
              <w:rPr>
                <w:sz w:val="20"/>
                <w:szCs w:val="20"/>
                <w:color w:val="auto"/>
              </w:rPr>
            </w:pPr>
            <w:r>
              <w:rPr>
                <w:rFonts w:ascii="Arial" w:cs="Arial" w:eastAsia="Arial" w:hAnsi="Arial"/>
                <w:sz w:val="20"/>
                <w:szCs w:val="20"/>
                <w:color w:val="auto"/>
              </w:rPr>
              <w:t>Name: John Kelly</w:t>
            </w:r>
          </w:p>
        </w:tc>
      </w:tr>
      <w:tr>
        <w:trPr>
          <w:trHeight w:val="250"/>
        </w:trPr>
        <w:tc>
          <w:tcPr>
            <w:tcW w:w="2080" w:type="dxa"/>
            <w:vAlign w:val="bottom"/>
          </w:tcPr>
          <w:p>
            <w:pPr>
              <w:spacing w:after="0"/>
              <w:rPr>
                <w:sz w:val="21"/>
                <w:szCs w:val="21"/>
                <w:color w:val="auto"/>
              </w:rPr>
            </w:pPr>
          </w:p>
        </w:tc>
        <w:tc>
          <w:tcPr>
            <w:tcW w:w="7700" w:type="dxa"/>
            <w:vAlign w:val="bottom"/>
            <w:gridSpan w:val="3"/>
          </w:tcPr>
          <w:p>
            <w:pPr>
              <w:ind w:left="680"/>
              <w:spacing w:after="0"/>
              <w:rPr>
                <w:sz w:val="20"/>
                <w:szCs w:val="20"/>
                <w:color w:val="auto"/>
              </w:rPr>
            </w:pPr>
            <w:r>
              <w:rPr>
                <w:rFonts w:ascii="Arial" w:cs="Arial" w:eastAsia="Arial" w:hAnsi="Arial"/>
                <w:sz w:val="20"/>
                <w:szCs w:val="20"/>
                <w:color w:val="auto"/>
              </w:rPr>
              <w:t>Title: EVP, CFO and Treasurer</w:t>
            </w:r>
          </w:p>
        </w:tc>
      </w:tr>
      <w:tr>
        <w:trPr>
          <w:trHeight w:val="263"/>
        </w:trPr>
        <w:tc>
          <w:tcPr>
            <w:tcW w:w="2080" w:type="dxa"/>
            <w:vAlign w:val="bottom"/>
          </w:tcPr>
          <w:p>
            <w:pPr>
              <w:spacing w:after="0"/>
              <w:rPr>
                <w:sz w:val="22"/>
                <w:szCs w:val="22"/>
                <w:color w:val="auto"/>
              </w:rPr>
            </w:pPr>
          </w:p>
        </w:tc>
        <w:tc>
          <w:tcPr>
            <w:tcW w:w="7700" w:type="dxa"/>
            <w:vAlign w:val="bottom"/>
            <w:gridSpan w:val="3"/>
          </w:tcPr>
          <w:p>
            <w:pPr>
              <w:ind w:left="680"/>
              <w:spacing w:after="0"/>
              <w:rPr>
                <w:sz w:val="20"/>
                <w:szCs w:val="20"/>
                <w:color w:val="auto"/>
              </w:rPr>
            </w:pPr>
            <w:r>
              <w:rPr>
                <w:rFonts w:ascii="Arial" w:cs="Arial" w:eastAsia="Arial" w:hAnsi="Arial"/>
                <w:sz w:val="20"/>
                <w:szCs w:val="20"/>
                <w:color w:val="auto"/>
              </w:rPr>
              <w:t>HURON MANAGEMENT SERVICES LLC,</w:t>
            </w:r>
          </w:p>
        </w:tc>
      </w:tr>
      <w:tr>
        <w:trPr>
          <w:trHeight w:val="230"/>
        </w:trPr>
        <w:tc>
          <w:tcPr>
            <w:tcW w:w="2080" w:type="dxa"/>
            <w:vAlign w:val="bottom"/>
          </w:tcPr>
          <w:p>
            <w:pPr>
              <w:spacing w:after="0"/>
              <w:rPr>
                <w:sz w:val="19"/>
                <w:szCs w:val="19"/>
                <w:color w:val="auto"/>
              </w:rPr>
            </w:pPr>
          </w:p>
        </w:tc>
        <w:tc>
          <w:tcPr>
            <w:tcW w:w="7700" w:type="dxa"/>
            <w:vAlign w:val="bottom"/>
            <w:gridSpan w:val="3"/>
          </w:tcPr>
          <w:p>
            <w:pPr>
              <w:ind w:left="680"/>
              <w:spacing w:after="0"/>
              <w:rPr>
                <w:sz w:val="20"/>
                <w:szCs w:val="20"/>
                <w:color w:val="auto"/>
              </w:rPr>
            </w:pPr>
            <w:r>
              <w:rPr>
                <w:rFonts w:ascii="Arial" w:cs="Arial" w:eastAsia="Arial" w:hAnsi="Arial"/>
                <w:sz w:val="20"/>
                <w:szCs w:val="20"/>
                <w:color w:val="auto"/>
                <w:w w:val="98"/>
              </w:rPr>
              <w:t>formerly known as WELLSPRING MANAGEMENT SERVICES LLC, a Delaware</w:t>
            </w:r>
          </w:p>
        </w:tc>
      </w:tr>
      <w:tr>
        <w:trPr>
          <w:trHeight w:val="250"/>
        </w:trPr>
        <w:tc>
          <w:tcPr>
            <w:tcW w:w="2080" w:type="dxa"/>
            <w:vAlign w:val="bottom"/>
          </w:tcPr>
          <w:p>
            <w:pPr>
              <w:spacing w:after="0"/>
              <w:rPr>
                <w:sz w:val="21"/>
                <w:szCs w:val="21"/>
                <w:color w:val="auto"/>
              </w:rPr>
            </w:pPr>
          </w:p>
        </w:tc>
        <w:tc>
          <w:tcPr>
            <w:tcW w:w="7700" w:type="dxa"/>
            <w:vAlign w:val="bottom"/>
            <w:gridSpan w:val="3"/>
          </w:tcPr>
          <w:p>
            <w:pPr>
              <w:ind w:left="680"/>
              <w:spacing w:after="0"/>
              <w:rPr>
                <w:sz w:val="20"/>
                <w:szCs w:val="20"/>
                <w:color w:val="auto"/>
              </w:rPr>
            </w:pPr>
            <w:r>
              <w:rPr>
                <w:rFonts w:ascii="Arial" w:cs="Arial" w:eastAsia="Arial" w:hAnsi="Arial"/>
                <w:sz w:val="20"/>
                <w:szCs w:val="20"/>
                <w:color w:val="auto"/>
              </w:rPr>
              <w:t>limited liability company</w:t>
            </w:r>
          </w:p>
        </w:tc>
      </w:tr>
      <w:tr>
        <w:trPr>
          <w:trHeight w:val="401"/>
        </w:trPr>
        <w:tc>
          <w:tcPr>
            <w:tcW w:w="2080" w:type="dxa"/>
            <w:vAlign w:val="bottom"/>
          </w:tcPr>
          <w:p>
            <w:pPr>
              <w:spacing w:after="0"/>
              <w:rPr>
                <w:sz w:val="24"/>
                <w:szCs w:val="24"/>
                <w:color w:val="auto"/>
              </w:rPr>
            </w:pPr>
          </w:p>
        </w:tc>
        <w:tc>
          <w:tcPr>
            <w:tcW w:w="1260" w:type="dxa"/>
            <w:vAlign w:val="bottom"/>
          </w:tcPr>
          <w:p>
            <w:pPr>
              <w:ind w:left="680"/>
              <w:spacing w:after="0"/>
              <w:rPr>
                <w:sz w:val="20"/>
                <w:szCs w:val="20"/>
                <w:color w:val="auto"/>
              </w:rPr>
            </w:pPr>
            <w:r>
              <w:rPr>
                <w:rFonts w:ascii="Arial" w:cs="Arial" w:eastAsia="Arial" w:hAnsi="Arial"/>
                <w:sz w:val="20"/>
                <w:szCs w:val="20"/>
                <w:color w:val="auto"/>
              </w:rPr>
              <w:t>By:</w:t>
            </w:r>
          </w:p>
        </w:tc>
        <w:tc>
          <w:tcPr>
            <w:tcW w:w="14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5"/>
              </w:rPr>
              <w:t>/s/ JOHN KELLY</w:t>
            </w:r>
          </w:p>
        </w:tc>
        <w:tc>
          <w:tcPr>
            <w:tcW w:w="5000" w:type="dxa"/>
            <w:vAlign w:val="bottom"/>
          </w:tcPr>
          <w:p>
            <w:pPr>
              <w:spacing w:after="0"/>
              <w:rPr>
                <w:sz w:val="24"/>
                <w:szCs w:val="24"/>
                <w:color w:val="auto"/>
              </w:rPr>
            </w:pPr>
          </w:p>
        </w:tc>
      </w:tr>
      <w:tr>
        <w:trPr>
          <w:trHeight w:val="233"/>
        </w:trPr>
        <w:tc>
          <w:tcPr>
            <w:tcW w:w="2080" w:type="dxa"/>
            <w:vAlign w:val="bottom"/>
          </w:tcPr>
          <w:p>
            <w:pPr>
              <w:spacing w:after="0"/>
              <w:rPr>
                <w:sz w:val="20"/>
                <w:szCs w:val="20"/>
                <w:color w:val="auto"/>
              </w:rPr>
            </w:pPr>
          </w:p>
        </w:tc>
        <w:tc>
          <w:tcPr>
            <w:tcW w:w="7700" w:type="dxa"/>
            <w:vAlign w:val="bottom"/>
            <w:gridSpan w:val="3"/>
          </w:tcPr>
          <w:p>
            <w:pPr>
              <w:ind w:left="680"/>
              <w:spacing w:after="0"/>
              <w:rPr>
                <w:sz w:val="20"/>
                <w:szCs w:val="20"/>
                <w:color w:val="auto"/>
              </w:rPr>
            </w:pPr>
            <w:r>
              <w:rPr>
                <w:rFonts w:ascii="Arial" w:cs="Arial" w:eastAsia="Arial" w:hAnsi="Arial"/>
                <w:sz w:val="20"/>
                <w:szCs w:val="20"/>
                <w:color w:val="auto"/>
              </w:rPr>
              <w:t>Name: John Kelly</w:t>
            </w:r>
          </w:p>
        </w:tc>
      </w:tr>
      <w:tr>
        <w:trPr>
          <w:trHeight w:val="250"/>
        </w:trPr>
        <w:tc>
          <w:tcPr>
            <w:tcW w:w="2080" w:type="dxa"/>
            <w:vAlign w:val="bottom"/>
          </w:tcPr>
          <w:p>
            <w:pPr>
              <w:spacing w:after="0"/>
              <w:rPr>
                <w:sz w:val="21"/>
                <w:szCs w:val="21"/>
                <w:color w:val="auto"/>
              </w:rPr>
            </w:pPr>
          </w:p>
        </w:tc>
        <w:tc>
          <w:tcPr>
            <w:tcW w:w="7700" w:type="dxa"/>
            <w:vAlign w:val="bottom"/>
            <w:gridSpan w:val="3"/>
          </w:tcPr>
          <w:p>
            <w:pPr>
              <w:ind w:left="680"/>
              <w:spacing w:after="0"/>
              <w:rPr>
                <w:sz w:val="20"/>
                <w:szCs w:val="20"/>
                <w:color w:val="auto"/>
              </w:rPr>
            </w:pPr>
            <w:r>
              <w:rPr>
                <w:rFonts w:ascii="Arial" w:cs="Arial" w:eastAsia="Arial" w:hAnsi="Arial"/>
                <w:sz w:val="20"/>
                <w:szCs w:val="20"/>
                <w:color w:val="auto"/>
              </w:rPr>
              <w:t>Title: EVP, CFO and Treasurer</w:t>
            </w:r>
          </w:p>
        </w:tc>
      </w:tr>
      <w:tr>
        <w:trPr>
          <w:trHeight w:val="263"/>
        </w:trPr>
        <w:tc>
          <w:tcPr>
            <w:tcW w:w="2080" w:type="dxa"/>
            <w:vAlign w:val="bottom"/>
          </w:tcPr>
          <w:p>
            <w:pPr>
              <w:spacing w:after="0"/>
              <w:rPr>
                <w:sz w:val="22"/>
                <w:szCs w:val="22"/>
                <w:color w:val="auto"/>
              </w:rPr>
            </w:pPr>
          </w:p>
        </w:tc>
        <w:tc>
          <w:tcPr>
            <w:tcW w:w="7700" w:type="dxa"/>
            <w:vAlign w:val="bottom"/>
            <w:gridSpan w:val="3"/>
          </w:tcPr>
          <w:p>
            <w:pPr>
              <w:ind w:left="680"/>
              <w:spacing w:after="0"/>
              <w:rPr>
                <w:sz w:val="20"/>
                <w:szCs w:val="20"/>
                <w:color w:val="auto"/>
              </w:rPr>
            </w:pPr>
            <w:r>
              <w:rPr>
                <w:rFonts w:ascii="Arial" w:cs="Arial" w:eastAsia="Arial" w:hAnsi="Arial"/>
                <w:sz w:val="20"/>
                <w:szCs w:val="20"/>
                <w:color w:val="auto"/>
              </w:rPr>
              <w:t>HURON DEMAND LLC,</w:t>
            </w:r>
          </w:p>
        </w:tc>
      </w:tr>
      <w:tr>
        <w:trPr>
          <w:trHeight w:val="250"/>
        </w:trPr>
        <w:tc>
          <w:tcPr>
            <w:tcW w:w="2080" w:type="dxa"/>
            <w:vAlign w:val="bottom"/>
          </w:tcPr>
          <w:p>
            <w:pPr>
              <w:spacing w:after="0"/>
              <w:rPr>
                <w:sz w:val="21"/>
                <w:szCs w:val="21"/>
                <w:color w:val="auto"/>
              </w:rPr>
            </w:pPr>
          </w:p>
        </w:tc>
        <w:tc>
          <w:tcPr>
            <w:tcW w:w="7700" w:type="dxa"/>
            <w:vAlign w:val="bottom"/>
            <w:gridSpan w:val="3"/>
          </w:tcPr>
          <w:p>
            <w:pPr>
              <w:ind w:left="680"/>
              <w:spacing w:after="0"/>
              <w:rPr>
                <w:sz w:val="20"/>
                <w:szCs w:val="20"/>
                <w:color w:val="auto"/>
              </w:rPr>
            </w:pPr>
            <w:r>
              <w:rPr>
                <w:rFonts w:ascii="Arial" w:cs="Arial" w:eastAsia="Arial" w:hAnsi="Arial"/>
                <w:sz w:val="20"/>
                <w:szCs w:val="20"/>
                <w:color w:val="auto"/>
              </w:rPr>
              <w:t>a Delaware limited liability company</w:t>
            </w:r>
          </w:p>
        </w:tc>
      </w:tr>
      <w:tr>
        <w:trPr>
          <w:trHeight w:val="401"/>
        </w:trPr>
        <w:tc>
          <w:tcPr>
            <w:tcW w:w="2080" w:type="dxa"/>
            <w:vAlign w:val="bottom"/>
          </w:tcPr>
          <w:p>
            <w:pPr>
              <w:spacing w:after="0"/>
              <w:rPr>
                <w:sz w:val="24"/>
                <w:szCs w:val="24"/>
                <w:color w:val="auto"/>
              </w:rPr>
            </w:pPr>
          </w:p>
        </w:tc>
        <w:tc>
          <w:tcPr>
            <w:tcW w:w="1260" w:type="dxa"/>
            <w:vAlign w:val="bottom"/>
          </w:tcPr>
          <w:p>
            <w:pPr>
              <w:ind w:left="680"/>
              <w:spacing w:after="0"/>
              <w:rPr>
                <w:sz w:val="20"/>
                <w:szCs w:val="20"/>
                <w:color w:val="auto"/>
              </w:rPr>
            </w:pPr>
            <w:r>
              <w:rPr>
                <w:rFonts w:ascii="Arial" w:cs="Arial" w:eastAsia="Arial" w:hAnsi="Arial"/>
                <w:sz w:val="20"/>
                <w:szCs w:val="20"/>
                <w:color w:val="auto"/>
              </w:rPr>
              <w:t>By:</w:t>
            </w:r>
          </w:p>
        </w:tc>
        <w:tc>
          <w:tcPr>
            <w:tcW w:w="14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5"/>
              </w:rPr>
              <w:t>/s/ JOHN KELLY</w:t>
            </w:r>
          </w:p>
        </w:tc>
        <w:tc>
          <w:tcPr>
            <w:tcW w:w="5000" w:type="dxa"/>
            <w:vAlign w:val="bottom"/>
          </w:tcPr>
          <w:p>
            <w:pPr>
              <w:spacing w:after="0"/>
              <w:rPr>
                <w:sz w:val="24"/>
                <w:szCs w:val="24"/>
                <w:color w:val="auto"/>
              </w:rPr>
            </w:pPr>
          </w:p>
        </w:tc>
      </w:tr>
      <w:tr>
        <w:trPr>
          <w:trHeight w:val="233"/>
        </w:trPr>
        <w:tc>
          <w:tcPr>
            <w:tcW w:w="2080" w:type="dxa"/>
            <w:vAlign w:val="bottom"/>
          </w:tcPr>
          <w:p>
            <w:pPr>
              <w:spacing w:after="0"/>
              <w:rPr>
                <w:sz w:val="20"/>
                <w:szCs w:val="20"/>
                <w:color w:val="auto"/>
              </w:rPr>
            </w:pPr>
          </w:p>
        </w:tc>
        <w:tc>
          <w:tcPr>
            <w:tcW w:w="7700" w:type="dxa"/>
            <w:vAlign w:val="bottom"/>
            <w:gridSpan w:val="3"/>
          </w:tcPr>
          <w:p>
            <w:pPr>
              <w:ind w:left="680"/>
              <w:spacing w:after="0"/>
              <w:rPr>
                <w:sz w:val="20"/>
                <w:szCs w:val="20"/>
                <w:color w:val="auto"/>
              </w:rPr>
            </w:pPr>
            <w:r>
              <w:rPr>
                <w:rFonts w:ascii="Arial" w:cs="Arial" w:eastAsia="Arial" w:hAnsi="Arial"/>
                <w:sz w:val="20"/>
                <w:szCs w:val="20"/>
                <w:color w:val="auto"/>
              </w:rPr>
              <w:t>Name: John Kelly</w:t>
            </w:r>
          </w:p>
        </w:tc>
      </w:tr>
      <w:tr>
        <w:trPr>
          <w:trHeight w:val="250"/>
        </w:trPr>
        <w:tc>
          <w:tcPr>
            <w:tcW w:w="2080" w:type="dxa"/>
            <w:vAlign w:val="bottom"/>
          </w:tcPr>
          <w:p>
            <w:pPr>
              <w:spacing w:after="0"/>
              <w:rPr>
                <w:sz w:val="21"/>
                <w:szCs w:val="21"/>
                <w:color w:val="auto"/>
              </w:rPr>
            </w:pPr>
          </w:p>
        </w:tc>
        <w:tc>
          <w:tcPr>
            <w:tcW w:w="7700" w:type="dxa"/>
            <w:vAlign w:val="bottom"/>
            <w:gridSpan w:val="3"/>
          </w:tcPr>
          <w:p>
            <w:pPr>
              <w:ind w:left="680"/>
              <w:spacing w:after="0"/>
              <w:rPr>
                <w:sz w:val="20"/>
                <w:szCs w:val="20"/>
                <w:color w:val="auto"/>
              </w:rPr>
            </w:pPr>
            <w:r>
              <w:rPr>
                <w:rFonts w:ascii="Arial" w:cs="Arial" w:eastAsia="Arial" w:hAnsi="Arial"/>
                <w:sz w:val="20"/>
                <w:szCs w:val="20"/>
                <w:color w:val="auto"/>
              </w:rPr>
              <w:t>Title: EVP, CFO and Treasurer</w:t>
            </w:r>
          </w:p>
        </w:tc>
      </w:tr>
      <w:tr>
        <w:trPr>
          <w:trHeight w:val="263"/>
        </w:trPr>
        <w:tc>
          <w:tcPr>
            <w:tcW w:w="2080" w:type="dxa"/>
            <w:vAlign w:val="bottom"/>
          </w:tcPr>
          <w:p>
            <w:pPr>
              <w:spacing w:after="0"/>
              <w:rPr>
                <w:sz w:val="22"/>
                <w:szCs w:val="22"/>
                <w:color w:val="auto"/>
              </w:rPr>
            </w:pPr>
          </w:p>
        </w:tc>
        <w:tc>
          <w:tcPr>
            <w:tcW w:w="7700" w:type="dxa"/>
            <w:vAlign w:val="bottom"/>
            <w:gridSpan w:val="3"/>
          </w:tcPr>
          <w:p>
            <w:pPr>
              <w:ind w:left="680"/>
              <w:spacing w:after="0"/>
              <w:rPr>
                <w:sz w:val="20"/>
                <w:szCs w:val="20"/>
                <w:color w:val="auto"/>
              </w:rPr>
            </w:pPr>
            <w:r>
              <w:rPr>
                <w:rFonts w:ascii="Arial" w:cs="Arial" w:eastAsia="Arial" w:hAnsi="Arial"/>
                <w:sz w:val="20"/>
                <w:szCs w:val="20"/>
                <w:color w:val="auto"/>
              </w:rPr>
              <w:t>HURON TECHNOLOGIES INC.,</w:t>
            </w:r>
          </w:p>
        </w:tc>
      </w:tr>
      <w:tr>
        <w:trPr>
          <w:trHeight w:val="250"/>
        </w:trPr>
        <w:tc>
          <w:tcPr>
            <w:tcW w:w="2080" w:type="dxa"/>
            <w:vAlign w:val="bottom"/>
          </w:tcPr>
          <w:p>
            <w:pPr>
              <w:spacing w:after="0"/>
              <w:rPr>
                <w:sz w:val="21"/>
                <w:szCs w:val="21"/>
                <w:color w:val="auto"/>
              </w:rPr>
            </w:pPr>
          </w:p>
        </w:tc>
        <w:tc>
          <w:tcPr>
            <w:tcW w:w="7700" w:type="dxa"/>
            <w:vAlign w:val="bottom"/>
            <w:gridSpan w:val="3"/>
          </w:tcPr>
          <w:p>
            <w:pPr>
              <w:ind w:left="680"/>
              <w:spacing w:after="0"/>
              <w:rPr>
                <w:sz w:val="20"/>
                <w:szCs w:val="20"/>
                <w:color w:val="auto"/>
              </w:rPr>
            </w:pPr>
            <w:r>
              <w:rPr>
                <w:rFonts w:ascii="Arial" w:cs="Arial" w:eastAsia="Arial" w:hAnsi="Arial"/>
                <w:sz w:val="20"/>
                <w:szCs w:val="20"/>
                <w:color w:val="auto"/>
              </w:rPr>
              <w:t>a Delaware corporation</w:t>
            </w:r>
          </w:p>
        </w:tc>
      </w:tr>
      <w:tr>
        <w:trPr>
          <w:trHeight w:val="401"/>
        </w:trPr>
        <w:tc>
          <w:tcPr>
            <w:tcW w:w="2080" w:type="dxa"/>
            <w:vAlign w:val="bottom"/>
          </w:tcPr>
          <w:p>
            <w:pPr>
              <w:spacing w:after="0"/>
              <w:rPr>
                <w:sz w:val="24"/>
                <w:szCs w:val="24"/>
                <w:color w:val="auto"/>
              </w:rPr>
            </w:pPr>
          </w:p>
        </w:tc>
        <w:tc>
          <w:tcPr>
            <w:tcW w:w="1260" w:type="dxa"/>
            <w:vAlign w:val="bottom"/>
          </w:tcPr>
          <w:p>
            <w:pPr>
              <w:ind w:left="680"/>
              <w:spacing w:after="0"/>
              <w:rPr>
                <w:sz w:val="20"/>
                <w:szCs w:val="20"/>
                <w:color w:val="auto"/>
              </w:rPr>
            </w:pPr>
            <w:r>
              <w:rPr>
                <w:rFonts w:ascii="Arial" w:cs="Arial" w:eastAsia="Arial" w:hAnsi="Arial"/>
                <w:sz w:val="20"/>
                <w:szCs w:val="20"/>
                <w:color w:val="auto"/>
              </w:rPr>
              <w:t>By:</w:t>
            </w:r>
          </w:p>
        </w:tc>
        <w:tc>
          <w:tcPr>
            <w:tcW w:w="14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5"/>
              </w:rPr>
              <w:t>/s/ JOHN KELLY</w:t>
            </w:r>
          </w:p>
        </w:tc>
        <w:tc>
          <w:tcPr>
            <w:tcW w:w="5000" w:type="dxa"/>
            <w:vAlign w:val="bottom"/>
          </w:tcPr>
          <w:p>
            <w:pPr>
              <w:spacing w:after="0"/>
              <w:rPr>
                <w:sz w:val="24"/>
                <w:szCs w:val="24"/>
                <w:color w:val="auto"/>
              </w:rPr>
            </w:pPr>
          </w:p>
        </w:tc>
      </w:tr>
    </w:tbl>
    <w:p>
      <w:pPr>
        <w:spacing w:after="0" w:line="10" w:lineRule="exact"/>
        <w:rPr>
          <w:sz w:val="20"/>
          <w:szCs w:val="20"/>
          <w:color w:val="auto"/>
        </w:rPr>
      </w:pPr>
    </w:p>
    <w:p>
      <w:pPr>
        <w:ind w:left="2920"/>
        <w:spacing w:after="0"/>
        <w:rPr>
          <w:sz w:val="20"/>
          <w:szCs w:val="20"/>
          <w:color w:val="auto"/>
        </w:rPr>
      </w:pPr>
      <w:r>
        <w:rPr>
          <w:rFonts w:ascii="Arial" w:cs="Arial" w:eastAsia="Arial" w:hAnsi="Arial"/>
          <w:sz w:val="20"/>
          <w:szCs w:val="20"/>
          <w:color w:val="auto"/>
        </w:rPr>
        <w:t>Name: John Kelly</w:t>
      </w:r>
    </w:p>
    <w:p>
      <w:pPr>
        <w:spacing w:after="0" w:line="16" w:lineRule="exact"/>
        <w:rPr>
          <w:sz w:val="20"/>
          <w:szCs w:val="20"/>
          <w:color w:val="auto"/>
        </w:rPr>
      </w:pPr>
    </w:p>
    <w:p>
      <w:pPr>
        <w:ind w:left="2920"/>
        <w:spacing w:after="0"/>
        <w:rPr>
          <w:sz w:val="20"/>
          <w:szCs w:val="20"/>
          <w:color w:val="auto"/>
        </w:rPr>
      </w:pPr>
      <w:r>
        <w:rPr>
          <w:rFonts w:ascii="Arial" w:cs="Arial" w:eastAsia="Arial" w:hAnsi="Arial"/>
          <w:sz w:val="20"/>
          <w:szCs w:val="20"/>
          <w:color w:val="auto"/>
        </w:rPr>
        <w:t>Title: EVP, CFO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HURON CONSULTING GROUP INC.</w:t>
      </w:r>
    </w:p>
    <w:p>
      <w:pPr>
        <w:sectPr>
          <w:pgSz w:w="11900" w:h="16838" w:orient="portrait"/>
          <w:cols w:equalWidth="0" w:num="1">
            <w:col w:w="10760"/>
          </w:cols>
          <w:pgMar w:left="900" w:top="366" w:right="239" w:bottom="1440" w:gutter="0" w:footer="0" w:header="0"/>
        </w:sectPr>
      </w:pPr>
    </w:p>
    <w:bookmarkStart w:id="62" w:name="page63"/>
    <w:bookmarkEnd w:id="62"/>
    <w:p>
      <w:pPr>
        <w:ind w:left="2380"/>
        <w:spacing w:after="0"/>
        <w:rPr>
          <w:sz w:val="20"/>
          <w:szCs w:val="20"/>
          <w:color w:val="auto"/>
        </w:rPr>
      </w:pPr>
      <w:r>
        <w:rPr>
          <w:rFonts w:ascii="Arial" w:cs="Arial" w:eastAsia="Arial" w:hAnsi="Arial"/>
          <w:sz w:val="20"/>
          <w:szCs w:val="20"/>
          <w:color w:val="auto"/>
        </w:rPr>
        <w:t>STUDER HOLDINGS, INC.,</w:t>
      </w:r>
    </w:p>
    <w:p>
      <w:pPr>
        <w:spacing w:after="0" w:line="16"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a Delaware corporation</w:t>
      </w:r>
    </w:p>
    <w:p>
      <w:pPr>
        <w:spacing w:after="0" w:line="200" w:lineRule="exact"/>
        <w:rPr>
          <w:sz w:val="20"/>
          <w:szCs w:val="20"/>
          <w:color w:val="auto"/>
        </w:rPr>
      </w:pPr>
    </w:p>
    <w:p>
      <w:pPr>
        <w:ind w:left="2380"/>
        <w:spacing w:after="0"/>
        <w:tabs>
          <w:tab w:leader="none" w:pos="29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JOHN KELLY</w:t>
      </w:r>
    </w:p>
    <w:p>
      <w:pPr>
        <w:spacing w:after="0" w:line="15"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John Kelly</w:t>
      </w:r>
    </w:p>
    <w:p>
      <w:pPr>
        <w:ind w:left="2380"/>
        <w:spacing w:after="0"/>
        <w:rPr>
          <w:sz w:val="20"/>
          <w:szCs w:val="20"/>
          <w:color w:val="auto"/>
        </w:rPr>
      </w:pPr>
      <w:r>
        <w:rPr>
          <w:rFonts w:ascii="Arial" w:cs="Arial" w:eastAsia="Arial" w:hAnsi="Arial"/>
          <w:sz w:val="20"/>
          <w:szCs w:val="20"/>
          <w:color w:val="auto"/>
        </w:rPr>
        <w:t>Title: EVP, CFO and Treasurer</w:t>
      </w:r>
    </w:p>
    <w:p>
      <w:pPr>
        <w:spacing w:after="0" w:line="38"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THE STUDER GROUP, L.L.C.,</w:t>
      </w:r>
    </w:p>
    <w:p>
      <w:pPr>
        <w:spacing w:after="0" w:line="16"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a Florida limited liability company</w:t>
      </w:r>
    </w:p>
    <w:p>
      <w:pPr>
        <w:spacing w:after="0" w:line="200" w:lineRule="exact"/>
        <w:rPr>
          <w:sz w:val="20"/>
          <w:szCs w:val="20"/>
          <w:color w:val="auto"/>
        </w:rPr>
      </w:pPr>
    </w:p>
    <w:p>
      <w:pPr>
        <w:ind w:left="2380"/>
        <w:spacing w:after="0"/>
        <w:tabs>
          <w:tab w:leader="none" w:pos="29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JOHN KELLY</w:t>
      </w:r>
    </w:p>
    <w:p>
      <w:pPr>
        <w:spacing w:after="0" w:line="15"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John Kelly</w:t>
      </w:r>
    </w:p>
    <w:p>
      <w:pPr>
        <w:ind w:left="2380"/>
        <w:spacing w:after="0"/>
        <w:rPr>
          <w:sz w:val="20"/>
          <w:szCs w:val="20"/>
          <w:color w:val="auto"/>
        </w:rPr>
      </w:pPr>
      <w:r>
        <w:rPr>
          <w:rFonts w:ascii="Arial" w:cs="Arial" w:eastAsia="Arial" w:hAnsi="Arial"/>
          <w:sz w:val="20"/>
          <w:szCs w:val="20"/>
          <w:color w:val="auto"/>
        </w:rPr>
        <w:t>Title: EVP, CFO and Treasurer</w:t>
      </w:r>
    </w:p>
    <w:p>
      <w:pPr>
        <w:spacing w:after="0" w:line="38"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INNOSIGHT HOLDINGS, LLC,</w:t>
      </w:r>
    </w:p>
    <w:p>
      <w:pPr>
        <w:spacing w:after="0" w:line="16"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ind w:left="2380"/>
        <w:spacing w:after="0"/>
        <w:tabs>
          <w:tab w:leader="none" w:pos="29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JOHN KELLY</w:t>
      </w:r>
    </w:p>
    <w:p>
      <w:pPr>
        <w:spacing w:after="0" w:line="15"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John Kelly</w:t>
      </w:r>
    </w:p>
    <w:p>
      <w:pPr>
        <w:ind w:left="2380"/>
        <w:spacing w:after="0"/>
        <w:rPr>
          <w:sz w:val="20"/>
          <w:szCs w:val="20"/>
          <w:color w:val="auto"/>
        </w:rPr>
      </w:pPr>
      <w:r>
        <w:rPr>
          <w:rFonts w:ascii="Arial" w:cs="Arial" w:eastAsia="Arial" w:hAnsi="Arial"/>
          <w:sz w:val="20"/>
          <w:szCs w:val="20"/>
          <w:color w:val="auto"/>
        </w:rPr>
        <w:t>Title: EVP, CFO and Treasurer</w:t>
      </w:r>
    </w:p>
    <w:p>
      <w:pPr>
        <w:spacing w:after="0" w:line="38"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INNOSIGHT INTERNATIONAL, LLC,</w:t>
      </w:r>
    </w:p>
    <w:p>
      <w:pPr>
        <w:spacing w:after="0" w:line="16"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ind w:left="2380"/>
        <w:spacing w:after="0"/>
        <w:tabs>
          <w:tab w:leader="none" w:pos="29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JOHN KELLY</w:t>
      </w:r>
    </w:p>
    <w:p>
      <w:pPr>
        <w:spacing w:after="0" w:line="15"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John Kelly</w:t>
      </w:r>
    </w:p>
    <w:p>
      <w:pPr>
        <w:ind w:left="2380"/>
        <w:spacing w:after="0"/>
        <w:rPr>
          <w:sz w:val="20"/>
          <w:szCs w:val="20"/>
          <w:color w:val="auto"/>
        </w:rPr>
      </w:pPr>
      <w:r>
        <w:rPr>
          <w:rFonts w:ascii="Arial" w:cs="Arial" w:eastAsia="Arial" w:hAnsi="Arial"/>
          <w:sz w:val="20"/>
          <w:szCs w:val="20"/>
          <w:color w:val="auto"/>
        </w:rPr>
        <w:t>Title: EVP, CFO and Treasurer</w:t>
      </w:r>
    </w:p>
    <w:p>
      <w:pPr>
        <w:spacing w:after="0" w:line="38"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INNOSIGHT CONSULTING, LLC,</w:t>
      </w:r>
    </w:p>
    <w:p>
      <w:pPr>
        <w:spacing w:after="0" w:line="16"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ind w:left="2380"/>
        <w:spacing w:after="0"/>
        <w:tabs>
          <w:tab w:leader="none" w:pos="29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JOHN KELLY</w:t>
      </w:r>
    </w:p>
    <w:p>
      <w:pPr>
        <w:spacing w:after="0" w:line="15"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John Kelly</w:t>
      </w:r>
    </w:p>
    <w:p>
      <w:pPr>
        <w:ind w:left="2380"/>
        <w:spacing w:after="0"/>
        <w:rPr>
          <w:sz w:val="20"/>
          <w:szCs w:val="20"/>
          <w:color w:val="auto"/>
        </w:rPr>
      </w:pPr>
      <w:r>
        <w:rPr>
          <w:rFonts w:ascii="Arial" w:cs="Arial" w:eastAsia="Arial" w:hAnsi="Arial"/>
          <w:sz w:val="20"/>
          <w:szCs w:val="20"/>
          <w:color w:val="auto"/>
        </w:rPr>
        <w:t>Title: EVP, CFO and Treasurer</w:t>
      </w:r>
    </w:p>
    <w:p>
      <w:pPr>
        <w:spacing w:after="0" w:line="38"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HURON AVIATION ONE LLC,</w:t>
      </w:r>
    </w:p>
    <w:p>
      <w:pPr>
        <w:spacing w:after="0" w:line="16"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ind w:left="2380"/>
        <w:spacing w:after="0"/>
        <w:tabs>
          <w:tab w:leader="none" w:pos="29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JOHN KELLY</w:t>
      </w:r>
    </w:p>
    <w:p>
      <w:pPr>
        <w:spacing w:after="0" w:line="15"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John Kelly</w:t>
      </w:r>
    </w:p>
    <w:p>
      <w:pPr>
        <w:ind w:left="2380"/>
        <w:spacing w:after="0"/>
        <w:rPr>
          <w:sz w:val="20"/>
          <w:szCs w:val="20"/>
          <w:color w:val="auto"/>
        </w:rPr>
      </w:pPr>
      <w:r>
        <w:rPr>
          <w:rFonts w:ascii="Arial" w:cs="Arial" w:eastAsia="Arial" w:hAnsi="Arial"/>
          <w:sz w:val="20"/>
          <w:szCs w:val="20"/>
          <w:color w:val="auto"/>
        </w:rPr>
        <w:t>Title: EVP, CFO and Treasurer</w:t>
      </w:r>
    </w:p>
    <w:p>
      <w:pPr>
        <w:spacing w:after="0" w:line="38"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HURON AVIATION TWO LLC,</w:t>
      </w:r>
    </w:p>
    <w:p>
      <w:pPr>
        <w:spacing w:after="0" w:line="16"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ind w:left="2380"/>
        <w:spacing w:after="0"/>
        <w:tabs>
          <w:tab w:leader="none" w:pos="29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JOHN KELLY</w:t>
      </w:r>
    </w:p>
    <w:p>
      <w:pPr>
        <w:spacing w:after="0" w:line="15"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John Kelly</w:t>
      </w:r>
    </w:p>
    <w:p>
      <w:pPr>
        <w:ind w:left="2380"/>
        <w:spacing w:after="0"/>
        <w:rPr>
          <w:sz w:val="20"/>
          <w:szCs w:val="20"/>
          <w:color w:val="auto"/>
        </w:rPr>
      </w:pPr>
      <w:r>
        <w:rPr>
          <w:rFonts w:ascii="Arial" w:cs="Arial" w:eastAsia="Arial" w:hAnsi="Arial"/>
          <w:sz w:val="20"/>
          <w:szCs w:val="20"/>
          <w:color w:val="auto"/>
        </w:rPr>
        <w:t>Title: EVP, CFO and Treasurer</w:t>
      </w: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HURON CONSULTING GROUP INC.</w:t>
      </w:r>
    </w:p>
    <w:p>
      <w:pPr>
        <w:sectPr>
          <w:pgSz w:w="11900" w:h="16838" w:orient="portrait"/>
          <w:cols w:equalWidth="0" w:num="1">
            <w:col w:w="10220"/>
          </w:cols>
          <w:pgMar w:left="1440" w:top="528"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r>
              <w:rPr>
                <w:rFonts w:ascii="Arial" w:cs="Arial" w:eastAsia="Arial" w:hAnsi="Arial"/>
                <w:sz w:val="20"/>
                <w:szCs w:val="20"/>
                <w:color w:val="auto"/>
              </w:rPr>
              <w:t>ADMINISTRATIVE</w:t>
            </w:r>
          </w:p>
        </w:tc>
        <w:tc>
          <w:tcPr>
            <w:tcW w:w="4180" w:type="dxa"/>
            <w:vAlign w:val="bottom"/>
            <w:gridSpan w:val="3"/>
          </w:tcPr>
          <w:p>
            <w:pPr>
              <w:ind w:left="540"/>
              <w:spacing w:after="0"/>
              <w:rPr>
                <w:sz w:val="20"/>
                <w:szCs w:val="20"/>
                <w:color w:val="auto"/>
              </w:rPr>
            </w:pPr>
            <w:r>
              <w:rPr>
                <w:rFonts w:ascii="Arial" w:cs="Arial" w:eastAsia="Arial" w:hAnsi="Arial"/>
                <w:sz w:val="20"/>
                <w:szCs w:val="20"/>
                <w:color w:val="auto"/>
              </w:rPr>
              <w:t>BANK OF AMERICA, N.A.,</w:t>
            </w:r>
          </w:p>
        </w:tc>
      </w:tr>
      <w:tr>
        <w:trPr>
          <w:trHeight w:val="250"/>
        </w:trPr>
        <w:tc>
          <w:tcPr>
            <w:tcW w:w="2220" w:type="dxa"/>
            <w:vAlign w:val="bottom"/>
          </w:tcPr>
          <w:p>
            <w:pPr>
              <w:spacing w:after="0"/>
              <w:rPr>
                <w:sz w:val="20"/>
                <w:szCs w:val="20"/>
                <w:color w:val="auto"/>
              </w:rPr>
            </w:pPr>
            <w:r>
              <w:rPr>
                <w:rFonts w:ascii="Arial" w:cs="Arial" w:eastAsia="Arial" w:hAnsi="Arial"/>
                <w:sz w:val="20"/>
                <w:szCs w:val="20"/>
                <w:color w:val="auto"/>
              </w:rPr>
              <w:t>AGENT:</w:t>
            </w:r>
          </w:p>
        </w:tc>
        <w:tc>
          <w:tcPr>
            <w:tcW w:w="4180" w:type="dxa"/>
            <w:vAlign w:val="bottom"/>
            <w:gridSpan w:val="3"/>
          </w:tcPr>
          <w:p>
            <w:pPr>
              <w:ind w:left="540"/>
              <w:spacing w:after="0"/>
              <w:rPr>
                <w:sz w:val="20"/>
                <w:szCs w:val="20"/>
                <w:color w:val="auto"/>
              </w:rPr>
            </w:pPr>
            <w:r>
              <w:rPr>
                <w:rFonts w:ascii="Arial" w:cs="Arial" w:eastAsia="Arial" w:hAnsi="Arial"/>
                <w:sz w:val="20"/>
                <w:szCs w:val="20"/>
                <w:color w:val="auto"/>
                <w:w w:val="91"/>
              </w:rPr>
              <w:t>as Administrative Agent and Collateral Agent</w:t>
            </w:r>
          </w:p>
        </w:tc>
      </w:tr>
      <w:tr>
        <w:trPr>
          <w:trHeight w:val="415"/>
        </w:trPr>
        <w:tc>
          <w:tcPr>
            <w:tcW w:w="2220" w:type="dxa"/>
            <w:vAlign w:val="bottom"/>
          </w:tcPr>
          <w:p>
            <w:pPr>
              <w:spacing w:after="0"/>
              <w:rPr>
                <w:sz w:val="24"/>
                <w:szCs w:val="24"/>
                <w:color w:val="auto"/>
              </w:rPr>
            </w:pPr>
          </w:p>
        </w:tc>
        <w:tc>
          <w:tcPr>
            <w:tcW w:w="4180" w:type="dxa"/>
            <w:vAlign w:val="bottom"/>
            <w:gridSpan w:val="3"/>
          </w:tcPr>
          <w:p>
            <w:pPr>
              <w:ind w:left="540"/>
              <w:spacing w:after="0"/>
              <w:rPr>
                <w:sz w:val="20"/>
                <w:szCs w:val="20"/>
                <w:color w:val="auto"/>
              </w:rPr>
            </w:pPr>
            <w:r>
              <w:rPr>
                <w:rFonts w:ascii="Arial" w:cs="Arial" w:eastAsia="Arial" w:hAnsi="Arial"/>
                <w:sz w:val="20"/>
                <w:szCs w:val="20"/>
                <w:color w:val="auto"/>
              </w:rPr>
              <w:t>By:   /s/ KYLE D. HARDING</w:t>
            </w:r>
          </w:p>
        </w:tc>
      </w:tr>
      <w:tr>
        <w:trPr>
          <w:trHeight w:val="20"/>
        </w:trPr>
        <w:tc>
          <w:tcPr>
            <w:tcW w:w="2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33"/>
        </w:trPr>
        <w:tc>
          <w:tcPr>
            <w:tcW w:w="2220" w:type="dxa"/>
            <w:vAlign w:val="bottom"/>
          </w:tcPr>
          <w:p>
            <w:pPr>
              <w:spacing w:after="0"/>
              <w:rPr>
                <w:sz w:val="20"/>
                <w:szCs w:val="20"/>
                <w:color w:val="auto"/>
              </w:rPr>
            </w:pPr>
          </w:p>
        </w:tc>
        <w:tc>
          <w:tcPr>
            <w:tcW w:w="4180" w:type="dxa"/>
            <w:vAlign w:val="bottom"/>
            <w:gridSpan w:val="3"/>
          </w:tcPr>
          <w:p>
            <w:pPr>
              <w:ind w:left="540"/>
              <w:spacing w:after="0"/>
              <w:rPr>
                <w:sz w:val="20"/>
                <w:szCs w:val="20"/>
                <w:color w:val="auto"/>
              </w:rPr>
            </w:pPr>
            <w:r>
              <w:rPr>
                <w:rFonts w:ascii="Arial" w:cs="Arial" w:eastAsia="Arial" w:hAnsi="Arial"/>
                <w:sz w:val="20"/>
                <w:szCs w:val="20"/>
                <w:color w:val="auto"/>
              </w:rPr>
              <w:t>Name: Kyle D. Harding</w:t>
            </w:r>
          </w:p>
        </w:tc>
      </w:tr>
      <w:tr>
        <w:trPr>
          <w:trHeight w:val="250"/>
        </w:trPr>
        <w:tc>
          <w:tcPr>
            <w:tcW w:w="2220" w:type="dxa"/>
            <w:vAlign w:val="bottom"/>
          </w:tcPr>
          <w:p>
            <w:pPr>
              <w:spacing w:after="0"/>
              <w:rPr>
                <w:sz w:val="21"/>
                <w:szCs w:val="21"/>
                <w:color w:val="auto"/>
              </w:rPr>
            </w:pPr>
          </w:p>
        </w:tc>
        <w:tc>
          <w:tcPr>
            <w:tcW w:w="4180" w:type="dxa"/>
            <w:vAlign w:val="bottom"/>
            <w:gridSpan w:val="3"/>
          </w:tcPr>
          <w:p>
            <w:pPr>
              <w:ind w:left="540"/>
              <w:spacing w:after="0"/>
              <w:rPr>
                <w:sz w:val="20"/>
                <w:szCs w:val="20"/>
                <w:color w:val="auto"/>
              </w:rPr>
            </w:pPr>
            <w:r>
              <w:rPr>
                <w:rFonts w:ascii="Arial" w:cs="Arial" w:eastAsia="Arial" w:hAnsi="Arial"/>
                <w:sz w:val="20"/>
                <w:szCs w:val="20"/>
                <w:color w:val="auto"/>
              </w:rPr>
              <w:t>Title: Assistant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HURON CONSULTING GROUP INC.</w:t>
      </w:r>
    </w:p>
    <w:p>
      <w:pPr>
        <w:sectPr>
          <w:pgSz w:w="11900" w:h="16838" w:orient="portrait"/>
          <w:cols w:equalWidth="0" w:num="1">
            <w:col w:w="10600"/>
          </w:cols>
          <w:pgMar w:left="1060" w:top="973"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EXECUTIVE OFFICER, PURSUANT TO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James H. Roth, certify that:</w:t>
      </w:r>
    </w:p>
    <w:p>
      <w:pPr>
        <w:spacing w:after="0" w:line="63"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63" w:lineRule="exact"/>
        <w:rPr>
          <w:rFonts w:ascii="Arial" w:cs="Arial" w:eastAsia="Arial" w:hAnsi="Arial"/>
          <w:sz w:val="18"/>
          <w:szCs w:val="18"/>
          <w:color w:val="auto"/>
        </w:rPr>
      </w:pPr>
    </w:p>
    <w:p>
      <w:pPr>
        <w:ind w:left="340" w:right="120" w:hanging="332"/>
        <w:spacing w:after="0" w:line="317"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right="580" w:hanging="332"/>
        <w:spacing w:after="0" w:line="29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60" w:hanging="332"/>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660" w:right="80" w:hanging="328"/>
        <w:spacing w:after="0" w:line="298" w:lineRule="auto"/>
        <w:tabs>
          <w:tab w:leader="none" w:pos="6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120" w:hanging="328"/>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340" w:right="500" w:hanging="332"/>
        <w:spacing w:after="0" w:line="29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460" w:hanging="328"/>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1280" w:val="left"/>
          <w:tab w:leader="none" w:pos="7120" w:val="left"/>
          <w:tab w:leader="none" w:pos="8600" w:val="left"/>
          <w:tab w:leader="none" w:pos="8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JAMES H.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31750</wp:posOffset>
            </wp:positionV>
            <wp:extent cx="12179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57"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James H. Roth</w:t>
      </w:r>
    </w:p>
    <w:p>
      <w:pPr>
        <w:spacing w:after="0" w:line="63"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John D. Kelly, certify that:</w:t>
      </w:r>
    </w:p>
    <w:p>
      <w:pPr>
        <w:spacing w:after="0" w:line="63"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63" w:lineRule="exact"/>
        <w:rPr>
          <w:rFonts w:ascii="Arial" w:cs="Arial" w:eastAsia="Arial" w:hAnsi="Arial"/>
          <w:sz w:val="18"/>
          <w:szCs w:val="18"/>
          <w:color w:val="auto"/>
        </w:rPr>
      </w:pPr>
    </w:p>
    <w:p>
      <w:pPr>
        <w:ind w:left="340" w:right="120" w:hanging="332"/>
        <w:spacing w:after="0" w:line="317"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right="580" w:hanging="332"/>
        <w:spacing w:after="0" w:line="29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60" w:hanging="332"/>
        <w:spacing w:after="0" w:line="264"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660" w:right="80" w:hanging="328"/>
        <w:spacing w:after="0" w:line="298" w:lineRule="auto"/>
        <w:tabs>
          <w:tab w:leader="none" w:pos="6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120" w:hanging="328"/>
        <w:spacing w:after="0" w:line="264"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340" w:right="500" w:hanging="332"/>
        <w:spacing w:after="0" w:line="29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460" w:hanging="328"/>
        <w:spacing w:after="0" w:line="277"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1280" w:val="left"/>
          <w:tab w:leader="none" w:pos="7120" w:val="left"/>
          <w:tab w:leader="none" w:pos="8620" w:val="left"/>
          <w:tab w:leader="none" w:pos="9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JOHN D.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31750</wp:posOffset>
            </wp:positionV>
            <wp:extent cx="12179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57" w:lineRule="exact"/>
        <w:rPr>
          <w:sz w:val="20"/>
          <w:szCs w:val="20"/>
          <w:color w:val="auto"/>
        </w:rPr>
      </w:pPr>
    </w:p>
    <w:p>
      <w:pPr>
        <w:ind w:left="8980"/>
        <w:spacing w:after="0"/>
        <w:rPr>
          <w:sz w:val="20"/>
          <w:szCs w:val="20"/>
          <w:color w:val="auto"/>
        </w:rPr>
      </w:pPr>
      <w:r>
        <w:rPr>
          <w:rFonts w:ascii="Arial" w:cs="Arial" w:eastAsia="Arial" w:hAnsi="Arial"/>
          <w:sz w:val="18"/>
          <w:szCs w:val="18"/>
          <w:color w:val="auto"/>
        </w:rPr>
        <w:t>John D. Kelly</w:t>
      </w:r>
    </w:p>
    <w:p>
      <w:pPr>
        <w:spacing w:after="0" w:line="63"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420"/>
          </w:cols>
          <w:pgMar w:left="240" w:top="580"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CERTIFICATION OF THE CHIEF EXECUTIVE OFFICER, PURSUANT TO 18 U.S.C. SECTION 1350, AS ADOPTED PURSUANT TO SECTION 906 OF THE SARBANES-OXLEY ACT OF 2002</w:t>
      </w:r>
    </w:p>
    <w:p>
      <w:pPr>
        <w:spacing w:after="0" w:line="126" w:lineRule="exact"/>
        <w:rPr>
          <w:sz w:val="20"/>
          <w:szCs w:val="20"/>
          <w:color w:val="auto"/>
        </w:rPr>
      </w:pPr>
    </w:p>
    <w:p>
      <w:pPr>
        <w:ind w:right="80" w:firstLine="486"/>
        <w:spacing w:after="0" w:line="286" w:lineRule="auto"/>
        <w:rPr>
          <w:sz w:val="20"/>
          <w:szCs w:val="20"/>
          <w:color w:val="auto"/>
        </w:rPr>
      </w:pPr>
      <w:r>
        <w:rPr>
          <w:rFonts w:ascii="Arial" w:cs="Arial" w:eastAsia="Arial" w:hAnsi="Arial"/>
          <w:sz w:val="17"/>
          <w:szCs w:val="17"/>
          <w:color w:val="auto"/>
        </w:rPr>
        <w:t>In connection with the Quarterly Report of Huron Consulting Group Inc. (the “Company”) on Form 10-Q for the quarter ended September 30, 2017 as filed with the Securities and Exchange Commission on the date hereof (the “Report”), I, James H. Roth, President and Chief Executive Officer of the Company, hereby certify, pursuant to 18 U.S.C. Section 1350, as adopted pursuant to Section 906 of the Sarbanes-Oxley Act of 2002, that:</w:t>
      </w:r>
    </w:p>
    <w:p>
      <w:pPr>
        <w:spacing w:after="0" w:line="111"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6" w:lineRule="exact"/>
        <w:rPr>
          <w:sz w:val="20"/>
          <w:szCs w:val="20"/>
          <w:color w:val="auto"/>
        </w:rPr>
      </w:pPr>
    </w:p>
    <w:p>
      <w:pPr>
        <w:ind w:left="40"/>
        <w:spacing w:after="0"/>
        <w:tabs>
          <w:tab w:leader="none" w:pos="1280" w:val="left"/>
          <w:tab w:leader="none" w:pos="7120" w:val="left"/>
          <w:tab w:leader="none" w:pos="8700" w:val="left"/>
          <w:tab w:leader="none" w:pos="9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AMES</w:t>
      </w:r>
      <w:r>
        <w:rPr>
          <w:rFonts w:ascii="Arial" w:cs="Arial" w:eastAsia="Arial" w:hAnsi="Arial"/>
          <w:sz w:val="17"/>
          <w:szCs w:val="17"/>
          <w:color w:val="auto"/>
        </w:rPr>
        <w:t xml:space="preserve"> H. R</w:t>
      </w:r>
      <w:r>
        <w:rPr>
          <w:rFonts w:ascii="Arial" w:cs="Arial" w:eastAsia="Arial" w:hAnsi="Arial"/>
          <w:sz w:val="13"/>
          <w:szCs w:val="13"/>
          <w:color w:val="auto"/>
        </w:rPr>
        <w:t>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31750</wp:posOffset>
            </wp:positionV>
            <wp:extent cx="12261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James H. Roth</w:t>
      </w:r>
    </w:p>
    <w:p>
      <w:pPr>
        <w:spacing w:after="0" w:line="63"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President and Chief Executive Officer</w:t>
      </w:r>
    </w:p>
    <w:p>
      <w:pPr>
        <w:spacing w:after="0" w:line="198" w:lineRule="exact"/>
        <w:rPr>
          <w:sz w:val="20"/>
          <w:szCs w:val="20"/>
          <w:color w:val="auto"/>
        </w:rPr>
      </w:pPr>
    </w:p>
    <w:p>
      <w:pPr>
        <w:ind w:right="260" w:firstLine="486"/>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1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p>
      <w:pPr>
        <w:sectPr>
          <w:pgSz w:w="11900" w:h="16838" w:orient="portrait"/>
          <w:cols w:equalWidth="0" w:num="1">
            <w:col w:w="11420"/>
          </w:cols>
          <w:pgMar w:left="240" w:top="580"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126" w:lineRule="exact"/>
        <w:rPr>
          <w:sz w:val="20"/>
          <w:szCs w:val="20"/>
          <w:color w:val="auto"/>
        </w:rPr>
      </w:pPr>
    </w:p>
    <w:p>
      <w:pPr>
        <w:jc w:val="both"/>
        <w:ind w:right="60" w:firstLine="486"/>
        <w:spacing w:after="0" w:line="312" w:lineRule="auto"/>
        <w:rPr>
          <w:sz w:val="20"/>
          <w:szCs w:val="20"/>
          <w:color w:val="auto"/>
        </w:rPr>
      </w:pPr>
      <w:r>
        <w:rPr>
          <w:rFonts w:ascii="Arial" w:cs="Arial" w:eastAsia="Arial" w:hAnsi="Arial"/>
          <w:sz w:val="16"/>
          <w:szCs w:val="16"/>
          <w:color w:val="auto"/>
        </w:rPr>
        <w:t>In connection with the Quarterly Report of Huron Consulting Group Inc. (the “Company”) on Form 10-Q for the quarter ended September 30, 2017 as filed with the Securities and Exchange Commission on the date hereof (the “Report”), I, John D. Kelly, Executive Vice President, Chief Financial Officer and Treasurer of the Company, hereby certify, pursuant to 18 U.S.C. Section 1350, as adopted pursuant to Section 906 of the Sarbanes-Oxley Act of 2002, that:</w:t>
      </w:r>
    </w:p>
    <w:p>
      <w:pPr>
        <w:spacing w:after="0" w:line="93" w:lineRule="exact"/>
        <w:rPr>
          <w:sz w:val="20"/>
          <w:szCs w:val="20"/>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6" w:lineRule="exact"/>
        <w:rPr>
          <w:sz w:val="20"/>
          <w:szCs w:val="20"/>
          <w:color w:val="auto"/>
        </w:rPr>
      </w:pPr>
    </w:p>
    <w:p>
      <w:pPr>
        <w:ind w:left="40"/>
        <w:spacing w:after="0"/>
        <w:tabs>
          <w:tab w:leader="none" w:pos="1280" w:val="left"/>
          <w:tab w:leader="none" w:pos="7120" w:val="left"/>
          <w:tab w:leader="none" w:pos="8720" w:val="left"/>
          <w:tab w:leader="none" w:pos="9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OHN</w:t>
      </w:r>
      <w:r>
        <w:rPr>
          <w:rFonts w:ascii="Arial" w:cs="Arial" w:eastAsia="Arial" w:hAnsi="Arial"/>
          <w:sz w:val="17"/>
          <w:szCs w:val="17"/>
          <w:color w:val="auto"/>
        </w:rPr>
        <w:t xml:space="preserve"> D. K</w:t>
      </w:r>
      <w:r>
        <w:rPr>
          <w:rFonts w:ascii="Arial" w:cs="Arial" w:eastAsia="Arial" w:hAnsi="Arial"/>
          <w:sz w:val="13"/>
          <w:szCs w:val="13"/>
          <w:color w:val="auto"/>
        </w:rPr>
        <w:t>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31750</wp:posOffset>
            </wp:positionV>
            <wp:extent cx="12261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ind w:left="8980"/>
        <w:spacing w:after="0"/>
        <w:rPr>
          <w:sz w:val="20"/>
          <w:szCs w:val="20"/>
          <w:color w:val="auto"/>
        </w:rPr>
      </w:pPr>
      <w:r>
        <w:rPr>
          <w:rFonts w:ascii="Arial" w:cs="Arial" w:eastAsia="Arial" w:hAnsi="Arial"/>
          <w:sz w:val="18"/>
          <w:szCs w:val="18"/>
          <w:color w:val="auto"/>
        </w:rPr>
        <w:t>John D. Kelly</w:t>
      </w:r>
    </w:p>
    <w:p>
      <w:pPr>
        <w:spacing w:after="0" w:line="63"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Chief Financial Officer and Treasurer</w:t>
      </w:r>
    </w:p>
    <w:p>
      <w:pPr>
        <w:spacing w:after="0" w:line="184" w:lineRule="exact"/>
        <w:rPr>
          <w:sz w:val="20"/>
          <w:szCs w:val="20"/>
          <w:color w:val="auto"/>
        </w:rPr>
      </w:pPr>
    </w:p>
    <w:p>
      <w:pPr>
        <w:ind w:right="260" w:firstLine="486"/>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1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lowerRoman"/>
      <w:start w:val="2"/>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4"/>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lowerRoman"/>
      <w:start w:val="2"/>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2019-12-29T03:34:22Z</dcterms:created>
  <dcterms:modified xsi:type="dcterms:W3CDTF">2019-12-29T03:34:22Z</dcterms:modified>
</cp:coreProperties>
</file>