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777875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254"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-175895</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183515</wp:posOffset>
            </wp:positionV>
            <wp:extent cx="1294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880" w:right="780" w:hanging="3845"/>
        <w:spacing w:after="0" w:line="276" w:lineRule="auto"/>
        <w:tabs>
          <w:tab w:leader="none" w:pos="1330" w:val="left"/>
        </w:tabs>
        <w:numPr>
          <w:ilvl w:val="0"/>
          <w:numId w:val="1"/>
        </w:numPr>
        <w:rPr>
          <w:rFonts w:ascii="MS PGothic" w:cs="MS PGothic" w:eastAsia="MS PGothic" w:hAnsi="MS PGothic"/>
          <w:sz w:val="17"/>
          <w:szCs w:val="17"/>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1" w:lineRule="exact"/>
        <w:rPr>
          <w:rFonts w:ascii="MS PGothic" w:cs="MS PGothic" w:eastAsia="MS PGothic" w:hAnsi="MS PGothic"/>
          <w:sz w:val="17"/>
          <w:szCs w:val="17"/>
          <w:color w:val="auto"/>
        </w:rPr>
      </w:pPr>
    </w:p>
    <w:p>
      <w:pPr>
        <w:ind w:left="548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OR</w:t>
      </w:r>
    </w:p>
    <w:p>
      <w:pPr>
        <w:spacing w:after="0" w:line="180" w:lineRule="exact"/>
        <w:rPr>
          <w:sz w:val="24"/>
          <w:szCs w:val="24"/>
          <w:color w:val="auto"/>
        </w:rPr>
      </w:pPr>
    </w:p>
    <w:p>
      <w:pPr>
        <w:ind w:left="4220" w:right="780" w:hanging="4185"/>
        <w:spacing w:after="0" w:line="376" w:lineRule="auto"/>
        <w:tabs>
          <w:tab w:leader="none" w:pos="1325" w:val="left"/>
        </w:tabs>
        <w:numPr>
          <w:ilvl w:val="0"/>
          <w:numId w:val="2"/>
        </w:numPr>
        <w:rPr>
          <w:rFonts w:ascii="MS PGothic" w:cs="MS PGothic" w:eastAsia="MS PGothic" w:hAnsi="MS PGothic"/>
          <w:sz w:val="17"/>
          <w:szCs w:val="17"/>
          <w:color w:val="auto"/>
        </w:rPr>
      </w:pPr>
      <w:r>
        <w:rPr>
          <w:rFonts w:ascii="Arial" w:cs="Arial" w:eastAsia="Arial" w:hAnsi="Arial"/>
          <w:sz w:val="18"/>
          <w:szCs w:val="18"/>
          <w:b w:val="1"/>
          <w:bCs w:val="1"/>
          <w:color w:val="auto"/>
        </w:rPr>
        <w:t>TRANSITION REPORT PURSUANT TO SECTION 13 OR 15(d) OF THE SECURITIES EXCHANGE ACT OF 1934 Commission file number: 000-50976</w:t>
      </w:r>
    </w:p>
    <w:p>
      <w:pPr>
        <w:spacing w:after="0" w:line="15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HURON CONSULTING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-175895</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167640</wp:posOffset>
            </wp:positionV>
            <wp:extent cx="1294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620" w:type="dxa"/>
            <w:vAlign w:val="bottom"/>
          </w:tcPr>
          <w:p>
            <w:pPr>
              <w:jc w:val="center"/>
              <w:ind w:left="739"/>
              <w:spacing w:after="0"/>
              <w:rPr>
                <w:sz w:val="20"/>
                <w:szCs w:val="20"/>
                <w:color w:val="auto"/>
              </w:rPr>
            </w:pPr>
            <w:r>
              <w:rPr>
                <w:rFonts w:ascii="Arial" w:cs="Arial" w:eastAsia="Arial" w:hAnsi="Arial"/>
                <w:sz w:val="18"/>
                <w:szCs w:val="18"/>
                <w:b w:val="1"/>
                <w:bCs w:val="1"/>
                <w:color w:val="auto"/>
                <w:w w:val="91"/>
              </w:rPr>
              <w:t>Delaware</w:t>
            </w:r>
          </w:p>
        </w:tc>
        <w:tc>
          <w:tcPr>
            <w:tcW w:w="6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20" w:type="dxa"/>
            <w:vAlign w:val="bottom"/>
          </w:tcPr>
          <w:p>
            <w:pPr>
              <w:jc w:val="center"/>
              <w:ind w:right="2519"/>
              <w:spacing w:after="0"/>
              <w:rPr>
                <w:sz w:val="20"/>
                <w:szCs w:val="20"/>
                <w:color w:val="auto"/>
              </w:rPr>
            </w:pPr>
            <w:r>
              <w:rPr>
                <w:rFonts w:ascii="Arial" w:cs="Arial" w:eastAsia="Arial" w:hAnsi="Arial"/>
                <w:sz w:val="18"/>
                <w:szCs w:val="18"/>
                <w:b w:val="1"/>
                <w:bCs w:val="1"/>
                <w:color w:val="auto"/>
                <w:w w:val="89"/>
              </w:rPr>
              <w:t>01-0666114</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3620" w:type="dxa"/>
            <w:vAlign w:val="bottom"/>
          </w:tcPr>
          <w:p>
            <w:pPr>
              <w:jc w:val="center"/>
              <w:ind w:left="739"/>
              <w:spacing w:after="0"/>
              <w:rPr>
                <w:sz w:val="20"/>
                <w:szCs w:val="20"/>
                <w:color w:val="auto"/>
              </w:rPr>
            </w:pPr>
            <w:r>
              <w:rPr>
                <w:rFonts w:ascii="Arial" w:cs="Arial" w:eastAsia="Arial" w:hAnsi="Arial"/>
                <w:sz w:val="14"/>
                <w:szCs w:val="14"/>
                <w:b w:val="1"/>
                <w:bCs w:val="1"/>
                <w:color w:val="auto"/>
                <w:w w:val="93"/>
              </w:rPr>
              <w:t>(State or other jurisdiction of</w:t>
            </w:r>
          </w:p>
        </w:tc>
        <w:tc>
          <w:tcPr>
            <w:tcW w:w="6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tcPr>
          <w:p>
            <w:pPr>
              <w:jc w:val="center"/>
              <w:ind w:right="2499"/>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3620" w:type="dxa"/>
            <w:vAlign w:val="bottom"/>
          </w:tcPr>
          <w:p>
            <w:pPr>
              <w:jc w:val="center"/>
              <w:ind w:left="739"/>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89"/>
              </w:rPr>
              <w:t>550 West Van Buren Street</w:t>
            </w:r>
          </w:p>
        </w:tc>
        <w:tc>
          <w:tcPr>
            <w:tcW w:w="4020" w:type="dxa"/>
            <w:vAlign w:val="bottom"/>
          </w:tcPr>
          <w:p>
            <w:pPr>
              <w:jc w:val="center"/>
              <w:ind w:right="2499"/>
              <w:spacing w:after="0"/>
              <w:rPr>
                <w:sz w:val="20"/>
                <w:szCs w:val="20"/>
                <w:color w:val="auto"/>
              </w:rPr>
            </w:pPr>
            <w:r>
              <w:rPr>
                <w:rFonts w:ascii="Arial" w:cs="Arial" w:eastAsia="Arial" w:hAnsi="Arial"/>
                <w:sz w:val="14"/>
                <w:szCs w:val="14"/>
                <w:b w:val="1"/>
                <w:bCs w:val="1"/>
                <w:color w:val="auto"/>
                <w:w w:val="96"/>
              </w:rPr>
              <w:t>Identification Number)</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60" w:type="dxa"/>
            <w:vAlign w:val="bottom"/>
            <w:gridSpan w:val="4"/>
            <w:vMerge w:val="continue"/>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2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9"/>
              </w:rPr>
              <w:t>Chicago, Illinois</w:t>
            </w: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660" w:type="dxa"/>
            <w:vAlign w:val="bottom"/>
            <w:gridSpan w:val="2"/>
          </w:tcPr>
          <w:p>
            <w:pPr>
              <w:jc w:val="right"/>
              <w:ind w:right="717"/>
              <w:spacing w:after="0"/>
              <w:rPr>
                <w:sz w:val="20"/>
                <w:szCs w:val="20"/>
                <w:color w:val="auto"/>
              </w:rPr>
            </w:pPr>
            <w:r>
              <w:rPr>
                <w:rFonts w:ascii="Arial" w:cs="Arial" w:eastAsia="Arial" w:hAnsi="Arial"/>
                <w:sz w:val="18"/>
                <w:szCs w:val="18"/>
                <w:b w:val="1"/>
                <w:bCs w:val="1"/>
                <w:color w:val="auto"/>
              </w:rPr>
              <w:t>60607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5"/>
              </w:rPr>
              <w:t>(Zip Code)</w:t>
            </w:r>
          </w:p>
        </w:tc>
        <w:tc>
          <w:tcPr>
            <w:tcW w:w="4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3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60" w:type="dxa"/>
            <w:vAlign w:val="bottom"/>
            <w:gridSpan w:val="2"/>
          </w:tcPr>
          <w:p>
            <w:pPr>
              <w:jc w:val="right"/>
              <w:ind w:right="377"/>
              <w:spacing w:after="0"/>
              <w:rPr>
                <w:sz w:val="20"/>
                <w:szCs w:val="20"/>
                <w:color w:val="auto"/>
              </w:rPr>
            </w:pPr>
            <w:r>
              <w:rPr>
                <w:rFonts w:ascii="Arial" w:cs="Arial" w:eastAsia="Arial" w:hAnsi="Arial"/>
                <w:sz w:val="18"/>
                <w:szCs w:val="18"/>
                <w:b w:val="1"/>
                <w:bCs w:val="1"/>
                <w:color w:val="auto"/>
              </w:rPr>
              <w:t>(312) 583-8700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980" w:type="dxa"/>
            <w:vAlign w:val="bottom"/>
            <w:gridSpan w:val="2"/>
            <w:vMerge w:val="restart"/>
          </w:tcPr>
          <w:p>
            <w:pPr>
              <w:spacing w:after="0"/>
              <w:rPr>
                <w:sz w:val="20"/>
                <w:szCs w:val="20"/>
                <w:color w:val="auto"/>
              </w:rPr>
            </w:pPr>
            <w:r>
              <w:rPr>
                <w:rFonts w:ascii="Arial" w:cs="Arial" w:eastAsia="Arial" w:hAnsi="Arial"/>
                <w:sz w:val="17"/>
                <w:szCs w:val="17"/>
                <w:color w:val="auto"/>
                <w:w w:val="91"/>
              </w:rPr>
              <w:t>Securities registered pursuant to Section 12(b) of the Act:</w:t>
            </w:r>
          </w:p>
        </w:tc>
        <w:tc>
          <w:tcPr>
            <w:tcW w:w="640" w:type="dxa"/>
            <w:vAlign w:val="bottom"/>
          </w:tcPr>
          <w:p>
            <w:pPr>
              <w:spacing w:after="0"/>
              <w:rPr>
                <w:sz w:val="22"/>
                <w:szCs w:val="22"/>
                <w:color w:val="auto"/>
              </w:rPr>
            </w:pPr>
          </w:p>
        </w:tc>
        <w:tc>
          <w:tcPr>
            <w:tcW w:w="2020" w:type="dxa"/>
            <w:vAlign w:val="bottom"/>
            <w:tcBorders>
              <w:bottom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98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36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60" w:type="dxa"/>
            <w:vAlign w:val="bottom"/>
            <w:tcBorders>
              <w:right w:val="single" w:sz="8" w:color="auto"/>
            </w:tcBorders>
          </w:tcPr>
          <w:p>
            <w:pPr>
              <w:spacing w:after="0"/>
              <w:rPr>
                <w:sz w:val="19"/>
                <w:szCs w:val="19"/>
                <w:color w:val="auto"/>
              </w:rPr>
            </w:pPr>
          </w:p>
        </w:tc>
        <w:tc>
          <w:tcPr>
            <w:tcW w:w="3620" w:type="dxa"/>
            <w:vAlign w:val="bottom"/>
          </w:tcPr>
          <w:p>
            <w:pPr>
              <w:jc w:val="center"/>
              <w:ind w:left="539"/>
              <w:spacing w:after="0"/>
              <w:rPr>
                <w:sz w:val="20"/>
                <w:szCs w:val="20"/>
                <w:color w:val="auto"/>
              </w:rPr>
            </w:pPr>
            <w:r>
              <w:rPr>
                <w:rFonts w:ascii="Arial" w:cs="Arial" w:eastAsia="Arial" w:hAnsi="Arial"/>
                <w:sz w:val="17"/>
                <w:szCs w:val="17"/>
                <w:b w:val="1"/>
                <w:bCs w:val="1"/>
                <w:color w:val="auto"/>
                <w:w w:val="87"/>
              </w:rPr>
              <w:t>Title of each class</w:t>
            </w:r>
          </w:p>
        </w:tc>
        <w:tc>
          <w:tcPr>
            <w:tcW w:w="64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7"/>
                <w:szCs w:val="17"/>
                <w:b w:val="1"/>
                <w:bCs w:val="1"/>
                <w:color w:val="auto"/>
                <w:w w:val="91"/>
              </w:rPr>
              <w:t>Trading Symbol(s)</w:t>
            </w:r>
          </w:p>
        </w:tc>
        <w:tc>
          <w:tcPr>
            <w:tcW w:w="120" w:type="dxa"/>
            <w:vAlign w:val="bottom"/>
          </w:tcPr>
          <w:p>
            <w:pPr>
              <w:spacing w:after="0"/>
              <w:rPr>
                <w:sz w:val="19"/>
                <w:szCs w:val="19"/>
                <w:color w:val="auto"/>
              </w:rPr>
            </w:pPr>
          </w:p>
        </w:tc>
        <w:tc>
          <w:tcPr>
            <w:tcW w:w="4020" w:type="dxa"/>
            <w:vAlign w:val="bottom"/>
            <w:tcBorders>
              <w:right w:val="single" w:sz="8" w:color="auto"/>
            </w:tcBorders>
          </w:tcPr>
          <w:p>
            <w:pPr>
              <w:jc w:val="center"/>
              <w:ind w:right="79"/>
              <w:spacing w:after="0"/>
              <w:rPr>
                <w:sz w:val="20"/>
                <w:szCs w:val="20"/>
                <w:color w:val="auto"/>
              </w:rPr>
            </w:pPr>
            <w:r>
              <w:rPr>
                <w:rFonts w:ascii="Arial" w:cs="Arial" w:eastAsia="Arial" w:hAnsi="Arial"/>
                <w:sz w:val="17"/>
                <w:szCs w:val="17"/>
                <w:b w:val="1"/>
                <w:bCs w:val="1"/>
                <w:color w:val="auto"/>
                <w:w w:val="88"/>
              </w:rPr>
              <w:t>Name of each exchange on which registered</w:t>
            </w:r>
          </w:p>
        </w:tc>
        <w:tc>
          <w:tcPr>
            <w:tcW w:w="0" w:type="dxa"/>
            <w:vAlign w:val="bottom"/>
          </w:tcPr>
          <w:p>
            <w:pPr>
              <w:spacing w:after="0"/>
              <w:rPr>
                <w:sz w:val="1"/>
                <w:szCs w:val="1"/>
                <w:color w:val="auto"/>
              </w:rPr>
            </w:pPr>
          </w:p>
        </w:tc>
      </w:tr>
      <w:tr>
        <w:trPr>
          <w:trHeight w:val="31"/>
        </w:trPr>
        <w:tc>
          <w:tcPr>
            <w:tcW w:w="360" w:type="dxa"/>
            <w:vAlign w:val="bottom"/>
            <w:tcBorders>
              <w:right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60" w:type="dxa"/>
            <w:vAlign w:val="bottom"/>
            <w:tcBorders>
              <w:right w:val="single" w:sz="8" w:color="auto"/>
            </w:tcBorders>
          </w:tcPr>
          <w:p>
            <w:pPr>
              <w:spacing w:after="0"/>
              <w:rPr>
                <w:sz w:val="19"/>
                <w:szCs w:val="19"/>
                <w:color w:val="auto"/>
              </w:rPr>
            </w:pPr>
          </w:p>
        </w:tc>
        <w:tc>
          <w:tcPr>
            <w:tcW w:w="3620" w:type="dxa"/>
            <w:vAlign w:val="bottom"/>
          </w:tcPr>
          <w:p>
            <w:pPr>
              <w:jc w:val="center"/>
              <w:ind w:left="519"/>
              <w:spacing w:after="0"/>
              <w:rPr>
                <w:sz w:val="20"/>
                <w:szCs w:val="20"/>
                <w:color w:val="auto"/>
              </w:rPr>
            </w:pPr>
            <w:r>
              <w:rPr>
                <w:rFonts w:ascii="Arial" w:cs="Arial" w:eastAsia="Arial" w:hAnsi="Arial"/>
                <w:sz w:val="17"/>
                <w:szCs w:val="17"/>
                <w:color w:val="auto"/>
                <w:w w:val="89"/>
              </w:rPr>
              <w:t>Common Stock, par value $0.01 per share</w:t>
            </w:r>
          </w:p>
        </w:tc>
        <w:tc>
          <w:tcPr>
            <w:tcW w:w="64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7"/>
                <w:szCs w:val="17"/>
                <w:color w:val="auto"/>
                <w:w w:val="97"/>
              </w:rPr>
              <w:t>HURN</w:t>
            </w:r>
          </w:p>
        </w:tc>
        <w:tc>
          <w:tcPr>
            <w:tcW w:w="120" w:type="dxa"/>
            <w:vAlign w:val="bottom"/>
          </w:tcPr>
          <w:p>
            <w:pPr>
              <w:spacing w:after="0"/>
              <w:rPr>
                <w:sz w:val="19"/>
                <w:szCs w:val="19"/>
                <w:color w:val="auto"/>
              </w:rPr>
            </w:pPr>
          </w:p>
        </w:tc>
        <w:tc>
          <w:tcPr>
            <w:tcW w:w="4020" w:type="dxa"/>
            <w:vAlign w:val="bottom"/>
            <w:tcBorders>
              <w:right w:val="single" w:sz="8" w:color="auto"/>
            </w:tcBorders>
          </w:tcPr>
          <w:p>
            <w:pPr>
              <w:jc w:val="center"/>
              <w:ind w:right="79"/>
              <w:spacing w:after="0"/>
              <w:rPr>
                <w:sz w:val="20"/>
                <w:szCs w:val="20"/>
                <w:color w:val="auto"/>
              </w:rPr>
            </w:pPr>
            <w:r>
              <w:rPr>
                <w:rFonts w:ascii="Arial" w:cs="Arial" w:eastAsia="Arial" w:hAnsi="Arial"/>
                <w:sz w:val="17"/>
                <w:szCs w:val="17"/>
                <w:color w:val="auto"/>
                <w:w w:val="94"/>
              </w:rPr>
              <w:t>NASDAQ Global Select Market</w:t>
            </w:r>
          </w:p>
        </w:tc>
        <w:tc>
          <w:tcPr>
            <w:tcW w:w="0" w:type="dxa"/>
            <w:vAlign w:val="bottom"/>
          </w:tcPr>
          <w:p>
            <w:pPr>
              <w:spacing w:after="0"/>
              <w:rPr>
                <w:sz w:val="1"/>
                <w:szCs w:val="1"/>
                <w:color w:val="auto"/>
              </w:rPr>
            </w:pPr>
          </w:p>
        </w:tc>
      </w:tr>
      <w:tr>
        <w:trPr>
          <w:trHeight w:val="31"/>
        </w:trPr>
        <w:tc>
          <w:tcPr>
            <w:tcW w:w="360" w:type="dxa"/>
            <w:vAlign w:val="bottom"/>
            <w:tcBorders>
              <w:right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right="20"/>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1" w:lineRule="exact"/>
        <w:rPr>
          <w:sz w:val="24"/>
          <w:szCs w:val="24"/>
          <w:color w:val="auto"/>
        </w:rPr>
      </w:pPr>
    </w:p>
    <w:p>
      <w:pPr>
        <w:ind w:right="140"/>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jc w:val="both"/>
        <w:ind w:right="16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22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7"/>
                <w:szCs w:val="17"/>
                <w:color w:val="auto"/>
              </w:rPr>
              <w:t>☒</w:t>
            </w:r>
          </w:p>
        </w:tc>
        <w:tc>
          <w:tcPr>
            <w:tcW w:w="1600" w:type="dxa"/>
            <w:vAlign w:val="bottom"/>
            <w:vMerge w:val="restart"/>
          </w:tcPr>
          <w:p>
            <w:pPr>
              <w:ind w:left="240"/>
              <w:spacing w:after="0"/>
              <w:rPr>
                <w:sz w:val="20"/>
                <w:szCs w:val="20"/>
                <w:color w:val="auto"/>
              </w:rPr>
            </w:pPr>
            <w:r>
              <w:rPr>
                <w:rFonts w:ascii="Arial" w:cs="Arial" w:eastAsia="Arial" w:hAnsi="Arial"/>
                <w:sz w:val="17"/>
                <w:szCs w:val="17"/>
                <w:color w:val="auto"/>
              </w:rPr>
              <w:t>Accelerated Filer</w:t>
            </w:r>
          </w:p>
        </w:tc>
        <w:tc>
          <w:tcPr>
            <w:tcW w:w="540" w:type="dxa"/>
            <w:vAlign w:val="bottom"/>
            <w:vMerge w:val="restart"/>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1820" w:type="dxa"/>
            <w:vAlign w:val="bottom"/>
            <w:vMerge w:val="restart"/>
          </w:tcPr>
          <w:p>
            <w:pPr>
              <w:ind w:left="200"/>
              <w:spacing w:after="0"/>
              <w:rPr>
                <w:sz w:val="20"/>
                <w:szCs w:val="20"/>
                <w:color w:val="auto"/>
              </w:rPr>
            </w:pPr>
            <w:r>
              <w:rPr>
                <w:rFonts w:ascii="Arial" w:cs="Arial" w:eastAsia="Arial" w:hAnsi="Arial"/>
                <w:sz w:val="17"/>
                <w:szCs w:val="17"/>
                <w:color w:val="auto"/>
                <w:w w:val="98"/>
              </w:rPr>
              <w:t>Non-accelerated Filer</w:t>
            </w:r>
          </w:p>
        </w:tc>
        <w:tc>
          <w:tcPr>
            <w:tcW w:w="52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1680" w:type="dxa"/>
            <w:vAlign w:val="bottom"/>
          </w:tcPr>
          <w:p>
            <w:pPr>
              <w:jc w:val="center"/>
              <w:spacing w:after="0"/>
              <w:rPr>
                <w:sz w:val="20"/>
                <w:szCs w:val="20"/>
                <w:color w:val="auto"/>
              </w:rPr>
            </w:pPr>
            <w:r>
              <w:rPr>
                <w:rFonts w:ascii="Arial" w:cs="Arial" w:eastAsia="Arial" w:hAnsi="Arial"/>
                <w:sz w:val="17"/>
                <w:szCs w:val="17"/>
                <w:color w:val="auto"/>
                <w:w w:val="92"/>
              </w:rPr>
              <w:t>Smaller Reporting</w:t>
            </w:r>
          </w:p>
        </w:tc>
        <w:tc>
          <w:tcPr>
            <w:tcW w:w="580" w:type="dxa"/>
            <w:vAlign w:val="bottom"/>
            <w:vMerge w:val="restart"/>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w w:val="93"/>
              </w:rPr>
              <w:t>Emerging Growth</w:t>
            </w:r>
          </w:p>
        </w:tc>
        <w:tc>
          <w:tcPr>
            <w:tcW w:w="380" w:type="dxa"/>
            <w:vAlign w:val="bottom"/>
            <w:vMerge w:val="restart"/>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16"/>
        </w:trPr>
        <w:tc>
          <w:tcPr>
            <w:tcW w:w="228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0"/>
              </w:rPr>
              <w:t>Company</w:t>
            </w:r>
          </w:p>
        </w:tc>
        <w:tc>
          <w:tcPr>
            <w:tcW w:w="580" w:type="dxa"/>
            <w:vAlign w:val="bottom"/>
            <w:vMerge w:val="continue"/>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7"/>
                <w:szCs w:val="17"/>
                <w:color w:val="auto"/>
                <w:w w:val="90"/>
              </w:rPr>
              <w:t>Company</w:t>
            </w: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ind w:right="2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spacing w:after="0" w:line="196" w:lineRule="exact"/>
        <w:tabs>
          <w:tab w:leader="none" w:pos="7920" w:val="left"/>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75" w:lineRule="exact"/>
        <w:rPr>
          <w:sz w:val="24"/>
          <w:szCs w:val="24"/>
          <w:color w:val="auto"/>
        </w:rPr>
      </w:pPr>
    </w:p>
    <w:p>
      <w:pPr>
        <w:spacing w:after="0"/>
        <w:rPr>
          <w:sz w:val="20"/>
          <w:szCs w:val="20"/>
          <w:color w:val="auto"/>
        </w:rPr>
      </w:pPr>
      <w:r>
        <w:rPr>
          <w:rFonts w:ascii="Arial" w:cs="Arial" w:eastAsia="Arial" w:hAnsi="Arial"/>
          <w:sz w:val="17"/>
          <w:szCs w:val="17"/>
          <w:color w:val="auto"/>
        </w:rPr>
        <w:t>As of July 24, 2020, 22,873,628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34290</wp:posOffset>
            </wp:positionV>
            <wp:extent cx="6755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spacing w:after="0" w:line="24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8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r>
      <w:tr>
        <w:trPr>
          <w:trHeight w:val="229"/>
        </w:trPr>
        <w:tc>
          <w:tcPr>
            <w:tcW w:w="976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840" w:type="dxa"/>
            <w:vAlign w:val="bottom"/>
          </w:tcPr>
          <w:p>
            <w:pPr>
              <w:spacing w:after="0"/>
              <w:rPr>
                <w:sz w:val="19"/>
                <w:szCs w:val="19"/>
                <w:color w:val="auto"/>
              </w:rPr>
            </w:pPr>
          </w:p>
        </w:tc>
      </w:tr>
      <w:tr>
        <w:trPr>
          <w:trHeight w:val="405"/>
        </w:trPr>
        <w:tc>
          <w:tcPr>
            <w:tcW w:w="1080" w:type="dxa"/>
            <w:vAlign w:val="bottom"/>
          </w:tcPr>
          <w:p>
            <w:pPr>
              <w:ind w:left="340"/>
              <w:spacing w:after="0"/>
              <w:rPr>
                <w:sz w:val="20"/>
                <w:szCs w:val="20"/>
                <w:color w:val="auto"/>
              </w:rPr>
            </w:pPr>
            <w:r>
              <w:rPr>
                <w:rFonts w:ascii="Arial" w:cs="Arial" w:eastAsia="Arial" w:hAnsi="Arial"/>
                <w:sz w:val="18"/>
                <w:szCs w:val="18"/>
                <w:color w:val="auto"/>
              </w:rPr>
              <w:t>Item 1.</w:t>
            </w:r>
          </w:p>
        </w:tc>
        <w:tc>
          <w:tcPr>
            <w:tcW w:w="868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Financial Statements (Unaudited)</w:t>
              </w:r>
            </w:hyperlink>
          </w:p>
        </w:tc>
        <w:tc>
          <w:tcPr>
            <w:tcW w:w="840" w:type="dxa"/>
            <w:vAlign w:val="bottom"/>
          </w:tcPr>
          <w:p>
            <w:pPr>
              <w:spacing w:after="0"/>
              <w:rPr>
                <w:sz w:val="24"/>
                <w:szCs w:val="24"/>
                <w:color w:val="auto"/>
              </w:rPr>
            </w:pPr>
          </w:p>
        </w:tc>
      </w:tr>
      <w:tr>
        <w:trPr>
          <w:trHeight w:val="270"/>
        </w:trPr>
        <w:tc>
          <w:tcPr>
            <w:tcW w:w="1080" w:type="dxa"/>
            <w:vAlign w:val="bottom"/>
          </w:tcPr>
          <w:p>
            <w:pPr>
              <w:spacing w:after="0"/>
              <w:rPr>
                <w:sz w:val="23"/>
                <w:szCs w:val="23"/>
                <w:color w:val="auto"/>
              </w:rPr>
            </w:pPr>
          </w:p>
        </w:tc>
        <w:tc>
          <w:tcPr>
            <w:tcW w:w="868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w:t>
              </w:r>
            </w:hyperlink>
          </w:p>
        </w:tc>
        <w:tc>
          <w:tcPr>
            <w:tcW w:w="84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270"/>
        </w:trPr>
        <w:tc>
          <w:tcPr>
            <w:tcW w:w="1080" w:type="dxa"/>
            <w:vAlign w:val="bottom"/>
          </w:tcPr>
          <w:p>
            <w:pPr>
              <w:spacing w:after="0"/>
              <w:rPr>
                <w:sz w:val="23"/>
                <w:szCs w:val="23"/>
                <w:color w:val="auto"/>
              </w:rPr>
            </w:pPr>
          </w:p>
        </w:tc>
        <w:tc>
          <w:tcPr>
            <w:tcW w:w="868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Operations and Other Comprehensive Income</w:t>
              </w:r>
            </w:hyperlink>
          </w:p>
        </w:tc>
        <w:tc>
          <w:tcPr>
            <w:tcW w:w="84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r>
      <w:tr>
        <w:trPr>
          <w:trHeight w:val="270"/>
        </w:trPr>
        <w:tc>
          <w:tcPr>
            <w:tcW w:w="1080" w:type="dxa"/>
            <w:vAlign w:val="bottom"/>
          </w:tcPr>
          <w:p>
            <w:pPr>
              <w:spacing w:after="0"/>
              <w:rPr>
                <w:sz w:val="23"/>
                <w:szCs w:val="23"/>
                <w:color w:val="auto"/>
              </w:rPr>
            </w:pPr>
          </w:p>
        </w:tc>
        <w:tc>
          <w:tcPr>
            <w:tcW w:w="868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Stockholders’ Equity</w:t>
              </w:r>
            </w:hyperlink>
          </w:p>
        </w:tc>
        <w:tc>
          <w:tcPr>
            <w:tcW w:w="84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270"/>
        </w:trPr>
        <w:tc>
          <w:tcPr>
            <w:tcW w:w="1080" w:type="dxa"/>
            <w:vAlign w:val="bottom"/>
          </w:tcPr>
          <w:p>
            <w:pPr>
              <w:spacing w:after="0"/>
              <w:rPr>
                <w:sz w:val="23"/>
                <w:szCs w:val="23"/>
                <w:color w:val="auto"/>
              </w:rPr>
            </w:pPr>
          </w:p>
        </w:tc>
        <w:tc>
          <w:tcPr>
            <w:tcW w:w="868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w:t>
              </w:r>
            </w:hyperlink>
          </w:p>
        </w:tc>
        <w:tc>
          <w:tcPr>
            <w:tcW w:w="84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tc>
      </w:tr>
      <w:tr>
        <w:trPr>
          <w:trHeight w:val="270"/>
        </w:trPr>
        <w:tc>
          <w:tcPr>
            <w:tcW w:w="1080" w:type="dxa"/>
            <w:vAlign w:val="bottom"/>
          </w:tcPr>
          <w:p>
            <w:pPr>
              <w:spacing w:after="0"/>
              <w:rPr>
                <w:sz w:val="23"/>
                <w:szCs w:val="23"/>
                <w:color w:val="auto"/>
              </w:rPr>
            </w:pPr>
          </w:p>
        </w:tc>
        <w:tc>
          <w:tcPr>
            <w:tcW w:w="868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Consolidated Financial Statements</w:t>
              </w:r>
            </w:hyperlink>
          </w:p>
        </w:tc>
        <w:tc>
          <w:tcPr>
            <w:tcW w:w="84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392"/>
        </w:trPr>
        <w:tc>
          <w:tcPr>
            <w:tcW w:w="1080" w:type="dxa"/>
            <w:vAlign w:val="bottom"/>
          </w:tcPr>
          <w:p>
            <w:pPr>
              <w:ind w:left="340"/>
              <w:spacing w:after="0"/>
              <w:rPr>
                <w:sz w:val="20"/>
                <w:szCs w:val="20"/>
                <w:color w:val="auto"/>
              </w:rPr>
            </w:pPr>
            <w:r>
              <w:rPr>
                <w:rFonts w:ascii="Arial" w:cs="Arial" w:eastAsia="Arial" w:hAnsi="Arial"/>
                <w:sz w:val="18"/>
                <w:szCs w:val="18"/>
                <w:color w:val="auto"/>
              </w:rPr>
              <w:t>Item 2.</w:t>
            </w:r>
          </w:p>
        </w:tc>
        <w:tc>
          <w:tcPr>
            <w:tcW w:w="8680" w:type="dxa"/>
            <w:vAlign w:val="bottom"/>
          </w:tcPr>
          <w:p>
            <w:pPr>
              <w:ind w:left="8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Management’s Discussion and Analysis of Financial Condition and Results of Operations</w:t>
              </w:r>
            </w:hyperlink>
          </w:p>
        </w:tc>
        <w:tc>
          <w:tcPr>
            <w:tcW w:w="84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22</w:t>
              </w:r>
            </w:hyperlink>
          </w:p>
        </w:tc>
      </w:tr>
      <w:tr>
        <w:trPr>
          <w:trHeight w:val="392"/>
        </w:trPr>
        <w:tc>
          <w:tcPr>
            <w:tcW w:w="1080" w:type="dxa"/>
            <w:vAlign w:val="bottom"/>
          </w:tcPr>
          <w:p>
            <w:pPr>
              <w:ind w:left="340"/>
              <w:spacing w:after="0"/>
              <w:rPr>
                <w:sz w:val="20"/>
                <w:szCs w:val="20"/>
                <w:color w:val="auto"/>
              </w:rPr>
            </w:pPr>
            <w:r>
              <w:rPr>
                <w:rFonts w:ascii="Arial" w:cs="Arial" w:eastAsia="Arial" w:hAnsi="Arial"/>
                <w:sz w:val="18"/>
                <w:szCs w:val="18"/>
                <w:color w:val="auto"/>
              </w:rPr>
              <w:t>Item 3.</w:t>
            </w:r>
          </w:p>
        </w:tc>
        <w:tc>
          <w:tcPr>
            <w:tcW w:w="8680" w:type="dxa"/>
            <w:vAlign w:val="bottom"/>
          </w:tcPr>
          <w:p>
            <w:pPr>
              <w:ind w:left="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Quantitative and Qualitative Disclosures About Market Risk</w:t>
              </w:r>
            </w:hyperlink>
          </w:p>
        </w:tc>
        <w:tc>
          <w:tcPr>
            <w:tcW w:w="84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43</w:t>
              </w:r>
            </w:hyperlink>
          </w:p>
        </w:tc>
      </w:tr>
      <w:tr>
        <w:trPr>
          <w:trHeight w:val="391"/>
        </w:trPr>
        <w:tc>
          <w:tcPr>
            <w:tcW w:w="1080" w:type="dxa"/>
            <w:vAlign w:val="bottom"/>
          </w:tcPr>
          <w:p>
            <w:pPr>
              <w:ind w:left="340"/>
              <w:spacing w:after="0"/>
              <w:rPr>
                <w:sz w:val="20"/>
                <w:szCs w:val="20"/>
                <w:color w:val="auto"/>
              </w:rPr>
            </w:pPr>
            <w:r>
              <w:rPr>
                <w:rFonts w:ascii="Arial" w:cs="Arial" w:eastAsia="Arial" w:hAnsi="Arial"/>
                <w:sz w:val="18"/>
                <w:szCs w:val="18"/>
                <w:color w:val="auto"/>
              </w:rPr>
              <w:t>Item 4.</w:t>
            </w:r>
          </w:p>
        </w:tc>
        <w:tc>
          <w:tcPr>
            <w:tcW w:w="8680" w:type="dxa"/>
            <w:vAlign w:val="bottom"/>
          </w:tcPr>
          <w:p>
            <w:pPr>
              <w:ind w:left="8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Controls and Procedures</w:t>
              </w:r>
            </w:hyperlink>
          </w:p>
        </w:tc>
        <w:tc>
          <w:tcPr>
            <w:tcW w:w="840" w:type="dxa"/>
            <w:vAlign w:val="bottom"/>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44</w:t>
              </w:r>
            </w:hyperlink>
          </w:p>
        </w:tc>
      </w:tr>
      <w:tr>
        <w:trPr>
          <w:trHeight w:val="392"/>
        </w:trPr>
        <w:tc>
          <w:tcPr>
            <w:tcW w:w="9760" w:type="dxa"/>
            <w:vAlign w:val="bottom"/>
            <w:gridSpan w:val="2"/>
          </w:tcPr>
          <w:p>
            <w:pPr>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Part II – Other Information</w:t>
              </w:r>
            </w:hyperlink>
          </w:p>
        </w:tc>
        <w:tc>
          <w:tcPr>
            <w:tcW w:w="840" w:type="dxa"/>
            <w:vAlign w:val="bottom"/>
          </w:tcPr>
          <w:p>
            <w:pPr>
              <w:spacing w:after="0"/>
              <w:rPr>
                <w:sz w:val="24"/>
                <w:szCs w:val="24"/>
                <w:color w:val="auto"/>
              </w:rPr>
            </w:pPr>
          </w:p>
        </w:tc>
      </w:tr>
      <w:tr>
        <w:trPr>
          <w:trHeight w:val="392"/>
        </w:trPr>
        <w:tc>
          <w:tcPr>
            <w:tcW w:w="1080" w:type="dxa"/>
            <w:vAlign w:val="bottom"/>
          </w:tcPr>
          <w:p>
            <w:pPr>
              <w:ind w:left="340"/>
              <w:spacing w:after="0"/>
              <w:rPr>
                <w:sz w:val="20"/>
                <w:szCs w:val="20"/>
                <w:color w:val="auto"/>
              </w:rPr>
            </w:pPr>
            <w:r>
              <w:rPr>
                <w:rFonts w:ascii="Arial" w:cs="Arial" w:eastAsia="Arial" w:hAnsi="Arial"/>
                <w:sz w:val="18"/>
                <w:szCs w:val="18"/>
                <w:color w:val="auto"/>
              </w:rPr>
              <w:t>Item 1.</w:t>
            </w:r>
          </w:p>
        </w:tc>
        <w:tc>
          <w:tcPr>
            <w:tcW w:w="8680" w:type="dxa"/>
            <w:vAlign w:val="bottom"/>
          </w:tcPr>
          <w:p>
            <w:pPr>
              <w:ind w:left="8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Legal Proceedings</w:t>
              </w:r>
            </w:hyperlink>
          </w:p>
        </w:tc>
        <w:tc>
          <w:tcPr>
            <w:tcW w:w="840" w:type="dxa"/>
            <w:vAlign w:val="bottom"/>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44</w:t>
              </w:r>
            </w:hyperlink>
          </w:p>
        </w:tc>
      </w:tr>
      <w:tr>
        <w:trPr>
          <w:trHeight w:val="391"/>
        </w:trPr>
        <w:tc>
          <w:tcPr>
            <w:tcW w:w="1080" w:type="dxa"/>
            <w:vAlign w:val="bottom"/>
          </w:tcPr>
          <w:p>
            <w:pPr>
              <w:ind w:left="340"/>
              <w:spacing w:after="0"/>
              <w:rPr>
                <w:sz w:val="20"/>
                <w:szCs w:val="20"/>
                <w:color w:val="auto"/>
              </w:rPr>
            </w:pPr>
            <w:r>
              <w:rPr>
                <w:rFonts w:ascii="Arial" w:cs="Arial" w:eastAsia="Arial" w:hAnsi="Arial"/>
                <w:sz w:val="18"/>
                <w:szCs w:val="18"/>
                <w:color w:val="auto"/>
              </w:rPr>
              <w:t>Item 1A.</w:t>
            </w:r>
          </w:p>
        </w:tc>
        <w:tc>
          <w:tcPr>
            <w:tcW w:w="8680" w:type="dxa"/>
            <w:vAlign w:val="bottom"/>
          </w:tcPr>
          <w:p>
            <w:pPr>
              <w:ind w:left="8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Risk Factors</w:t>
              </w:r>
            </w:hyperlink>
          </w:p>
        </w:tc>
        <w:tc>
          <w:tcPr>
            <w:tcW w:w="840" w:type="dxa"/>
            <w:vAlign w:val="bottom"/>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44</w:t>
              </w:r>
            </w:hyperlink>
          </w:p>
        </w:tc>
      </w:tr>
      <w:tr>
        <w:trPr>
          <w:trHeight w:val="392"/>
        </w:trPr>
        <w:tc>
          <w:tcPr>
            <w:tcW w:w="1080" w:type="dxa"/>
            <w:vAlign w:val="bottom"/>
          </w:tcPr>
          <w:p>
            <w:pPr>
              <w:ind w:left="340"/>
              <w:spacing w:after="0"/>
              <w:rPr>
                <w:sz w:val="20"/>
                <w:szCs w:val="20"/>
                <w:color w:val="auto"/>
              </w:rPr>
            </w:pPr>
            <w:r>
              <w:rPr>
                <w:rFonts w:ascii="Arial" w:cs="Arial" w:eastAsia="Arial" w:hAnsi="Arial"/>
                <w:sz w:val="18"/>
                <w:szCs w:val="18"/>
                <w:color w:val="auto"/>
              </w:rPr>
              <w:t>Item 2.</w:t>
            </w:r>
          </w:p>
        </w:tc>
        <w:tc>
          <w:tcPr>
            <w:tcW w:w="8680" w:type="dxa"/>
            <w:vAlign w:val="bottom"/>
          </w:tcPr>
          <w:p>
            <w:pPr>
              <w:ind w:left="8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Unregistered Sales of Equity Securities and Use of Proceeds</w:t>
              </w:r>
            </w:hyperlink>
          </w:p>
        </w:tc>
        <w:tc>
          <w:tcPr>
            <w:tcW w:w="84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45</w:t>
              </w:r>
            </w:hyperlink>
          </w:p>
        </w:tc>
      </w:tr>
      <w:tr>
        <w:trPr>
          <w:trHeight w:val="391"/>
        </w:trPr>
        <w:tc>
          <w:tcPr>
            <w:tcW w:w="1080" w:type="dxa"/>
            <w:vAlign w:val="bottom"/>
          </w:tcPr>
          <w:p>
            <w:pPr>
              <w:ind w:left="340"/>
              <w:spacing w:after="0"/>
              <w:rPr>
                <w:sz w:val="20"/>
                <w:szCs w:val="20"/>
                <w:color w:val="auto"/>
              </w:rPr>
            </w:pPr>
            <w:r>
              <w:rPr>
                <w:rFonts w:ascii="Arial" w:cs="Arial" w:eastAsia="Arial" w:hAnsi="Arial"/>
                <w:sz w:val="18"/>
                <w:szCs w:val="18"/>
                <w:color w:val="auto"/>
              </w:rPr>
              <w:t>Item 3.</w:t>
            </w:r>
          </w:p>
        </w:tc>
        <w:tc>
          <w:tcPr>
            <w:tcW w:w="8680" w:type="dxa"/>
            <w:vAlign w:val="bottom"/>
          </w:tcPr>
          <w:p>
            <w:pPr>
              <w:ind w:left="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Defaults Upon Senior Securities</w:t>
              </w:r>
            </w:hyperlink>
          </w:p>
        </w:tc>
        <w:tc>
          <w:tcPr>
            <w:tcW w:w="840" w:type="dxa"/>
            <w:vAlign w:val="bottom"/>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46</w:t>
              </w:r>
            </w:hyperlink>
          </w:p>
        </w:tc>
      </w:tr>
      <w:tr>
        <w:trPr>
          <w:trHeight w:val="392"/>
        </w:trPr>
        <w:tc>
          <w:tcPr>
            <w:tcW w:w="1080" w:type="dxa"/>
            <w:vAlign w:val="bottom"/>
          </w:tcPr>
          <w:p>
            <w:pPr>
              <w:ind w:left="340"/>
              <w:spacing w:after="0"/>
              <w:rPr>
                <w:sz w:val="20"/>
                <w:szCs w:val="20"/>
                <w:color w:val="auto"/>
              </w:rPr>
            </w:pPr>
            <w:r>
              <w:rPr>
                <w:rFonts w:ascii="Arial" w:cs="Arial" w:eastAsia="Arial" w:hAnsi="Arial"/>
                <w:sz w:val="18"/>
                <w:szCs w:val="18"/>
                <w:color w:val="auto"/>
              </w:rPr>
              <w:t>Item 4.</w:t>
            </w:r>
          </w:p>
        </w:tc>
        <w:tc>
          <w:tcPr>
            <w:tcW w:w="8680" w:type="dxa"/>
            <w:vAlign w:val="bottom"/>
          </w:tcPr>
          <w:p>
            <w:pPr>
              <w:ind w:left="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Mine Safety Disclosures</w:t>
              </w:r>
            </w:hyperlink>
          </w:p>
        </w:tc>
        <w:tc>
          <w:tcPr>
            <w:tcW w:w="840" w:type="dxa"/>
            <w:vAlign w:val="bottom"/>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46</w:t>
              </w:r>
            </w:hyperlink>
          </w:p>
        </w:tc>
      </w:tr>
      <w:tr>
        <w:trPr>
          <w:trHeight w:val="392"/>
        </w:trPr>
        <w:tc>
          <w:tcPr>
            <w:tcW w:w="1080" w:type="dxa"/>
            <w:vAlign w:val="bottom"/>
          </w:tcPr>
          <w:p>
            <w:pPr>
              <w:ind w:left="340"/>
              <w:spacing w:after="0"/>
              <w:rPr>
                <w:sz w:val="20"/>
                <w:szCs w:val="20"/>
                <w:color w:val="auto"/>
              </w:rPr>
            </w:pPr>
            <w:r>
              <w:rPr>
                <w:rFonts w:ascii="Arial" w:cs="Arial" w:eastAsia="Arial" w:hAnsi="Arial"/>
                <w:sz w:val="18"/>
                <w:szCs w:val="18"/>
                <w:color w:val="auto"/>
              </w:rPr>
              <w:t>Item 5.</w:t>
            </w:r>
          </w:p>
        </w:tc>
        <w:tc>
          <w:tcPr>
            <w:tcW w:w="8680" w:type="dxa"/>
            <w:vAlign w:val="bottom"/>
          </w:tcPr>
          <w:p>
            <w:pPr>
              <w:ind w:left="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Other Information</w:t>
              </w:r>
            </w:hyperlink>
          </w:p>
        </w:tc>
        <w:tc>
          <w:tcPr>
            <w:tcW w:w="840" w:type="dxa"/>
            <w:vAlign w:val="bottom"/>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46</w:t>
              </w:r>
            </w:hyperlink>
          </w:p>
        </w:tc>
      </w:tr>
      <w:tr>
        <w:trPr>
          <w:trHeight w:val="391"/>
        </w:trPr>
        <w:tc>
          <w:tcPr>
            <w:tcW w:w="1080" w:type="dxa"/>
            <w:vAlign w:val="bottom"/>
          </w:tcPr>
          <w:p>
            <w:pPr>
              <w:ind w:left="340"/>
              <w:spacing w:after="0"/>
              <w:rPr>
                <w:sz w:val="20"/>
                <w:szCs w:val="20"/>
                <w:color w:val="auto"/>
              </w:rPr>
            </w:pPr>
            <w:r>
              <w:rPr>
                <w:rFonts w:ascii="Arial" w:cs="Arial" w:eastAsia="Arial" w:hAnsi="Arial"/>
                <w:sz w:val="18"/>
                <w:szCs w:val="18"/>
                <w:color w:val="auto"/>
              </w:rPr>
              <w:t>Item 6.</w:t>
            </w:r>
          </w:p>
        </w:tc>
        <w:tc>
          <w:tcPr>
            <w:tcW w:w="8680" w:type="dxa"/>
            <w:vAlign w:val="bottom"/>
          </w:tcPr>
          <w:p>
            <w:pPr>
              <w:ind w:left="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Exhibits</w:t>
              </w:r>
            </w:hyperlink>
          </w:p>
        </w:tc>
        <w:tc>
          <w:tcPr>
            <w:tcW w:w="840" w:type="dxa"/>
            <w:vAlign w:val="bottom"/>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47</w:t>
              </w:r>
            </w:hyperlink>
          </w:p>
        </w:tc>
      </w:tr>
      <w:tr>
        <w:trPr>
          <w:trHeight w:val="392"/>
        </w:trPr>
        <w:tc>
          <w:tcPr>
            <w:tcW w:w="1080" w:type="dxa"/>
            <w:vAlign w:val="bottom"/>
          </w:tcPr>
          <w:p>
            <w:pPr>
              <w:spacing w:after="0"/>
              <w:rPr>
                <w:rFonts w:ascii="Arial" w:cs="Arial" w:eastAsia="Arial" w:hAnsi="Arial"/>
                <w:sz w:val="18"/>
                <w:szCs w:val="18"/>
                <w:b w:val="1"/>
                <w:bCs w:val="1"/>
                <w:u w:val="single" w:color="auto"/>
                <w:color w:val="0000EE"/>
              </w:rPr>
            </w:pPr>
            <w:hyperlink w:anchor="page50">
              <w:r>
                <w:rPr>
                  <w:rFonts w:ascii="Arial" w:cs="Arial" w:eastAsia="Arial" w:hAnsi="Arial"/>
                  <w:sz w:val="18"/>
                  <w:szCs w:val="18"/>
                  <w:b w:val="1"/>
                  <w:bCs w:val="1"/>
                  <w:u w:val="single" w:color="auto"/>
                  <w:color w:val="0000EE"/>
                </w:rPr>
                <w:t>Signature</w:t>
              </w:r>
            </w:hyperlink>
          </w:p>
        </w:tc>
        <w:tc>
          <w:tcPr>
            <w:tcW w:w="8680" w:type="dxa"/>
            <w:vAlign w:val="bottom"/>
          </w:tcPr>
          <w:p>
            <w:pPr>
              <w:spacing w:after="0"/>
              <w:rPr>
                <w:sz w:val="24"/>
                <w:szCs w:val="24"/>
                <w:color w:val="auto"/>
              </w:rPr>
            </w:pPr>
          </w:p>
        </w:tc>
        <w:tc>
          <w:tcPr>
            <w:tcW w:w="840" w:type="dxa"/>
            <w:vAlign w:val="bottom"/>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48</w:t>
              </w:r>
            </w:hyperlink>
          </w:p>
        </w:tc>
      </w:tr>
    </w:tbl>
    <w:p>
      <w:pPr>
        <w:sectPr>
          <w:pgSz w:w="11900" w:h="16838" w:orient="portrait"/>
          <w:cols w:equalWidth="0" w:num="1">
            <w:col w:w="10640"/>
          </w:cols>
          <w:pgMar w:left="320" w:top="125" w:right="9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ind w:left="5140"/>
              <w:spacing w:after="0"/>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3"/>
        </w:trPr>
        <w:tc>
          <w:tcPr>
            <w:tcW w:w="8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11,604</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Receivables from clients, net of allowances of $8,906 and $8,907, respectively</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117,632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116,571</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services, net of allowances of $3,640 and $2,994,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82,932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79,937</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Income tax receivable</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2,376</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14,248</w:t>
            </w:r>
          </w:p>
        </w:tc>
      </w:tr>
      <w:tr>
        <w:trPr>
          <w:trHeight w:val="237"/>
        </w:trPr>
        <w:tc>
          <w:tcPr>
            <w:tcW w:w="82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297,962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224,736</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38,413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12,426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1,145</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54,541</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52,298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54,954</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52,177</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24,916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31,625</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586,235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646,680</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1,125,526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1,104,271</w:t>
            </w:r>
          </w:p>
        </w:tc>
      </w:tr>
      <w:tr>
        <w:trPr>
          <w:trHeight w:val="67"/>
        </w:trPr>
        <w:tc>
          <w:tcPr>
            <w:tcW w:w="8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82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7,944</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23,532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18,554</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payroll and related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141,605</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529</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7,469</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Deferred revenues</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35,044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28,443</w:t>
            </w: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152,783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204,544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28,635</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331,054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208,324</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liabilities, net of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69,233</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8,070</w:t>
            </w: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436,729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314,262</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8220" w:type="dxa"/>
            <w:vAlign w:val="bottom"/>
          </w:tcPr>
          <w:p>
            <w:pPr>
              <w:ind w:left="40"/>
              <w:spacing w:after="0"/>
              <w:rPr>
                <w:sz w:val="20"/>
                <w:szCs w:val="20"/>
                <w:color w:val="auto"/>
              </w:rPr>
            </w:pPr>
            <w:r>
              <w:rPr>
                <w:rFonts w:ascii="Arial" w:cs="Arial" w:eastAsia="Arial" w:hAnsi="Arial"/>
                <w:sz w:val="18"/>
                <w:szCs w:val="18"/>
                <w:color w:val="auto"/>
                <w:w w:val="92"/>
              </w:rPr>
              <w:t>Common stock; $0.01 par value; 500,000,000 shares authorized; 25,421,974 and 25,144,764 shares issued at</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220" w:type="dxa"/>
            <w:vAlign w:val="bottom"/>
          </w:tcPr>
          <w:p>
            <w:pPr>
              <w:ind w:left="40"/>
              <w:spacing w:after="0"/>
              <w:rPr>
                <w:sz w:val="20"/>
                <w:szCs w:val="20"/>
                <w:color w:val="auto"/>
              </w:rPr>
            </w:pPr>
            <w:r>
              <w:rPr>
                <w:rFonts w:ascii="Arial" w:cs="Arial" w:eastAsia="Arial" w:hAnsi="Arial"/>
                <w:sz w:val="18"/>
                <w:szCs w:val="18"/>
                <w:color w:val="auto"/>
              </w:rPr>
              <w:t>June 30, 2020 and December 31, 2019, respectively</w:t>
            </w:r>
          </w:p>
        </w:tc>
        <w:tc>
          <w:tcPr>
            <w:tcW w:w="2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shd w:val="clear" w:color="auto" w:fill="CCEEFF"/>
              </w:rPr>
              <w:t>Treasury stock, at cost, 2,556,012 and 2,425,430 shares at June 30, 2020 and December 31, 2019,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(128,348)</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450,391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460,781</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209,088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237,849</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14,936</w:t>
            </w: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536,014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585,465</w:t>
            </w:r>
          </w:p>
        </w:tc>
      </w:tr>
      <w:tr>
        <w:trPr>
          <w:trHeight w:val="236"/>
        </w:trPr>
        <w:tc>
          <w:tcPr>
            <w:tcW w:w="82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1,125,526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1,104,271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17145</wp:posOffset>
            </wp:positionV>
            <wp:extent cx="1920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-130175</wp:posOffset>
            </wp:positionV>
            <wp:extent cx="19202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ectPr>
          <w:pgSz w:w="11900" w:h="16838" w:orient="portrait"/>
          <w:cols w:equalWidth="0" w:num="1">
            <w:col w:w="11240"/>
          </w:cols>
          <w:pgMar w:left="320" w:top="125" w:right="339" w:bottom="1108"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5" w:right="339" w:bottom="1108"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5"/>
          </w:tcPr>
          <w:p>
            <w:pPr>
              <w:ind w:left="340"/>
              <w:spacing w:after="0"/>
              <w:rPr>
                <w:sz w:val="20"/>
                <w:szCs w:val="20"/>
                <w:color w:val="auto"/>
              </w:rPr>
            </w:pPr>
            <w:r>
              <w:rPr>
                <w:rFonts w:ascii="Arial" w:cs="Arial" w:eastAsia="Arial" w:hAnsi="Arial"/>
                <w:sz w:val="17"/>
                <w:szCs w:val="17"/>
                <w:b w:val="1"/>
                <w:bCs w:val="1"/>
                <w:color w:val="auto"/>
              </w:rPr>
              <w:t>Three Months Ended</w:t>
            </w:r>
          </w:p>
        </w:tc>
        <w:tc>
          <w:tcPr>
            <w:tcW w:w="300" w:type="dxa"/>
            <w:vAlign w:val="bottom"/>
          </w:tcPr>
          <w:p>
            <w:pPr>
              <w:spacing w:after="0"/>
              <w:rPr>
                <w:sz w:val="17"/>
                <w:szCs w:val="17"/>
                <w:color w:val="auto"/>
              </w:rPr>
            </w:pPr>
          </w:p>
        </w:tc>
        <w:tc>
          <w:tcPr>
            <w:tcW w:w="2500" w:type="dxa"/>
            <w:vAlign w:val="bottom"/>
            <w:gridSpan w:val="4"/>
          </w:tcPr>
          <w:p>
            <w:pPr>
              <w:jc w:val="right"/>
              <w:ind w:right="635"/>
              <w:spacing w:after="0"/>
              <w:rPr>
                <w:sz w:val="20"/>
                <w:szCs w:val="20"/>
                <w:color w:val="auto"/>
              </w:rPr>
            </w:pPr>
            <w:r>
              <w:rPr>
                <w:rFonts w:ascii="Arial" w:cs="Arial" w:eastAsia="Arial" w:hAnsi="Arial"/>
                <w:sz w:val="17"/>
                <w:szCs w:val="17"/>
                <w:b w:val="1"/>
                <w:bCs w:val="1"/>
                <w:color w:val="auto"/>
              </w:rPr>
              <w:t>Six Months Ended</w:t>
            </w:r>
          </w:p>
        </w:tc>
      </w:tr>
      <w:tr>
        <w:trPr>
          <w:trHeight w:val="220"/>
        </w:trPr>
        <w:tc>
          <w:tcPr>
            <w:tcW w:w="5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3"/>
          </w:tcPr>
          <w:p>
            <w:pPr>
              <w:jc w:val="right"/>
              <w:ind w:right="35"/>
              <w:spacing w:after="0"/>
              <w:rPr>
                <w:sz w:val="20"/>
                <w:szCs w:val="20"/>
                <w:color w:val="auto"/>
              </w:rPr>
            </w:pPr>
            <w:r>
              <w:rPr>
                <w:rFonts w:ascii="Arial" w:cs="Arial" w:eastAsia="Arial" w:hAnsi="Arial"/>
                <w:sz w:val="17"/>
                <w:szCs w:val="17"/>
                <w:b w:val="1"/>
                <w:bCs w:val="1"/>
                <w:color w:val="auto"/>
              </w:rPr>
              <w:t>June 30,</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3"/>
          </w:tcPr>
          <w:p>
            <w:pPr>
              <w:jc w:val="right"/>
              <w:ind w:right="35"/>
              <w:spacing w:after="0"/>
              <w:rPr>
                <w:sz w:val="20"/>
                <w:szCs w:val="20"/>
                <w:color w:val="auto"/>
              </w:rPr>
            </w:pPr>
            <w:r>
              <w:rPr>
                <w:rFonts w:ascii="Arial" w:cs="Arial" w:eastAsia="Arial" w:hAnsi="Arial"/>
                <w:sz w:val="17"/>
                <w:szCs w:val="17"/>
                <w:b w:val="1"/>
                <w:bCs w:val="1"/>
                <w:color w:val="auto"/>
              </w:rPr>
              <w:t>June 30,</w:t>
            </w:r>
          </w:p>
        </w:tc>
        <w:tc>
          <w:tcPr>
            <w:tcW w:w="960" w:type="dxa"/>
            <w:vAlign w:val="bottom"/>
          </w:tcPr>
          <w:p>
            <w:pPr>
              <w:spacing w:after="0"/>
              <w:rPr>
                <w:sz w:val="19"/>
                <w:szCs w:val="19"/>
                <w:color w:val="auto"/>
              </w:rPr>
            </w:pPr>
          </w:p>
        </w:tc>
      </w:tr>
      <w:tr>
        <w:trPr>
          <w:trHeight w:val="31"/>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415"/>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5"/>
              <w:spacing w:after="0"/>
              <w:rPr>
                <w:sz w:val="20"/>
                <w:szCs w:val="20"/>
                <w:color w:val="auto"/>
              </w:rPr>
            </w:pPr>
            <w:r>
              <w:rPr>
                <w:rFonts w:ascii="Arial" w:cs="Arial" w:eastAsia="Arial" w:hAnsi="Arial"/>
                <w:sz w:val="17"/>
                <w:szCs w:val="17"/>
                <w:b w:val="1"/>
                <w:bCs w:val="1"/>
                <w:color w:val="auto"/>
              </w:rPr>
              <w:t>2019</w:t>
            </w:r>
          </w:p>
        </w:tc>
      </w:tr>
      <w:tr>
        <w:trPr>
          <w:trHeight w:val="31"/>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Revenues and 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9"/>
        </w:trPr>
        <w:tc>
          <w:tcPr>
            <w:tcW w:w="5520" w:type="dxa"/>
            <w:vAlign w:val="bottom"/>
          </w:tcPr>
          <w:p>
            <w:pPr>
              <w:ind w:left="40"/>
              <w:spacing w:after="0"/>
              <w:rPr>
                <w:sz w:val="20"/>
                <w:szCs w:val="20"/>
                <w:color w:val="auto"/>
              </w:rPr>
            </w:pPr>
            <w:r>
              <w:rPr>
                <w:rFonts w:ascii="Arial" w:cs="Arial" w:eastAsia="Arial" w:hAnsi="Arial"/>
                <w:sz w:val="17"/>
                <w:szCs w:val="17"/>
                <w:color w:val="auto"/>
              </w:rPr>
              <w:t>Revenues</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217,857</w:t>
            </w:r>
          </w:p>
        </w:tc>
        <w:tc>
          <w:tcPr>
            <w:tcW w:w="120" w:type="dxa"/>
            <w:vAlign w:val="bottom"/>
          </w:tcPr>
          <w:p>
            <w:pPr>
              <w:spacing w:after="0"/>
              <w:rPr>
                <w:sz w:val="20"/>
                <w:szCs w:val="20"/>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220,754</w:t>
            </w:r>
          </w:p>
        </w:tc>
        <w:tc>
          <w:tcPr>
            <w:tcW w:w="12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440,476</w:t>
            </w:r>
          </w:p>
        </w:tc>
        <w:tc>
          <w:tcPr>
            <w:tcW w:w="100" w:type="dxa"/>
            <w:vAlign w:val="bottom"/>
          </w:tcPr>
          <w:p>
            <w:pPr>
              <w:spacing w:after="0"/>
              <w:rPr>
                <w:sz w:val="20"/>
                <w:szCs w:val="20"/>
                <w:color w:val="auto"/>
              </w:rPr>
            </w:pP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425,199</w:t>
            </w:r>
          </w:p>
        </w:tc>
      </w:tr>
      <w:tr>
        <w:trPr>
          <w:trHeight w:val="31"/>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Reimbursable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2,970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23,534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22,273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42,151</w:t>
            </w:r>
          </w:p>
        </w:tc>
      </w:tr>
      <w:tr>
        <w:trPr>
          <w:trHeight w:val="219"/>
        </w:trPr>
        <w:tc>
          <w:tcPr>
            <w:tcW w:w="5520" w:type="dxa"/>
            <w:vAlign w:val="bottom"/>
          </w:tcPr>
          <w:p>
            <w:pPr>
              <w:ind w:left="380"/>
              <w:spacing w:after="0"/>
              <w:rPr>
                <w:sz w:val="20"/>
                <w:szCs w:val="20"/>
                <w:color w:val="auto"/>
              </w:rPr>
            </w:pPr>
            <w:r>
              <w:rPr>
                <w:rFonts w:ascii="Arial" w:cs="Arial" w:eastAsia="Arial" w:hAnsi="Arial"/>
                <w:sz w:val="17"/>
                <w:szCs w:val="17"/>
                <w:color w:val="auto"/>
              </w:rPr>
              <w:t>Total revenues and reimbursable expenses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220,827</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244,288</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462,749</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467,350</w:t>
            </w:r>
          </w:p>
        </w:tc>
      </w:tr>
      <w:tr>
        <w:trPr>
          <w:trHeight w:val="31"/>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2"/>
        </w:trPr>
        <w:tc>
          <w:tcPr>
            <w:tcW w:w="55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w w:val="98"/>
              </w:rPr>
              <w:t xml:space="preserve">Direct costs and reimbursable expenses </w:t>
            </w:r>
            <w:r>
              <w:rPr>
                <w:rFonts w:ascii="Arial" w:cs="Arial" w:eastAsia="Arial" w:hAnsi="Arial"/>
                <w:sz w:val="17"/>
                <w:szCs w:val="17"/>
                <w:color w:val="auto"/>
                <w:w w:val="98"/>
              </w:rPr>
              <w:t>(exclusive of depreciation and</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shown in operating expenses):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39"/>
        </w:trPr>
        <w:tc>
          <w:tcPr>
            <w:tcW w:w="5520" w:type="dxa"/>
            <w:vAlign w:val="bottom"/>
          </w:tcPr>
          <w:p>
            <w:pPr>
              <w:ind w:left="40"/>
              <w:spacing w:after="0"/>
              <w:rPr>
                <w:sz w:val="20"/>
                <w:szCs w:val="20"/>
                <w:color w:val="auto"/>
              </w:rPr>
            </w:pPr>
            <w:r>
              <w:rPr>
                <w:rFonts w:ascii="Arial" w:cs="Arial" w:eastAsia="Arial" w:hAnsi="Arial"/>
                <w:sz w:val="17"/>
                <w:szCs w:val="17"/>
                <w:color w:val="auto"/>
              </w:rPr>
              <w:t>Direct costs</w:t>
            </w:r>
          </w:p>
        </w:tc>
        <w:tc>
          <w:tcPr>
            <w:tcW w:w="3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149,514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141,628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305,762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279,408</w:t>
            </w:r>
          </w:p>
        </w:tc>
      </w:tr>
      <w:tr>
        <w:trPr>
          <w:trHeight w:val="31"/>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of intangible assets and software development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2,288</w:t>
            </w:r>
          </w:p>
        </w:tc>
      </w:tr>
      <w:tr>
        <w:trPr>
          <w:trHeight w:val="239"/>
        </w:trPr>
        <w:tc>
          <w:tcPr>
            <w:tcW w:w="5520" w:type="dxa"/>
            <w:vAlign w:val="bottom"/>
          </w:tcPr>
          <w:p>
            <w:pPr>
              <w:ind w:left="40"/>
              <w:spacing w:after="0"/>
              <w:rPr>
                <w:sz w:val="20"/>
                <w:szCs w:val="20"/>
                <w:color w:val="auto"/>
              </w:rPr>
            </w:pPr>
            <w:r>
              <w:rPr>
                <w:rFonts w:ascii="Arial" w:cs="Arial" w:eastAsia="Arial" w:hAnsi="Arial"/>
                <w:sz w:val="17"/>
                <w:szCs w:val="17"/>
                <w:color w:val="auto"/>
              </w:rPr>
              <w:t>Reimbursable expenses</w:t>
            </w:r>
          </w:p>
        </w:tc>
        <w:tc>
          <w:tcPr>
            <w:tcW w:w="3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2,866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23,657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22,255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42,326</w:t>
            </w:r>
          </w:p>
        </w:tc>
      </w:tr>
      <w:tr>
        <w:trPr>
          <w:trHeight w:val="31"/>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direct costs and 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153,714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166,456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330,652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324,022</w:t>
            </w:r>
          </w:p>
        </w:tc>
      </w:tr>
      <w:tr>
        <w:trPr>
          <w:trHeight w:val="206"/>
        </w:trPr>
        <w:tc>
          <w:tcPr>
            <w:tcW w:w="5520" w:type="dxa"/>
            <w:vAlign w:val="bottom"/>
          </w:tcPr>
          <w:p>
            <w:pPr>
              <w:ind w:left="40"/>
              <w:spacing w:after="0"/>
              <w:rPr>
                <w:sz w:val="20"/>
                <w:szCs w:val="20"/>
                <w:color w:val="auto"/>
              </w:rPr>
            </w:pPr>
            <w:r>
              <w:rPr>
                <w:rFonts w:ascii="Arial" w:cs="Arial" w:eastAsia="Arial" w:hAnsi="Arial"/>
                <w:sz w:val="17"/>
                <w:szCs w:val="17"/>
                <w:b w:val="1"/>
                <w:bCs w:val="1"/>
                <w:color w:val="auto"/>
              </w:rPr>
              <w:t>Operating expenses and other losses (gains), net</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58"/>
        </w:trPr>
        <w:tc>
          <w:tcPr>
            <w:tcW w:w="5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44,857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52,537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88,303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103,286</w:t>
            </w:r>
          </w:p>
        </w:tc>
      </w:tr>
      <w:tr>
        <w:trPr>
          <w:trHeight w:val="239"/>
        </w:trPr>
        <w:tc>
          <w:tcPr>
            <w:tcW w:w="5520" w:type="dxa"/>
            <w:vAlign w:val="bottom"/>
          </w:tcPr>
          <w:p>
            <w:pPr>
              <w:ind w:left="40"/>
              <w:spacing w:after="0"/>
              <w:rPr>
                <w:sz w:val="20"/>
                <w:szCs w:val="20"/>
                <w:color w:val="auto"/>
              </w:rPr>
            </w:pPr>
            <w:r>
              <w:rPr>
                <w:rFonts w:ascii="Arial" w:cs="Arial" w:eastAsia="Arial" w:hAnsi="Arial"/>
                <w:sz w:val="17"/>
                <w:szCs w:val="17"/>
                <w:color w:val="auto"/>
              </w:rPr>
              <w:t>Restructuring charges</w:t>
            </w:r>
          </w:p>
        </w:tc>
        <w:tc>
          <w:tcPr>
            <w:tcW w:w="3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754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1,718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2,029</w:t>
            </w:r>
          </w:p>
        </w:tc>
      </w:tr>
      <w:tr>
        <w:trPr>
          <w:trHeight w:val="31"/>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Litigation and other gains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(941)</w:t>
            </w:r>
          </w:p>
        </w:tc>
      </w:tr>
      <w:tr>
        <w:trPr>
          <w:trHeight w:val="239"/>
        </w:trPr>
        <w:tc>
          <w:tcPr>
            <w:tcW w:w="5520" w:type="dxa"/>
            <w:vAlign w:val="bottom"/>
          </w:tcPr>
          <w:p>
            <w:pPr>
              <w:ind w:left="4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6,193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7,151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12,307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14,323</w:t>
            </w:r>
          </w:p>
        </w:tc>
      </w:tr>
      <w:tr>
        <w:trPr>
          <w:trHeight w:val="31"/>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 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59,816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5520" w:type="dxa"/>
            <w:vAlign w:val="bottom"/>
          </w:tcPr>
          <w:p>
            <w:pPr>
              <w:ind w:left="380"/>
              <w:spacing w:after="0"/>
              <w:rPr>
                <w:sz w:val="20"/>
                <w:szCs w:val="20"/>
                <w:color w:val="auto"/>
              </w:rPr>
            </w:pPr>
            <w:r>
              <w:rPr>
                <w:rFonts w:ascii="Arial" w:cs="Arial" w:eastAsia="Arial" w:hAnsi="Arial"/>
                <w:sz w:val="17"/>
                <w:szCs w:val="17"/>
                <w:color w:val="auto"/>
              </w:rPr>
              <w:t>Total operating expenses and other losses (gains), net</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51,159</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59,957</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161,994</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118,697</w:t>
            </w:r>
          </w:p>
        </w:tc>
      </w:tr>
      <w:tr>
        <w:trPr>
          <w:trHeight w:val="31"/>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 (loss)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15,954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17,875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(29,897)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24,631</w:t>
            </w:r>
          </w:p>
        </w:tc>
      </w:tr>
      <w:tr>
        <w:trPr>
          <w:trHeight w:val="225"/>
        </w:trPr>
        <w:tc>
          <w:tcPr>
            <w:tcW w:w="5520" w:type="dxa"/>
            <w:vAlign w:val="bottom"/>
          </w:tcPr>
          <w:p>
            <w:pPr>
              <w:ind w:left="40"/>
              <w:spacing w:after="0"/>
              <w:rPr>
                <w:sz w:val="20"/>
                <w:szCs w:val="20"/>
                <w:color w:val="auto"/>
              </w:rPr>
            </w:pPr>
            <w:r>
              <w:rPr>
                <w:rFonts w:ascii="Arial" w:cs="Arial" w:eastAsia="Arial" w:hAnsi="Arial"/>
                <w:sz w:val="17"/>
                <w:szCs w:val="17"/>
                <w:b w:val="1"/>
                <w:bCs w:val="1"/>
                <w:color w:val="auto"/>
              </w:rPr>
              <w:t>Other income (expense), net: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5"/>
        </w:trPr>
        <w:tc>
          <w:tcPr>
            <w:tcW w:w="5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 net of 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(8,782)</w:t>
            </w:r>
          </w:p>
        </w:tc>
      </w:tr>
      <w:tr>
        <w:trPr>
          <w:trHeight w:val="239"/>
        </w:trPr>
        <w:tc>
          <w:tcPr>
            <w:tcW w:w="5520" w:type="dxa"/>
            <w:vAlign w:val="bottom"/>
          </w:tcPr>
          <w:p>
            <w:pPr>
              <w:ind w:left="40"/>
              <w:spacing w:after="0"/>
              <w:rPr>
                <w:sz w:val="20"/>
                <w:szCs w:val="20"/>
                <w:color w:val="auto"/>
              </w:rPr>
            </w:pPr>
            <w:r>
              <w:rPr>
                <w:rFonts w:ascii="Arial" w:cs="Arial" w:eastAsia="Arial" w:hAnsi="Arial"/>
                <w:sz w:val="17"/>
                <w:szCs w:val="17"/>
                <w:color w:val="auto"/>
              </w:rPr>
              <w:t>Other income (expense), net</w:t>
            </w:r>
          </w:p>
        </w:tc>
        <w:tc>
          <w:tcPr>
            <w:tcW w:w="3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3,948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695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(1,348)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2,912</w:t>
            </w:r>
          </w:p>
        </w:tc>
      </w:tr>
      <w:tr>
        <w:trPr>
          <w:trHeight w:val="31"/>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other income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(5,870)</w:t>
            </w:r>
          </w:p>
        </w:tc>
      </w:tr>
      <w:tr>
        <w:trPr>
          <w:trHeight w:val="219"/>
        </w:trPr>
        <w:tc>
          <w:tcPr>
            <w:tcW w:w="5520" w:type="dxa"/>
            <w:vAlign w:val="bottom"/>
          </w:tcPr>
          <w:p>
            <w:pPr>
              <w:ind w:left="40"/>
              <w:spacing w:after="0"/>
              <w:rPr>
                <w:sz w:val="20"/>
                <w:szCs w:val="20"/>
                <w:color w:val="auto"/>
              </w:rPr>
            </w:pPr>
            <w:r>
              <w:rPr>
                <w:rFonts w:ascii="Arial" w:cs="Arial" w:eastAsia="Arial" w:hAnsi="Arial"/>
                <w:sz w:val="17"/>
                <w:szCs w:val="17"/>
                <w:color w:val="auto"/>
              </w:rPr>
              <w:t>Income (loss) from continuing operations before taxes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16,986</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14,046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(36,502)</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18,761</w:t>
            </w:r>
          </w:p>
        </w:tc>
      </w:tr>
      <w:tr>
        <w:trPr>
          <w:trHeight w:val="31"/>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3,414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3,477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4,842</w:t>
            </w:r>
          </w:p>
        </w:tc>
      </w:tr>
      <w:tr>
        <w:trPr>
          <w:trHeight w:val="219"/>
        </w:trPr>
        <w:tc>
          <w:tcPr>
            <w:tcW w:w="5520" w:type="dxa"/>
            <w:vAlign w:val="bottom"/>
          </w:tcPr>
          <w:p>
            <w:pPr>
              <w:ind w:left="40"/>
              <w:spacing w:after="0"/>
              <w:rPr>
                <w:sz w:val="20"/>
                <w:szCs w:val="20"/>
                <w:color w:val="auto"/>
              </w:rPr>
            </w:pPr>
            <w:r>
              <w:rPr>
                <w:rFonts w:ascii="Arial" w:cs="Arial" w:eastAsia="Arial" w:hAnsi="Arial"/>
                <w:sz w:val="17"/>
                <w:szCs w:val="17"/>
                <w:color w:val="auto"/>
              </w:rPr>
              <w:t>Net income (loss) from continuing operations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13,572</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10,569</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(28,701)</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13,919</w:t>
            </w:r>
          </w:p>
        </w:tc>
      </w:tr>
      <w:tr>
        <w:trPr>
          <w:trHeight w:val="31"/>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from discontinued operations, net of tax</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w:t>
            </w:r>
          </w:p>
        </w:tc>
      </w:tr>
      <w:tr>
        <w:trPr>
          <w:trHeight w:val="219"/>
        </w:trPr>
        <w:tc>
          <w:tcPr>
            <w:tcW w:w="552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13,547</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10,472</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(28,761)</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13,776</w:t>
            </w:r>
          </w:p>
        </w:tc>
      </w:tr>
      <w:tr>
        <w:trPr>
          <w:trHeight w:val="71"/>
        </w:trPr>
        <w:tc>
          <w:tcPr>
            <w:tcW w:w="55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179"/>
        </w:trPr>
        <w:tc>
          <w:tcPr>
            <w:tcW w:w="5520" w:type="dxa"/>
            <w:vAlign w:val="bottom"/>
            <w:shd w:val="clear" w:color="auto" w:fill="CCEEFF"/>
          </w:tcPr>
          <w:p>
            <w:pPr>
              <w:ind w:left="40"/>
              <w:spacing w:after="0" w:line="179" w:lineRule="exact"/>
              <w:rPr>
                <w:sz w:val="20"/>
                <w:szCs w:val="20"/>
                <w:color w:val="auto"/>
              </w:rPr>
            </w:pPr>
            <w:r>
              <w:rPr>
                <w:rFonts w:ascii="Arial" w:cs="Arial" w:eastAsia="Arial" w:hAnsi="Arial"/>
                <w:sz w:val="17"/>
                <w:szCs w:val="17"/>
                <w:color w:val="auto"/>
              </w:rPr>
              <w:t>Net earnings (loss) per basic share:</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72"/>
        </w:trPr>
        <w:tc>
          <w:tcPr>
            <w:tcW w:w="55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r>
      <w:tr>
        <w:trPr>
          <w:trHeight w:val="239"/>
        </w:trPr>
        <w:tc>
          <w:tcPr>
            <w:tcW w:w="5520" w:type="dxa"/>
            <w:vAlign w:val="bottom"/>
          </w:tcPr>
          <w:p>
            <w:pPr>
              <w:ind w:left="380"/>
              <w:spacing w:after="0"/>
              <w:rPr>
                <w:sz w:val="20"/>
                <w:szCs w:val="20"/>
                <w:color w:val="auto"/>
              </w:rPr>
            </w:pPr>
            <w:r>
              <w:rPr>
                <w:rFonts w:ascii="Arial" w:cs="Arial" w:eastAsia="Arial" w:hAnsi="Arial"/>
                <w:sz w:val="17"/>
                <w:szCs w:val="17"/>
                <w:color w:val="auto"/>
              </w:rPr>
              <w:t>Net income (loss) from continuing operations</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0.62</w:t>
            </w:r>
          </w:p>
        </w:tc>
        <w:tc>
          <w:tcPr>
            <w:tcW w:w="120" w:type="dxa"/>
            <w:vAlign w:val="bottom"/>
          </w:tcPr>
          <w:p>
            <w:pPr>
              <w:spacing w:after="0"/>
              <w:rPr>
                <w:sz w:val="20"/>
                <w:szCs w:val="20"/>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0.48</w:t>
            </w:r>
          </w:p>
        </w:tc>
        <w:tc>
          <w:tcPr>
            <w:tcW w:w="12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20"/>
                <w:szCs w:val="20"/>
                <w:color w:val="auto"/>
              </w:rPr>
            </w:pP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0.63</w:t>
            </w:r>
          </w:p>
        </w:tc>
      </w:tr>
      <w:tr>
        <w:trPr>
          <w:trHeight w:val="31"/>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Loss from discontinued operations, net of tax</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5520" w:type="dxa"/>
            <w:vAlign w:val="bottom"/>
          </w:tcPr>
          <w:p>
            <w:pPr>
              <w:ind w:left="380"/>
              <w:spacing w:after="0"/>
              <w:rPr>
                <w:sz w:val="20"/>
                <w:szCs w:val="20"/>
                <w:color w:val="auto"/>
              </w:rPr>
            </w:pPr>
            <w:r>
              <w:rPr>
                <w:rFonts w:ascii="Arial" w:cs="Arial" w:eastAsia="Arial" w:hAnsi="Arial"/>
                <w:sz w:val="17"/>
                <w:szCs w:val="17"/>
                <w:color w:val="auto"/>
              </w:rPr>
              <w:t>Net income (loss)</w:t>
            </w: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0.62</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0.48</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0.63</w:t>
            </w:r>
          </w:p>
        </w:tc>
      </w:tr>
      <w:tr>
        <w:trPr>
          <w:trHeight w:val="71"/>
        </w:trPr>
        <w:tc>
          <w:tcPr>
            <w:tcW w:w="55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179"/>
        </w:trPr>
        <w:tc>
          <w:tcPr>
            <w:tcW w:w="5520" w:type="dxa"/>
            <w:vAlign w:val="bottom"/>
            <w:shd w:val="clear" w:color="auto" w:fill="CCEEFF"/>
          </w:tcPr>
          <w:p>
            <w:pPr>
              <w:ind w:left="40"/>
              <w:spacing w:after="0" w:line="179" w:lineRule="exact"/>
              <w:rPr>
                <w:sz w:val="20"/>
                <w:szCs w:val="20"/>
                <w:color w:val="auto"/>
              </w:rPr>
            </w:pPr>
            <w:r>
              <w:rPr>
                <w:rFonts w:ascii="Arial" w:cs="Arial" w:eastAsia="Arial" w:hAnsi="Arial"/>
                <w:sz w:val="17"/>
                <w:szCs w:val="17"/>
                <w:color w:val="auto"/>
              </w:rPr>
              <w:t>Net earnings (loss) per diluted share:</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72"/>
        </w:trPr>
        <w:tc>
          <w:tcPr>
            <w:tcW w:w="55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r>
      <w:tr>
        <w:trPr>
          <w:trHeight w:val="239"/>
        </w:trPr>
        <w:tc>
          <w:tcPr>
            <w:tcW w:w="5520" w:type="dxa"/>
            <w:vAlign w:val="bottom"/>
          </w:tcPr>
          <w:p>
            <w:pPr>
              <w:ind w:left="380"/>
              <w:spacing w:after="0"/>
              <w:rPr>
                <w:sz w:val="20"/>
                <w:szCs w:val="20"/>
                <w:color w:val="auto"/>
              </w:rPr>
            </w:pPr>
            <w:r>
              <w:rPr>
                <w:rFonts w:ascii="Arial" w:cs="Arial" w:eastAsia="Arial" w:hAnsi="Arial"/>
                <w:sz w:val="17"/>
                <w:szCs w:val="17"/>
                <w:color w:val="auto"/>
              </w:rPr>
              <w:t>Net income (loss) from continuing operations</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0.61</w:t>
            </w:r>
          </w:p>
        </w:tc>
        <w:tc>
          <w:tcPr>
            <w:tcW w:w="120" w:type="dxa"/>
            <w:vAlign w:val="bottom"/>
          </w:tcPr>
          <w:p>
            <w:pPr>
              <w:spacing w:after="0"/>
              <w:rPr>
                <w:sz w:val="20"/>
                <w:szCs w:val="20"/>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0.47</w:t>
            </w:r>
          </w:p>
        </w:tc>
        <w:tc>
          <w:tcPr>
            <w:tcW w:w="12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20"/>
                <w:szCs w:val="20"/>
                <w:color w:val="auto"/>
              </w:rPr>
            </w:pP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0.62</w:t>
            </w:r>
          </w:p>
        </w:tc>
      </w:tr>
      <w:tr>
        <w:trPr>
          <w:trHeight w:val="31"/>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Loss from discontinued operations, net of tax</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5520" w:type="dxa"/>
            <w:vAlign w:val="bottom"/>
          </w:tcPr>
          <w:p>
            <w:pPr>
              <w:ind w:left="380"/>
              <w:spacing w:after="0"/>
              <w:rPr>
                <w:sz w:val="20"/>
                <w:szCs w:val="20"/>
                <w:color w:val="auto"/>
              </w:rPr>
            </w:pPr>
            <w:r>
              <w:rPr>
                <w:rFonts w:ascii="Arial" w:cs="Arial" w:eastAsia="Arial" w:hAnsi="Arial"/>
                <w:sz w:val="17"/>
                <w:szCs w:val="17"/>
                <w:color w:val="auto"/>
              </w:rPr>
              <w:t>Net income (loss)</w:t>
            </w: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0.61</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0.47</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0.62</w:t>
            </w:r>
          </w:p>
        </w:tc>
      </w:tr>
      <w:tr>
        <w:trPr>
          <w:trHeight w:val="71"/>
        </w:trPr>
        <w:tc>
          <w:tcPr>
            <w:tcW w:w="55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179"/>
        </w:trPr>
        <w:tc>
          <w:tcPr>
            <w:tcW w:w="5520" w:type="dxa"/>
            <w:vAlign w:val="bottom"/>
            <w:shd w:val="clear" w:color="auto" w:fill="CCEEFF"/>
          </w:tcPr>
          <w:p>
            <w:pPr>
              <w:ind w:left="40"/>
              <w:spacing w:after="0" w:line="179" w:lineRule="exact"/>
              <w:rPr>
                <w:sz w:val="20"/>
                <w:szCs w:val="20"/>
                <w:color w:val="auto"/>
              </w:rPr>
            </w:pPr>
            <w:r>
              <w:rPr>
                <w:rFonts w:ascii="Arial" w:cs="Arial" w:eastAsia="Arial" w:hAnsi="Arial"/>
                <w:sz w:val="17"/>
                <w:szCs w:val="17"/>
                <w:color w:val="auto"/>
              </w:rPr>
              <w:t>Weighted average shares used in calculating earnings (loss) per share:</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71"/>
        </w:trPr>
        <w:tc>
          <w:tcPr>
            <w:tcW w:w="55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r>
      <w:tr>
        <w:trPr>
          <w:trHeight w:val="239"/>
        </w:trPr>
        <w:tc>
          <w:tcPr>
            <w:tcW w:w="5520" w:type="dxa"/>
            <w:vAlign w:val="bottom"/>
          </w:tcPr>
          <w:p>
            <w:pPr>
              <w:ind w:left="380"/>
              <w:spacing w:after="0"/>
              <w:rPr>
                <w:sz w:val="20"/>
                <w:szCs w:val="20"/>
                <w:color w:val="auto"/>
              </w:rPr>
            </w:pPr>
            <w:r>
              <w:rPr>
                <w:rFonts w:ascii="Arial" w:cs="Arial" w:eastAsia="Arial" w:hAnsi="Arial"/>
                <w:sz w:val="17"/>
                <w:szCs w:val="17"/>
                <w:color w:val="auto"/>
              </w:rPr>
              <w:t>Basic</w:t>
            </w:r>
          </w:p>
        </w:tc>
        <w:tc>
          <w:tcPr>
            <w:tcW w:w="3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21,869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21,997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21,848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21,933</w:t>
            </w:r>
          </w:p>
        </w:tc>
      </w:tr>
      <w:tr>
        <w:trPr>
          <w:trHeight w:val="31"/>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22,116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22,400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21,848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22,356</w:t>
            </w:r>
          </w:p>
        </w:tc>
      </w:tr>
      <w:tr>
        <w:trPr>
          <w:trHeight w:val="239"/>
        </w:trPr>
        <w:tc>
          <w:tcPr>
            <w:tcW w:w="5520" w:type="dxa"/>
            <w:vAlign w:val="bottom"/>
          </w:tcPr>
          <w:p>
            <w:pPr>
              <w:ind w:left="40"/>
              <w:spacing w:after="0"/>
              <w:rPr>
                <w:sz w:val="20"/>
                <w:szCs w:val="20"/>
                <w:color w:val="auto"/>
              </w:rPr>
            </w:pPr>
            <w:r>
              <w:rPr>
                <w:rFonts w:ascii="Arial" w:cs="Arial" w:eastAsia="Arial" w:hAnsi="Arial"/>
                <w:sz w:val="17"/>
                <w:szCs w:val="17"/>
                <w:b w:val="1"/>
                <w:bCs w:val="1"/>
                <w:color w:val="auto"/>
              </w:rPr>
              <w:t>Comprehensive income:</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1"/>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13,547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10,472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(28,761)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13,776</w:t>
            </w:r>
          </w:p>
        </w:tc>
      </w:tr>
      <w:tr>
        <w:trPr>
          <w:trHeight w:val="239"/>
        </w:trPr>
        <w:tc>
          <w:tcPr>
            <w:tcW w:w="5520" w:type="dxa"/>
            <w:vAlign w:val="bottom"/>
          </w:tcPr>
          <w:p>
            <w:pPr>
              <w:ind w:left="40"/>
              <w:spacing w:after="0"/>
              <w:rPr>
                <w:sz w:val="20"/>
                <w:szCs w:val="20"/>
                <w:color w:val="auto"/>
              </w:rPr>
            </w:pPr>
            <w:r>
              <w:rPr>
                <w:rFonts w:ascii="Arial" w:cs="Arial" w:eastAsia="Arial" w:hAnsi="Arial"/>
                <w:sz w:val="17"/>
                <w:szCs w:val="17"/>
                <w:color w:val="auto"/>
              </w:rPr>
              <w:t>Foreign currency translation adjustments, net of tax</w:t>
            </w:r>
          </w:p>
        </w:tc>
        <w:tc>
          <w:tcPr>
            <w:tcW w:w="3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(675)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31"/>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Unrealized gain (loss) on investment,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6,572</w:t>
            </w:r>
          </w:p>
        </w:tc>
      </w:tr>
      <w:tr>
        <w:trPr>
          <w:trHeight w:val="239"/>
        </w:trPr>
        <w:tc>
          <w:tcPr>
            <w:tcW w:w="5520" w:type="dxa"/>
            <w:vAlign w:val="bottom"/>
          </w:tcPr>
          <w:p>
            <w:pPr>
              <w:ind w:left="40"/>
              <w:spacing w:after="0"/>
              <w:rPr>
                <w:sz w:val="20"/>
                <w:szCs w:val="20"/>
                <w:color w:val="auto"/>
              </w:rPr>
            </w:pPr>
            <w:r>
              <w:rPr>
                <w:rFonts w:ascii="Arial" w:cs="Arial" w:eastAsia="Arial" w:hAnsi="Arial"/>
                <w:sz w:val="17"/>
                <w:szCs w:val="17"/>
                <w:color w:val="auto"/>
              </w:rPr>
              <w:t>Unrealized loss on cash flow hedging instruments, net of tax</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(3,390)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(849)</w:t>
            </w:r>
          </w:p>
        </w:tc>
      </w:tr>
      <w:tr>
        <w:trPr>
          <w:trHeight w:val="31"/>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5,680</w:t>
            </w:r>
          </w:p>
        </w:tc>
      </w:tr>
      <w:tr>
        <w:trPr>
          <w:trHeight w:val="219"/>
        </w:trPr>
        <w:tc>
          <w:tcPr>
            <w:tcW w:w="5520" w:type="dxa"/>
            <w:vAlign w:val="bottom"/>
          </w:tcPr>
          <w:p>
            <w:pPr>
              <w:ind w:left="40"/>
              <w:spacing w:after="0"/>
              <w:rPr>
                <w:sz w:val="20"/>
                <w:szCs w:val="20"/>
                <w:color w:val="auto"/>
              </w:rPr>
            </w:pPr>
            <w:r>
              <w:rPr>
                <w:rFonts w:ascii="Arial" w:cs="Arial" w:eastAsia="Arial" w:hAnsi="Arial"/>
                <w:sz w:val="17"/>
                <w:szCs w:val="17"/>
                <w:color w:val="auto"/>
              </w:rPr>
              <w:t>Comprehensive income (loss)</w:t>
            </w: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6,268</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13,416</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(38,762)</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19,456</w:t>
            </w:r>
          </w:p>
        </w:tc>
      </w:tr>
      <w:tr>
        <w:trPr>
          <w:trHeight w:val="31"/>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25" w:right="339" w:bottom="217"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25" w:right="339" w:bottom="217"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9"/>
              </w:rPr>
              <w:t>Three Months Ended June 30,</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00" w:type="dxa"/>
            <w:vAlign w:val="bottom"/>
          </w:tcPr>
          <w:p>
            <w:pPr>
              <w:spacing w:after="0"/>
              <w:rPr>
                <w:sz w:val="18"/>
                <w:szCs w:val="18"/>
                <w:color w:val="auto"/>
              </w:rPr>
            </w:pPr>
          </w:p>
        </w:tc>
        <w:tc>
          <w:tcPr>
            <w:tcW w:w="208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2040" w:type="dxa"/>
            <w:vAlign w:val="bottom"/>
            <w:gridSpan w:val="5"/>
          </w:tcPr>
          <w:p>
            <w:pPr>
              <w:ind w:left="52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4"/>
                <w:szCs w:val="4"/>
                <w:color w:val="auto"/>
              </w:rPr>
            </w:pPr>
          </w:p>
        </w:tc>
        <w:tc>
          <w:tcPr>
            <w:tcW w:w="820" w:type="dxa"/>
            <w:vAlign w:val="bottom"/>
            <w:gridSpan w:val="2"/>
            <w:vMerge w:val="restart"/>
          </w:tcPr>
          <w:p>
            <w:pPr>
              <w:spacing w:after="0" w:line="13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4"/>
                <w:szCs w:val="4"/>
                <w:color w:val="auto"/>
              </w:rPr>
            </w:pPr>
          </w:p>
        </w:tc>
        <w:tc>
          <w:tcPr>
            <w:tcW w:w="1000" w:type="dxa"/>
            <w:vAlign w:val="bottom"/>
            <w:vMerge w:val="restart"/>
          </w:tcPr>
          <w:p>
            <w:pPr>
              <w:jc w:val="center"/>
              <w:ind w:right="28"/>
              <w:spacing w:after="0" w:line="13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65"/>
        </w:trPr>
        <w:tc>
          <w:tcPr>
            <w:tcW w:w="2600" w:type="dxa"/>
            <w:vAlign w:val="bottom"/>
          </w:tcPr>
          <w:p>
            <w:pPr>
              <w:spacing w:after="0"/>
              <w:rPr>
                <w:sz w:val="5"/>
                <w:szCs w:val="5"/>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6"/>
                <w:szCs w:val="16"/>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7"/>
        </w:trPr>
        <w:tc>
          <w:tcPr>
            <w:tcW w:w="2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31, 2020</w:t>
            </w:r>
          </w:p>
        </w:tc>
        <w:tc>
          <w:tcPr>
            <w:tcW w:w="9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24,559,854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246</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(2,780,835)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(128,366)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444,974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195,541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12,214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524,609</w:t>
            </w:r>
          </w:p>
        </w:tc>
        <w:tc>
          <w:tcPr>
            <w:tcW w:w="0" w:type="dxa"/>
            <w:vAlign w:val="bottom"/>
          </w:tcPr>
          <w:p>
            <w:pPr>
              <w:spacing w:after="0"/>
              <w:rPr>
                <w:sz w:val="1"/>
                <w:szCs w:val="1"/>
                <w:color w:val="auto"/>
              </w:rPr>
            </w:pPr>
          </w:p>
        </w:tc>
      </w:tr>
      <w:tr>
        <w:trPr>
          <w:trHeight w:val="79"/>
        </w:trPr>
        <w:tc>
          <w:tcPr>
            <w:tcW w:w="26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13,547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(7,279)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6,268</w:t>
            </w:r>
          </w:p>
        </w:tc>
        <w:tc>
          <w:tcPr>
            <w:tcW w:w="0" w:type="dxa"/>
            <w:vAlign w:val="bottom"/>
          </w:tcPr>
          <w:p>
            <w:pPr>
              <w:spacing w:after="0"/>
              <w:rPr>
                <w:sz w:val="1"/>
                <w:szCs w:val="1"/>
                <w:color w:val="auto"/>
              </w:rPr>
            </w:pPr>
          </w:p>
        </w:tc>
      </w:tr>
      <w:tr>
        <w:trPr>
          <w:trHeight w:val="73"/>
        </w:trPr>
        <w:tc>
          <w:tcPr>
            <w:tcW w:w="2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in connection</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with:</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600" w:type="dxa"/>
            <w:vAlign w:val="bottom"/>
          </w:tcPr>
          <w:p>
            <w:pPr>
              <w:ind w:left="380"/>
              <w:spacing w:after="0" w:line="157" w:lineRule="exact"/>
              <w:rPr>
                <w:sz w:val="20"/>
                <w:szCs w:val="20"/>
                <w:color w:val="auto"/>
              </w:rPr>
            </w:pPr>
            <w:r>
              <w:rPr>
                <w:rFonts w:ascii="Arial" w:cs="Arial" w:eastAsia="Arial" w:hAnsi="Arial"/>
                <w:sz w:val="14"/>
                <w:szCs w:val="14"/>
                <w:color w:val="auto"/>
              </w:rPr>
              <w:t>Restricted stock awards, net of</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00" w:type="dxa"/>
            <w:vAlign w:val="bottom"/>
          </w:tcPr>
          <w:p>
            <w:pPr>
              <w:ind w:left="380"/>
              <w:spacing w:after="0"/>
              <w:rPr>
                <w:sz w:val="20"/>
                <w:szCs w:val="20"/>
                <w:color w:val="auto"/>
              </w:rPr>
            </w:pPr>
            <w:r>
              <w:rPr>
                <w:rFonts w:ascii="Arial" w:cs="Arial" w:eastAsia="Arial" w:hAnsi="Arial"/>
                <w:sz w:val="14"/>
                <w:szCs w:val="14"/>
                <w:color w:val="auto"/>
              </w:rPr>
              <w:t>cancellations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19,582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(4,157)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Exercise of stock options</w:t>
            </w: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6,800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80"/>
        </w:trPr>
        <w:tc>
          <w:tcPr>
            <w:tcW w:w="26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60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5,043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5,043</w:t>
            </w:r>
          </w:p>
        </w:tc>
        <w:tc>
          <w:tcPr>
            <w:tcW w:w="0" w:type="dxa"/>
            <w:vAlign w:val="bottom"/>
          </w:tcPr>
          <w:p>
            <w:pPr>
              <w:spacing w:after="0"/>
              <w:rPr>
                <w:sz w:val="1"/>
                <w:szCs w:val="1"/>
                <w:color w:val="auto"/>
              </w:rPr>
            </w:pPr>
          </w:p>
        </w:tc>
      </w:tr>
      <w:tr>
        <w:trPr>
          <w:trHeight w:val="73"/>
        </w:trPr>
        <w:tc>
          <w:tcPr>
            <w:tcW w:w="2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redeemed for employee tax</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withholdings</w:t>
            </w:r>
          </w:p>
        </w:tc>
        <w:tc>
          <w:tcPr>
            <w:tcW w:w="9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(1,806)</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70"/>
        </w:trPr>
        <w:tc>
          <w:tcPr>
            <w:tcW w:w="2600" w:type="dxa"/>
            <w:vAlign w:val="bottom"/>
          </w:tcPr>
          <w:p>
            <w:pPr>
              <w:ind w:left="40"/>
              <w:spacing w:after="0"/>
              <w:rPr>
                <w:sz w:val="20"/>
                <w:szCs w:val="20"/>
                <w:color w:val="auto"/>
              </w:rPr>
            </w:pPr>
            <w:r>
              <w:rPr>
                <w:rFonts w:ascii="Arial" w:cs="Arial" w:eastAsia="Arial" w:hAnsi="Arial"/>
                <w:sz w:val="14"/>
                <w:szCs w:val="14"/>
                <w:b w:val="1"/>
                <w:bCs w:val="1"/>
                <w:color w:val="auto"/>
              </w:rPr>
              <w:t>Balance at June 30, 2020</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24,586,236</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4"/>
                <w:szCs w:val="14"/>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(2,786,798)</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(128,646)</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450,391</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209,088</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4,935</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536,014</w:t>
            </w:r>
          </w:p>
        </w:tc>
        <w:tc>
          <w:tcPr>
            <w:tcW w:w="0" w:type="dxa"/>
            <w:vAlign w:val="bottom"/>
          </w:tcPr>
          <w:p>
            <w:pPr>
              <w:spacing w:after="0"/>
              <w:rPr>
                <w:sz w:val="1"/>
                <w:szCs w:val="1"/>
                <w:color w:val="auto"/>
              </w:rPr>
            </w:pPr>
          </w:p>
        </w:tc>
      </w:tr>
      <w:tr>
        <w:trPr>
          <w:trHeight w:val="65"/>
        </w:trPr>
        <w:tc>
          <w:tcPr>
            <w:tcW w:w="2600" w:type="dxa"/>
            <w:vAlign w:val="bottom"/>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at March 31, 2019</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600" w:type="dxa"/>
            <w:vAlign w:val="bottom"/>
            <w:vMerge w:val="continue"/>
          </w:tcPr>
          <w:p>
            <w:pPr>
              <w:spacing w:after="0"/>
              <w:rPr>
                <w:sz w:val="24"/>
                <w:szCs w:val="24"/>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24,682,802</w:t>
            </w:r>
          </w:p>
        </w:tc>
        <w:tc>
          <w:tcPr>
            <w:tcW w:w="12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4"/>
                <w:szCs w:val="24"/>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(2,738,850)</w:t>
            </w:r>
          </w:p>
        </w:tc>
        <w:tc>
          <w:tcPr>
            <w:tcW w:w="12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(126,983)</w:t>
            </w:r>
          </w:p>
        </w:tc>
        <w:tc>
          <w:tcPr>
            <w:tcW w:w="1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457,748</w:t>
            </w:r>
          </w:p>
        </w:tc>
        <w:tc>
          <w:tcPr>
            <w:tcW w:w="10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199,410</w:t>
            </w:r>
          </w:p>
        </w:tc>
        <w:tc>
          <w:tcPr>
            <w:tcW w:w="10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19,231</w:t>
            </w:r>
          </w:p>
        </w:tc>
        <w:tc>
          <w:tcPr>
            <w:tcW w:w="1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549,653</w:t>
            </w:r>
          </w:p>
        </w:tc>
        <w:tc>
          <w:tcPr>
            <w:tcW w:w="0" w:type="dxa"/>
            <w:vAlign w:val="bottom"/>
          </w:tcPr>
          <w:p>
            <w:pPr>
              <w:spacing w:after="0"/>
              <w:rPr>
                <w:sz w:val="1"/>
                <w:szCs w:val="1"/>
                <w:color w:val="auto"/>
              </w:rPr>
            </w:pPr>
          </w:p>
        </w:tc>
      </w:tr>
      <w:tr>
        <w:trPr>
          <w:trHeight w:val="74"/>
        </w:trPr>
        <w:tc>
          <w:tcPr>
            <w:tcW w:w="26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10,472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2,944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13,416</w:t>
            </w:r>
          </w:p>
        </w:tc>
        <w:tc>
          <w:tcPr>
            <w:tcW w:w="0" w:type="dxa"/>
            <w:vAlign w:val="bottom"/>
          </w:tcPr>
          <w:p>
            <w:pPr>
              <w:spacing w:after="0"/>
              <w:rPr>
                <w:sz w:val="1"/>
                <w:szCs w:val="1"/>
                <w:color w:val="auto"/>
              </w:rPr>
            </w:pPr>
          </w:p>
        </w:tc>
      </w:tr>
      <w:tr>
        <w:trPr>
          <w:trHeight w:val="80"/>
        </w:trPr>
        <w:tc>
          <w:tcPr>
            <w:tcW w:w="26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600" w:type="dxa"/>
            <w:vAlign w:val="bottom"/>
          </w:tcPr>
          <w:p>
            <w:pPr>
              <w:ind w:left="40"/>
              <w:spacing w:after="0" w:line="157" w:lineRule="exact"/>
              <w:rPr>
                <w:sz w:val="20"/>
                <w:szCs w:val="20"/>
                <w:color w:val="auto"/>
              </w:rPr>
            </w:pPr>
            <w:r>
              <w:rPr>
                <w:rFonts w:ascii="Arial" w:cs="Arial" w:eastAsia="Arial" w:hAnsi="Arial"/>
                <w:sz w:val="14"/>
                <w:szCs w:val="14"/>
                <w:color w:val="auto"/>
              </w:rPr>
              <w:t>Issuance of common stock in connection</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00" w:type="dxa"/>
            <w:vAlign w:val="bottom"/>
          </w:tcPr>
          <w:p>
            <w:pPr>
              <w:ind w:left="40"/>
              <w:spacing w:after="0"/>
              <w:rPr>
                <w:sz w:val="20"/>
                <w:szCs w:val="20"/>
                <w:color w:val="auto"/>
              </w:rPr>
            </w:pPr>
            <w:r>
              <w:rPr>
                <w:rFonts w:ascii="Arial" w:cs="Arial" w:eastAsia="Arial" w:hAnsi="Arial"/>
                <w:sz w:val="14"/>
                <w:szCs w:val="14"/>
                <w:color w:val="auto"/>
              </w:rPr>
              <w:t>with:</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Restricted stock awards, net of</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cancellations</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18,391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600" w:type="dxa"/>
            <w:vAlign w:val="bottom"/>
          </w:tcPr>
          <w:p>
            <w:pPr>
              <w:ind w:left="380"/>
              <w:spacing w:after="0"/>
              <w:rPr>
                <w:sz w:val="20"/>
                <w:szCs w:val="20"/>
                <w:color w:val="auto"/>
              </w:rPr>
            </w:pPr>
            <w:r>
              <w:rPr>
                <w:rFonts w:ascii="Arial" w:cs="Arial" w:eastAsia="Arial" w:hAnsi="Arial"/>
                <w:sz w:val="14"/>
                <w:szCs w:val="14"/>
                <w:color w:val="auto"/>
              </w:rPr>
              <w:t>Exercise of stock options</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73"/>
        </w:trPr>
        <w:tc>
          <w:tcPr>
            <w:tcW w:w="26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5,133</w:t>
            </w:r>
          </w:p>
        </w:tc>
        <w:tc>
          <w:tcPr>
            <w:tcW w:w="0" w:type="dxa"/>
            <w:vAlign w:val="bottom"/>
          </w:tcPr>
          <w:p>
            <w:pPr>
              <w:spacing w:after="0"/>
              <w:rPr>
                <w:sz w:val="1"/>
                <w:szCs w:val="1"/>
                <w:color w:val="auto"/>
              </w:rPr>
            </w:pPr>
          </w:p>
        </w:tc>
      </w:tr>
      <w:tr>
        <w:trPr>
          <w:trHeight w:val="80"/>
        </w:trPr>
        <w:tc>
          <w:tcPr>
            <w:tcW w:w="26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600" w:type="dxa"/>
            <w:vAlign w:val="bottom"/>
          </w:tcPr>
          <w:p>
            <w:pPr>
              <w:ind w:left="40"/>
              <w:spacing w:after="0" w:line="157" w:lineRule="exact"/>
              <w:rPr>
                <w:sz w:val="20"/>
                <w:szCs w:val="20"/>
                <w:color w:val="auto"/>
              </w:rPr>
            </w:pPr>
            <w:r>
              <w:rPr>
                <w:rFonts w:ascii="Arial" w:cs="Arial" w:eastAsia="Arial" w:hAnsi="Arial"/>
                <w:sz w:val="14"/>
                <w:szCs w:val="14"/>
                <w:color w:val="auto"/>
              </w:rPr>
              <w:t>Shares redeemed for employee tax</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withholdings</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77"/>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30, 2019</w:t>
            </w: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24,711,193</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(2,742,826)</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(127,133)</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463,190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209,882</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22,175</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568,361</w:t>
            </w:r>
          </w:p>
        </w:tc>
        <w:tc>
          <w:tcPr>
            <w:tcW w:w="0" w:type="dxa"/>
            <w:vAlign w:val="bottom"/>
          </w:tcPr>
          <w:p>
            <w:pPr>
              <w:spacing w:after="0"/>
              <w:rPr>
                <w:sz w:val="1"/>
                <w:szCs w:val="1"/>
                <w:color w:val="auto"/>
              </w:rPr>
            </w:pPr>
          </w:p>
        </w:tc>
      </w:tr>
      <w:tr>
        <w:trPr>
          <w:trHeight w:val="60"/>
        </w:trPr>
        <w:tc>
          <w:tcPr>
            <w:tcW w:w="26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6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600" w:type="dxa"/>
            <w:vAlign w:val="bottom"/>
          </w:tcPr>
          <w:p>
            <w:pPr>
              <w:spacing w:after="0"/>
              <w:rPr>
                <w:sz w:val="18"/>
                <w:szCs w:val="18"/>
                <w:color w:val="auto"/>
              </w:rPr>
            </w:pPr>
          </w:p>
        </w:tc>
        <w:tc>
          <w:tcPr>
            <w:tcW w:w="208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2040" w:type="dxa"/>
            <w:vAlign w:val="bottom"/>
            <w:gridSpan w:val="5"/>
          </w:tcPr>
          <w:p>
            <w:pPr>
              <w:ind w:left="52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4"/>
                <w:szCs w:val="4"/>
                <w:color w:val="auto"/>
              </w:rPr>
            </w:pPr>
          </w:p>
        </w:tc>
        <w:tc>
          <w:tcPr>
            <w:tcW w:w="820" w:type="dxa"/>
            <w:vAlign w:val="bottom"/>
            <w:gridSpan w:val="2"/>
            <w:vMerge w:val="restart"/>
          </w:tcPr>
          <w:p>
            <w:pPr>
              <w:spacing w:after="0" w:line="13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4"/>
                <w:szCs w:val="4"/>
                <w:color w:val="auto"/>
              </w:rPr>
            </w:pPr>
          </w:p>
        </w:tc>
        <w:tc>
          <w:tcPr>
            <w:tcW w:w="1000" w:type="dxa"/>
            <w:vAlign w:val="bottom"/>
            <w:vMerge w:val="restart"/>
          </w:tcPr>
          <w:p>
            <w:pPr>
              <w:jc w:val="center"/>
              <w:ind w:right="28"/>
              <w:spacing w:after="0" w:line="13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65"/>
        </w:trPr>
        <w:tc>
          <w:tcPr>
            <w:tcW w:w="2600" w:type="dxa"/>
            <w:vAlign w:val="bottom"/>
          </w:tcPr>
          <w:p>
            <w:pPr>
              <w:spacing w:after="0"/>
              <w:rPr>
                <w:sz w:val="5"/>
                <w:szCs w:val="5"/>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6"/>
                <w:szCs w:val="16"/>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7"/>
        </w:trPr>
        <w:tc>
          <w:tcPr>
            <w:tcW w:w="2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2019</w:t>
            </w:r>
          </w:p>
        </w:tc>
        <w:tc>
          <w:tcPr>
            <w:tcW w:w="9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24,603,308</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247</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(2,763,302)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(128,348)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460,781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237,849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14,936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585,465</w:t>
            </w:r>
          </w:p>
        </w:tc>
        <w:tc>
          <w:tcPr>
            <w:tcW w:w="0" w:type="dxa"/>
            <w:vAlign w:val="bottom"/>
          </w:tcPr>
          <w:p>
            <w:pPr>
              <w:spacing w:after="0"/>
              <w:rPr>
                <w:sz w:val="1"/>
                <w:szCs w:val="1"/>
                <w:color w:val="auto"/>
              </w:rPr>
            </w:pPr>
          </w:p>
        </w:tc>
      </w:tr>
      <w:tr>
        <w:trPr>
          <w:trHeight w:val="79"/>
        </w:trPr>
        <w:tc>
          <w:tcPr>
            <w:tcW w:w="26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(28,761)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(10,001)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(38,762)</w:t>
            </w:r>
          </w:p>
        </w:tc>
        <w:tc>
          <w:tcPr>
            <w:tcW w:w="0" w:type="dxa"/>
            <w:vAlign w:val="bottom"/>
          </w:tcPr>
          <w:p>
            <w:pPr>
              <w:spacing w:after="0"/>
              <w:rPr>
                <w:sz w:val="1"/>
                <w:szCs w:val="1"/>
                <w:color w:val="auto"/>
              </w:rPr>
            </w:pPr>
          </w:p>
        </w:tc>
      </w:tr>
      <w:tr>
        <w:trPr>
          <w:trHeight w:val="73"/>
        </w:trPr>
        <w:tc>
          <w:tcPr>
            <w:tcW w:w="2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in connection</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with:</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600" w:type="dxa"/>
            <w:vAlign w:val="bottom"/>
          </w:tcPr>
          <w:p>
            <w:pPr>
              <w:ind w:left="380"/>
              <w:spacing w:after="0" w:line="157" w:lineRule="exact"/>
              <w:rPr>
                <w:sz w:val="20"/>
                <w:szCs w:val="20"/>
                <w:color w:val="auto"/>
              </w:rPr>
            </w:pPr>
            <w:r>
              <w:rPr>
                <w:rFonts w:ascii="Arial" w:cs="Arial" w:eastAsia="Arial" w:hAnsi="Arial"/>
                <w:sz w:val="14"/>
                <w:szCs w:val="14"/>
                <w:color w:val="auto"/>
              </w:rPr>
              <w:t>Restricted stock awards, net of</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00" w:type="dxa"/>
            <w:vAlign w:val="bottom"/>
          </w:tcPr>
          <w:p>
            <w:pPr>
              <w:ind w:left="380"/>
              <w:spacing w:after="0"/>
              <w:rPr>
                <w:sz w:val="20"/>
                <w:szCs w:val="20"/>
                <w:color w:val="auto"/>
              </w:rPr>
            </w:pPr>
            <w:r>
              <w:rPr>
                <w:rFonts w:ascii="Arial" w:cs="Arial" w:eastAsia="Arial" w:hAnsi="Arial"/>
                <w:sz w:val="14"/>
                <w:szCs w:val="14"/>
                <w:color w:val="auto"/>
              </w:rPr>
              <w:t>cancellations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270,126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98,310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6,919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Exercise of stock options</w:t>
            </w: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26,800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80"/>
        </w:trPr>
        <w:tc>
          <w:tcPr>
            <w:tcW w:w="26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60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16,763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16,763</w:t>
            </w:r>
          </w:p>
        </w:tc>
        <w:tc>
          <w:tcPr>
            <w:tcW w:w="0" w:type="dxa"/>
            <w:vAlign w:val="bottom"/>
          </w:tcPr>
          <w:p>
            <w:pPr>
              <w:spacing w:after="0"/>
              <w:rPr>
                <w:sz w:val="1"/>
                <w:szCs w:val="1"/>
                <w:color w:val="auto"/>
              </w:rPr>
            </w:pPr>
          </w:p>
        </w:tc>
      </w:tr>
      <w:tr>
        <w:trPr>
          <w:trHeight w:val="73"/>
        </w:trPr>
        <w:tc>
          <w:tcPr>
            <w:tcW w:w="2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redeemed for employee tax</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withholdings</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(121,806)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(7,217)</w:t>
            </w:r>
          </w:p>
        </w:tc>
        <w:tc>
          <w:tcPr>
            <w:tcW w:w="0" w:type="dxa"/>
            <w:vAlign w:val="bottom"/>
          </w:tcPr>
          <w:p>
            <w:pPr>
              <w:spacing w:after="0"/>
              <w:rPr>
                <w:sz w:val="1"/>
                <w:szCs w:val="1"/>
                <w:color w:val="auto"/>
              </w:rPr>
            </w:pPr>
          </w:p>
        </w:tc>
      </w:tr>
      <w:tr>
        <w:trPr>
          <w:trHeight w:val="191"/>
        </w:trPr>
        <w:tc>
          <w:tcPr>
            <w:tcW w:w="2600" w:type="dxa"/>
            <w:vAlign w:val="bottom"/>
          </w:tcPr>
          <w:p>
            <w:pPr>
              <w:ind w:left="40"/>
              <w:spacing w:after="0"/>
              <w:rPr>
                <w:sz w:val="20"/>
                <w:szCs w:val="20"/>
                <w:color w:val="auto"/>
              </w:rPr>
            </w:pPr>
            <w:r>
              <w:rPr>
                <w:rFonts w:ascii="Arial" w:cs="Arial" w:eastAsia="Arial" w:hAnsi="Arial"/>
                <w:sz w:val="14"/>
                <w:szCs w:val="14"/>
                <w:color w:val="auto"/>
              </w:rPr>
              <w:t>Share repurchases</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(313,998)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(20,878)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(20,881)</w:t>
            </w:r>
          </w:p>
        </w:tc>
        <w:tc>
          <w:tcPr>
            <w:tcW w:w="0" w:type="dxa"/>
            <w:vAlign w:val="bottom"/>
          </w:tcPr>
          <w:p>
            <w:pPr>
              <w:spacing w:after="0"/>
              <w:rPr>
                <w:sz w:val="1"/>
                <w:szCs w:val="1"/>
                <w:color w:val="auto"/>
              </w:rPr>
            </w:pPr>
          </w:p>
        </w:tc>
      </w:tr>
      <w:tr>
        <w:trPr>
          <w:trHeight w:val="73"/>
        </w:trPr>
        <w:tc>
          <w:tcPr>
            <w:tcW w:w="260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30, 2020</w:t>
            </w: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24,586,236</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(2,786,798)</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(128,646)</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450,391</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209,088</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4,935</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536,014</w:t>
            </w:r>
          </w:p>
        </w:tc>
        <w:tc>
          <w:tcPr>
            <w:tcW w:w="0" w:type="dxa"/>
            <w:vAlign w:val="bottom"/>
          </w:tcPr>
          <w:p>
            <w:pPr>
              <w:spacing w:after="0"/>
              <w:rPr>
                <w:sz w:val="1"/>
                <w:szCs w:val="1"/>
                <w:color w:val="auto"/>
              </w:rPr>
            </w:pPr>
          </w:p>
        </w:tc>
      </w:tr>
      <w:tr>
        <w:trPr>
          <w:trHeight w:val="60"/>
        </w:trPr>
        <w:tc>
          <w:tcPr>
            <w:tcW w:w="26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5" w:right="339" w:bottom="933" w:gutter="0" w:footer="0" w:header="0"/>
        </w:sectPr>
      </w:pPr>
    </w:p>
    <w:p>
      <w:pPr>
        <w:spacing w:after="0" w:line="342" w:lineRule="exact"/>
        <w:rPr>
          <w:sz w:val="20"/>
          <w:szCs w:val="20"/>
          <w:color w:val="auto"/>
        </w:rPr>
      </w:pPr>
    </w:p>
    <w:p>
      <w:pPr>
        <w:ind w:left="40" w:right="500"/>
        <w:spacing w:after="0" w:line="339" w:lineRule="auto"/>
        <w:rPr>
          <w:sz w:val="20"/>
          <w:szCs w:val="20"/>
          <w:color w:val="auto"/>
        </w:rPr>
      </w:pPr>
      <w:r>
        <w:rPr>
          <w:rFonts w:ascii="Arial" w:cs="Arial" w:eastAsia="Arial" w:hAnsi="Arial"/>
          <w:sz w:val="14"/>
          <w:szCs w:val="14"/>
          <w:b w:val="1"/>
          <w:bCs w:val="1"/>
          <w:color w:val="auto"/>
        </w:rPr>
        <w:t xml:space="preserve">Balance at December 31, 2018 </w:t>
      </w:r>
      <w:r>
        <w:rPr>
          <w:rFonts w:ascii="Arial" w:cs="Arial" w:eastAsia="Arial" w:hAnsi="Arial"/>
          <w:sz w:val="14"/>
          <w:szCs w:val="14"/>
          <w:color w:val="auto"/>
        </w:rPr>
        <w:t>Comprehensive income</w:t>
      </w:r>
    </w:p>
    <w:p>
      <w:pPr>
        <w:spacing w:after="0" w:line="2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in connection with:</w:t>
      </w:r>
    </w:p>
    <w:p>
      <w:pPr>
        <w:spacing w:after="0" w:line="12" w:lineRule="exact"/>
        <w:rPr>
          <w:sz w:val="20"/>
          <w:szCs w:val="20"/>
          <w:color w:val="auto"/>
        </w:rPr>
      </w:pPr>
    </w:p>
    <w:p>
      <w:pPr>
        <w:ind w:left="380" w:right="220"/>
        <w:spacing w:after="0" w:line="253" w:lineRule="auto"/>
        <w:rPr>
          <w:sz w:val="20"/>
          <w:szCs w:val="20"/>
          <w:color w:val="auto"/>
        </w:rPr>
      </w:pPr>
      <w:r>
        <w:rPr>
          <w:rFonts w:ascii="Arial" w:cs="Arial" w:eastAsia="Arial" w:hAnsi="Arial"/>
          <w:sz w:val="14"/>
          <w:szCs w:val="14"/>
          <w:color w:val="auto"/>
        </w:rPr>
        <w:t>Restricted stock awards, net of cancellations</w:t>
      </w:r>
    </w:p>
    <w:p>
      <w:pPr>
        <w:spacing w:after="0" w:line="12" w:lineRule="exact"/>
        <w:rPr>
          <w:sz w:val="20"/>
          <w:szCs w:val="20"/>
          <w:color w:val="auto"/>
        </w:rPr>
      </w:pPr>
    </w:p>
    <w:p>
      <w:pPr>
        <w:ind w:left="40" w:right="540" w:firstLine="351"/>
        <w:spacing w:after="0" w:line="433" w:lineRule="auto"/>
        <w:rPr>
          <w:sz w:val="20"/>
          <w:szCs w:val="20"/>
          <w:color w:val="auto"/>
        </w:rPr>
      </w:pPr>
      <w:r>
        <w:rPr>
          <w:rFonts w:ascii="Arial" w:cs="Arial" w:eastAsia="Arial" w:hAnsi="Arial"/>
          <w:sz w:val="13"/>
          <w:szCs w:val="13"/>
          <w:color w:val="auto"/>
        </w:rPr>
        <w:t>Exercise of stock options Share-based compensation</w:t>
      </w:r>
    </w:p>
    <w:p>
      <w:pPr>
        <w:spacing w:after="0" w:line="1"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Shares redeemed for employee tax withholdings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June 30, 2019</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24,418,252</w:t>
            </w:r>
          </w:p>
        </w:tc>
        <w:tc>
          <w:tcPr>
            <w:tcW w:w="12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(2,671,962)</w:t>
            </w:r>
          </w:p>
        </w:tc>
        <w:tc>
          <w:tcPr>
            <w:tcW w:w="12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(124,794)</w:t>
            </w:r>
          </w:p>
        </w:tc>
        <w:tc>
          <w:tcPr>
            <w:tcW w:w="12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452,573</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196,106</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16,495</w:t>
            </w:r>
          </w:p>
        </w:tc>
        <w:tc>
          <w:tcPr>
            <w:tcW w:w="12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540,624</w:t>
            </w:r>
          </w:p>
        </w:tc>
      </w:tr>
      <w:tr>
        <w:trPr>
          <w:trHeight w:val="270"/>
        </w:trPr>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13,776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5,680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19,456</w:t>
            </w:r>
          </w:p>
        </w:tc>
      </w:tr>
      <w:tr>
        <w:trPr>
          <w:trHeight w:val="702"/>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272,941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25,174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20,000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468</w:t>
            </w:r>
          </w:p>
        </w:tc>
      </w:tr>
      <w:tr>
        <w:trPr>
          <w:trHeight w:val="270"/>
        </w:trPr>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12,273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12,273</w:t>
            </w:r>
          </w:p>
        </w:tc>
      </w:tr>
      <w:tr>
        <w:trPr>
          <w:trHeight w:val="357"/>
        </w:trPr>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(96,038)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(4,460)</w:t>
            </w:r>
          </w:p>
        </w:tc>
      </w:tr>
      <w:tr>
        <w:trPr>
          <w:trHeight w:val="237"/>
        </w:trPr>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24,711,193</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(2,742,826)</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(127,133)</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463,190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209,882</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22,175</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568,361</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-1199515</wp:posOffset>
            </wp:positionV>
            <wp:extent cx="713232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-753745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-410845</wp:posOffset>
            </wp:positionV>
            <wp:extent cx="71323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220"/>
            <w:col w:w="8640"/>
          </w:cols>
          <w:pgMar w:left="320" w:top="125" w:right="339" w:bottom="933"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ectPr>
          <w:pgSz w:w="11900" w:h="16838" w:orient="portrait"/>
          <w:cols w:equalWidth="0" w:num="1">
            <w:col w:w="11240"/>
          </w:cols>
          <w:pgMar w:left="320" w:top="125" w:right="339" w:bottom="933" w:gutter="0" w:footer="0" w:header="0"/>
          <w:type w:val="continuous"/>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25" w:right="339" w:bottom="933"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33020</wp:posOffset>
            </wp:positionV>
            <wp:extent cx="1920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(28,761)</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13,776</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14,942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17,285</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lease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4,397</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Lease impairment charge</w:t>
            </w: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805</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11,483</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Amortization of debt discount and issuance costs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5,264</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 charges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Allowances for doubtful accounts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170</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Loss on sale of business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fair value of contingent consideration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(876)</w:t>
            </w:r>
          </w:p>
        </w:tc>
      </w:tr>
      <w:tr>
        <w:trPr>
          <w:trHeight w:val="223"/>
        </w:trPr>
        <w:tc>
          <w:tcPr>
            <w:tcW w:w="822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 net of divestiture: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receivables from clients,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(6,984)</w:t>
            </w: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(Increase) decrease in unbilled services, net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(22,105)</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current income tax receivable / payable,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6,486</w:t>
            </w: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(Increase) decrease in other assets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(4,743)</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accounts payable and 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Increase (decrease) in accrued payroll and related benefits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(53,420)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(30,462)</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deferred revenues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w:t>
            </w:r>
          </w:p>
        </w:tc>
      </w:tr>
      <w:tr>
        <w:trPr>
          <w:trHeight w:val="217"/>
        </w:trPr>
        <w:tc>
          <w:tcPr>
            <w:tcW w:w="8220" w:type="dxa"/>
            <w:vAlign w:val="bottom"/>
          </w:tcPr>
          <w:p>
            <w:pPr>
              <w:ind w:left="720"/>
              <w:spacing w:after="0"/>
              <w:rPr>
                <w:sz w:val="20"/>
                <w:szCs w:val="20"/>
                <w:color w:val="auto"/>
              </w:rPr>
            </w:pPr>
            <w:r>
              <w:rPr>
                <w:rFonts w:ascii="Arial" w:cs="Arial" w:eastAsia="Arial" w:hAnsi="Arial"/>
                <w:sz w:val="16"/>
                <w:szCs w:val="16"/>
                <w:color w:val="auto"/>
              </w:rPr>
              <w:t>Net cash provided by (used in) operating activities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1,805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(6,207)</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3"/>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2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Purchases of property and equipment, net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(6,384)</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investment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Investment in life insurance policies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(4,087)</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Capitalization of internally developed software costs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(4,409)</w:t>
            </w:r>
          </w:p>
        </w:tc>
      </w:tr>
      <w:tr>
        <w:trPr>
          <w:trHeight w:val="217"/>
        </w:trPr>
        <w:tc>
          <w:tcPr>
            <w:tcW w:w="822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(24,141)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(14,880)</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Proceeds from exercises of stock options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469</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redeemed for employee tax withholdings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(4,460)</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Share repurchases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(22,115)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bank borrowings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87,500</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Repayments of bank borrowings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(160,263)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(81,756)</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 of contingent consideration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(4,674)</w:t>
            </w:r>
          </w:p>
        </w:tc>
      </w:tr>
      <w:tr>
        <w:trPr>
          <w:trHeight w:val="217"/>
        </w:trPr>
        <w:tc>
          <w:tcPr>
            <w:tcW w:w="8220" w:type="dxa"/>
            <w:vAlign w:val="bottom"/>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94,051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(2,921)</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71,608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(23,930)</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the period</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33,107</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Cash and cash equivalents at end of the period</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83,212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9,177</w:t>
            </w:r>
          </w:p>
        </w:tc>
      </w:tr>
      <w:tr>
        <w:trPr>
          <w:trHeight w:val="73"/>
        </w:trPr>
        <w:tc>
          <w:tcPr>
            <w:tcW w:w="82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82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8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23"/>
        </w:trPr>
        <w:tc>
          <w:tcPr>
            <w:tcW w:w="822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6"/>
        </w:trPr>
        <w:tc>
          <w:tcPr>
            <w:tcW w:w="8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5"/>
              </w:rPr>
              <w:t>Property and equipment expenditures and capitalized software included in accounts payable and accrued expenses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3,842</w:t>
            </w: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Operating lease right-of-use asset obtained in exchange for operating lease liability</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1,397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3,611</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25" w:right="339" w:bottom="676"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5" w:right="339" w:bottom="676"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they need to own their future. By embracing diverse perspectives, encouraging new ideas and challenging the status quo, we create sustainable results for the organizations we serve.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7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accompanying unaudited consolidated financial statements reflect the financial position, results of operations, and cash flows as of and for the three and six months ended June 30, 2020 and 2019.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for the year ended December 31, 2019 included in our Annual Report on Form 10-K and our Quarterly Report on Form 10-Q for the period ended March 31, 2020. Our results for any interim period are not necessarily indicative of results for a full year or any other interim period.</w:t>
      </w:r>
    </w:p>
    <w:p>
      <w:pPr>
        <w:spacing w:after="0" w:line="12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Preparation of our consolidated financial statements requires management to make estimates and assumptions that affect the amounts reported in our consolidated financial statements and related disclosures. The business and economic uncertainty resulting from the coronavirus (COVID-19) pandemic has made such estimates and assumptions more difficult to predict. Accordingly, actual results and outcomes could differ from those estimates.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7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In June 2016, the Financial Accounting Standards Board ("FASB") issued ASU 2016-13, </w:t>
      </w:r>
      <w:r>
        <w:rPr>
          <w:rFonts w:ascii="Arial" w:cs="Arial" w:eastAsia="Arial" w:hAnsi="Arial"/>
          <w:sz w:val="17"/>
          <w:szCs w:val="17"/>
          <w:i w:val="1"/>
          <w:iCs w:val="1"/>
          <w:color w:val="auto"/>
        </w:rPr>
        <w:t>Financial Instruments - Credit Losses (Topic 326): Measurement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Credit Losses on Financial Instruments </w:t>
      </w:r>
      <w:r>
        <w:rPr>
          <w:rFonts w:ascii="Arial" w:cs="Arial" w:eastAsia="Arial" w:hAnsi="Arial"/>
          <w:sz w:val="17"/>
          <w:szCs w:val="17"/>
          <w:color w:val="auto"/>
        </w:rPr>
        <w:t>which provides a new current expected credit loss model to account for credit losses on certain financial assets,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trade receivables. That model requires an entity to estimate lifetime credit losses based on relevant historical information, adjusted for current conditions and reasonable and supportable forecasts that could affect the collectability of the reported amount. The ASU also makes targeted amendments to the current impairment model for available-for-sale debt securities, which includes requiring the recognition of an allowance rather than a direct write-down of the investment, which may be reversed in the event that the credit of an issuer improves. We adopted ASU 2016-13 effective January 1, 2020, which did not have a material impact on our consolidated financial statements.</w:t>
      </w:r>
    </w:p>
    <w:p>
      <w:pPr>
        <w:spacing w:after="0" w:line="2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Fair Value Measurement, </w:t>
      </w:r>
      <w:r>
        <w:rPr>
          <w:rFonts w:ascii="Arial" w:cs="Arial" w:eastAsia="Arial" w:hAnsi="Arial"/>
          <w:sz w:val="18"/>
          <w:szCs w:val="18"/>
          <w:color w:val="auto"/>
        </w:rPr>
        <w:t>which modifies certain disclosure requirements related to fair value measurements. We adopted ASU 2018-13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2020, which had no impact on the amounts reported on our consolidated financial statements. We updated our disclosures within the notes to our consolidated financial statements as required by ASU 2018-13.</w:t>
      </w:r>
    </w:p>
    <w:p>
      <w:pPr>
        <w:spacing w:after="0" w:line="26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simplifies the accounting for income taxes by eliminating certain exceptions to the guidance in ASC 740, </w:t>
      </w:r>
      <w:r>
        <w:rPr>
          <w:rFonts w:ascii="Arial" w:cs="Arial" w:eastAsia="Arial" w:hAnsi="Arial"/>
          <w:sz w:val="18"/>
          <w:szCs w:val="18"/>
          <w:i w:val="1"/>
          <w:iCs w:val="1"/>
          <w:color w:val="auto"/>
        </w:rPr>
        <w:t>Income Taxes</w:t>
      </w:r>
      <w:r>
        <w:rPr>
          <w:rFonts w:ascii="Arial" w:cs="Arial" w:eastAsia="Arial" w:hAnsi="Arial"/>
          <w:sz w:val="18"/>
          <w:szCs w:val="18"/>
          <w:color w:val="auto"/>
        </w:rPr>
        <w:t>, related to the approach for intraperiod tax allocation, the methodology for calculating income taxes in an interim period and the recognition of deferred tax liabilities for outside basis differences. The new guidance also simplifies other aspects of the accounting for franchise taxes and enacted changes in tax laws or tax rates and clarifies the accounting for transactions that result in a step-up in the tax basis of goodwill. On January 1, 2020, we elected to early adopt ASU 2019-12 on a modified retrospective basis for those amendments that are not applied on a prospective basis. The adoption of ASU 2019-12 did not have a material impact on our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reportable segment for the six months ended June 30, 2020.</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Business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Healthcare</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Advisory</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Education</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636,810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302,057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103,889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1,042,756</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(396,076)</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Goodwill, net as of December 31, 2019</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428,729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114,062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103,889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646,680</w:t>
            </w:r>
          </w:p>
        </w:tc>
      </w:tr>
      <w:tr>
        <w:trPr>
          <w:trHeight w:val="27"/>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(59,816)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7"/>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 net as of June 30, 2020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428,729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586,235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2020 Goodwill Impairment Charges</w:t>
      </w:r>
    </w:p>
    <w:p>
      <w:pPr>
        <w:spacing w:after="0" w:line="17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worldwide spread of coronavirus (COVID-19) in the first quarter of 2020 created significant volatility, uncertainty and disruption to the global economy. We are closely monitoring the impact of the COVID-19 pandemic on all aspects of our business, including how we expect it will continue to negatively impact our clients, employees and business partners. While the COVID-19 pandemic did not have a significant impact on our consolidated revenues in the first quarter of 2020, we expected it to have an unfavorable impact on sales, increase uncertainty in the backlog and negatively impact full year 2020 results. The services provided by our Strategy and Innovation and Life Sciences reporting units within our Business Advisory segment focus on strategic solutions for healthy, well-capitalized companies to identify new growth opportunities, which may be considered by our clients to be more discretionary in nature, and the duration of the projects within these practices are typically short-term. Therefore, due to the uncertainty caused by the COVID-19 pandemic, we are cautious about near-term results for these two reporting units. Based on our internal projections and the preparation of our financial statements for the quarter ended March 31, 2020, and considering the expected decrease in demand due to the COVID-19 pandemic, during the first quarter of 2020 we believed that the fair value of these two reporting units no longer exceeded their carrying values and performed an interim impairment test on both reporting units as of March 31, 2020.</w:t>
      </w:r>
    </w:p>
    <w:p>
      <w:pPr>
        <w:spacing w:after="0" w:line="12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Based on the estimated fair values of the Strategy and Innovation and Life Sciences reporting units, we recorded non-cash pretax goodwill impairment charges of $49.9 million and $9.9 million, respectively, in the first quarter of 2020. The $49.9 million non-cash pretax charge related to the Strategy and Innovation reporting unit reduced the goodwill balance of the reporting unit to $37.5 million. The $9.9 million non-cash pretax charge related to the Life Sciences reporting unit reduced the goodwill balance of the reporting unit to zero.</w:t>
      </w:r>
    </w:p>
    <w:p>
      <w:pPr>
        <w:spacing w:after="0" w:line="13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Our goodwill impairment test was performed by comparing the fair value of each of the Strategy and Innovation and Life Sciences reporting units with its respective carrying value and recognizing an impairment charge for the amount by which the carrying value exceeded the fair value. To estimate the fair value of each reporting unit, we relied on a combination of the income approach and the market approach, with a fifty-fifty weighting.</w:t>
      </w:r>
    </w:p>
    <w:p>
      <w:pPr>
        <w:spacing w:after="0" w:line="9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the income approach, we utilized a discounted cash flow analysis, which involved estimating the expected after-tax cash flows that will be generated by each reporting unit and then discounting those cash flows to present value, reflecting the relevant risks associated with each reporting unit and the time value of money. This approach requires the use of significant estimates and assumptions, including long-term projections of future cash flows, market conditions, and discount rates that reflects the risk inherent in the future cash flows. In estimating future cash flows, we relied on internally generated seven-year forecasts. For periods after the seven-year forecast, we assumed a long-term annual revenue growth rate of 3.0% for both the Strategy and Innovation and Life Sciences reporting units and a long-term EBITDA margin of 24.8% and 6.7%, respectively. Our forecasts are based on historical experience, current backlog, expected market demand, and other industry information. Our discounted cash flow analysis assumed weighted average cost of capital discount rates of 16.0% and 10.5% for the Strategy and Innovation and Life Sciences reporting units, respectively.</w:t>
      </w:r>
    </w:p>
    <w:p>
      <w:pPr>
        <w:spacing w:after="0" w:line="1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market approach, we utilized the guideline company method, which involved calculating valuation revenue multiples based on operating data from guideline publicly traded companies. Multiples derived from guideline companies provide an indication of how much a knowledgeable investor in the marketplace would be willing to pay for a company. These multiples were evaluated and adjusted based on specific characteristics of the Strategy and Innovation and Life Sciences reporting units relative to the selected guideline companies and</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applied to the reporting units' operating data to arrive at an indication of value. The range of revenue multiples used in the valuation of the Strategy and Innovation and Life Sciences reporting units was 1.20x to 1.70x and 0.30x to 0.40x, respectively.</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Concurrently with the goodwill impairment tests performed over the Strategy and Innovation and Life Sciences reporting units, we evaluated whether any indicators exist that would lead us to believe that the fair values of our Healthcare, Education, and Business Advisory reporting units may not exceed their carrying values. Based on our internal projections, consideration of the impact of the COVID-19 pandemic on these reporting units, and review of the amounts by which the fair values of these reporting units exceeded their carrying values in the most recent quantitative goodwill impairment analysis performed, we did not identify any indicators that would lead us to believe that the fair values of these reporting units may not exceed their carrying values as of March 31, 2020.</w:t>
      </w:r>
    </w:p>
    <w:p>
      <w:pPr>
        <w:spacing w:after="0" w:line="1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goodwill impairment tests performed on the Strategy and Innovation and Life Sciences reporting units as of March 31, 2020, we performed impairment tests on the long-lived assets allocated to the asset groups of the Strategy and Innovation and Life Sciences reporting units. Based on the impairment tests performed, we concluded that the long-lived assets allocated to the asset groups were not impaired as of March 31, 2020. We did not identify any indicators that would lead us to believe that the carrying values of the long-lived assets allocated to our other asset groups may not be recoverable as of March 31, 2020.</w:t>
      </w:r>
    </w:p>
    <w:p>
      <w:pPr>
        <w:spacing w:after="0" w:line="13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the second quarter of 2020, we did not identify any indicators that would lead us to believe that the fair values of any of our reporting units may not exceed their carrying values, nor did we identify any indicators that would lead us to believe that the carrying values of the long-lived assets allocated to our asset groups may not be recoverable.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2020 and December 31, 2019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5"/>
          </w:tcPr>
          <w:p>
            <w:pPr>
              <w:ind w:left="540"/>
              <w:spacing w:after="0"/>
              <w:rPr>
                <w:sz w:val="20"/>
                <w:szCs w:val="20"/>
                <w:color w:val="auto"/>
              </w:rPr>
            </w:pPr>
            <w:r>
              <w:rPr>
                <w:rFonts w:ascii="Arial" w:cs="Arial" w:eastAsia="Arial" w:hAnsi="Arial"/>
                <w:sz w:val="18"/>
                <w:szCs w:val="18"/>
                <w:b w:val="1"/>
                <w:bCs w:val="1"/>
                <w:color w:val="auto"/>
              </w:rPr>
              <w:t>As of June 30, 2020</w:t>
            </w:r>
          </w:p>
        </w:tc>
        <w:tc>
          <w:tcPr>
            <w:tcW w:w="240" w:type="dxa"/>
            <w:vAlign w:val="bottom"/>
          </w:tcPr>
          <w:p>
            <w:pPr>
              <w:spacing w:after="0"/>
              <w:rPr>
                <w:sz w:val="20"/>
                <w:szCs w:val="20"/>
                <w:color w:val="auto"/>
              </w:rPr>
            </w:pPr>
          </w:p>
        </w:tc>
        <w:tc>
          <w:tcPr>
            <w:tcW w:w="27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As of December 31, 2019</w:t>
            </w:r>
          </w:p>
        </w:tc>
      </w:tr>
      <w:tr>
        <w:trPr>
          <w:trHeight w:val="27"/>
        </w:trPr>
        <w:tc>
          <w:tcPr>
            <w:tcW w:w="3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3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Useful Life</w:t>
            </w: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r>
      <w:tr>
        <w:trPr>
          <w:trHeight w:val="234"/>
        </w:trPr>
        <w:tc>
          <w:tcPr>
            <w:tcW w:w="382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2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r>
      <w:tr>
        <w:trPr>
          <w:trHeight w:val="27"/>
        </w:trPr>
        <w:tc>
          <w:tcPr>
            <w:tcW w:w="3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3 to 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61,882</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5 to 6</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26,490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28,930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25,894</w:t>
            </w:r>
          </w:p>
        </w:tc>
      </w:tr>
      <w:tr>
        <w:trPr>
          <w:trHeight w:val="27"/>
        </w:trPr>
        <w:tc>
          <w:tcPr>
            <w:tcW w:w="3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software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4,321</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1,447</w:t>
            </w:r>
          </w:p>
        </w:tc>
      </w:tr>
      <w:tr>
        <w:trPr>
          <w:trHeight w:val="27"/>
        </w:trPr>
        <w:tc>
          <w:tcPr>
            <w:tcW w:w="3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37"/>
        </w:trPr>
        <w:tc>
          <w:tcPr>
            <w:tcW w:w="3820" w:type="dxa"/>
            <w:vAlign w:val="bottom"/>
          </w:tcPr>
          <w:p>
            <w:pPr>
              <w:ind w:left="38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124,462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99,546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125,221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93,596</w:t>
            </w:r>
          </w:p>
        </w:tc>
      </w:tr>
      <w:tr>
        <w:trPr>
          <w:trHeight w:val="27"/>
        </w:trPr>
        <w:tc>
          <w:tcPr>
            <w:tcW w:w="3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w:t>
      </w:r>
    </w:p>
    <w:p>
      <w:pPr>
        <w:spacing w:after="0" w:line="13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Intangible asset amortization expense was $3.2 million and $4.3 million for the three months ended June 30, 2020 and 2019, respectively; and $6.4 million and $8.8 million for the six months ended June 30, 2020 and 2019. The table below sets forth the estimated annual amortization expense for the intangible assets recorded as of June 30,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Estimated Amortization</w:t>
            </w:r>
          </w:p>
        </w:tc>
      </w:tr>
      <w:tr>
        <w:trPr>
          <w:trHeight w:val="234"/>
        </w:trPr>
        <w:tc>
          <w:tcPr>
            <w:tcW w:w="8880" w:type="dxa"/>
            <w:vAlign w:val="bottom"/>
            <w:gridSpan w:val="2"/>
          </w:tcPr>
          <w:p>
            <w:pPr>
              <w:ind w:left="3360"/>
              <w:spacing w:after="0"/>
              <w:rPr>
                <w:sz w:val="20"/>
                <w:szCs w:val="20"/>
                <w:color w:val="auto"/>
              </w:rPr>
            </w:pPr>
            <w:r>
              <w:rPr>
                <w:rFonts w:ascii="Arial" w:cs="Arial" w:eastAsia="Arial" w:hAnsi="Arial"/>
                <w:sz w:val="18"/>
                <w:szCs w:val="18"/>
                <w:b w:val="1"/>
                <w:bCs w:val="1"/>
                <w:color w:val="auto"/>
              </w:rPr>
              <w:t>Year Ending December 31,</w:t>
            </w:r>
          </w:p>
        </w:tc>
        <w:tc>
          <w:tcPr>
            <w:tcW w:w="180" w:type="dxa"/>
            <w:vAlign w:val="bottom"/>
          </w:tcPr>
          <w:p>
            <w:pPr>
              <w:spacing w:after="0"/>
              <w:rPr>
                <w:sz w:val="20"/>
                <w:szCs w:val="20"/>
                <w:color w:val="auto"/>
              </w:rPr>
            </w:pPr>
          </w:p>
        </w:tc>
        <w:tc>
          <w:tcPr>
            <w:tcW w:w="2180" w:type="dxa"/>
            <w:vAlign w:val="bottom"/>
          </w:tcPr>
          <w:p>
            <w:pPr>
              <w:jc w:val="right"/>
              <w:ind w:right="770"/>
              <w:spacing w:after="0"/>
              <w:rPr>
                <w:sz w:val="20"/>
                <w:szCs w:val="20"/>
                <w:color w:val="auto"/>
              </w:rPr>
            </w:pPr>
            <w:r>
              <w:rPr>
                <w:rFonts w:ascii="Arial" w:cs="Arial" w:eastAsia="Arial" w:hAnsi="Arial"/>
                <w:sz w:val="18"/>
                <w:szCs w:val="18"/>
                <w:b w:val="1"/>
                <w:bCs w:val="1"/>
                <w:color w:val="auto"/>
              </w:rPr>
              <w:t>Expense</w:t>
            </w:r>
          </w:p>
        </w:tc>
      </w:tr>
      <w:tr>
        <w:trPr>
          <w:trHeight w:val="27"/>
        </w:trPr>
        <w:tc>
          <w:tcPr>
            <w:tcW w:w="8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3"/>
        </w:trPr>
        <w:tc>
          <w:tcPr>
            <w:tcW w:w="8760" w:type="dxa"/>
            <w:vAlign w:val="bottom"/>
            <w:tcBorders>
              <w:bottom w:val="single" w:sz="8" w:color="CCEEFF"/>
            </w:tcBorders>
            <w:shd w:val="clear" w:color="auto" w:fill="CCEEFF"/>
          </w:tcPr>
          <w:p>
            <w:pPr>
              <w:jc w:val="right"/>
              <w:ind w:right="8270"/>
              <w:spacing w:after="0"/>
              <w:rPr>
                <w:sz w:val="20"/>
                <w:szCs w:val="20"/>
                <w:color w:val="auto"/>
              </w:rPr>
            </w:pPr>
            <w:r>
              <w:rPr>
                <w:rFonts w:ascii="Arial" w:cs="Arial" w:eastAsia="Arial" w:hAnsi="Arial"/>
                <w:sz w:val="18"/>
                <w:szCs w:val="18"/>
                <w:color w:val="auto"/>
                <w:w w:val="94"/>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12,561</w:t>
            </w:r>
          </w:p>
        </w:tc>
      </w:tr>
      <w:tr>
        <w:trPr>
          <w:trHeight w:val="243"/>
        </w:trPr>
        <w:tc>
          <w:tcPr>
            <w:tcW w:w="8760" w:type="dxa"/>
            <w:vAlign w:val="bottom"/>
          </w:tcPr>
          <w:p>
            <w:pPr>
              <w:jc w:val="right"/>
              <w:ind w:right="8270"/>
              <w:spacing w:after="0"/>
              <w:rPr>
                <w:sz w:val="20"/>
                <w:szCs w:val="20"/>
                <w:color w:val="auto"/>
              </w:rPr>
            </w:pPr>
            <w:r>
              <w:rPr>
                <w:rFonts w:ascii="Arial" w:cs="Arial" w:eastAsia="Arial" w:hAnsi="Arial"/>
                <w:sz w:val="18"/>
                <w:szCs w:val="18"/>
                <w:color w:val="auto"/>
                <w:w w:val="94"/>
              </w:rPr>
              <w:t>2021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8,358</w:t>
            </w:r>
          </w:p>
        </w:tc>
      </w:tr>
      <w:tr>
        <w:trPr>
          <w:trHeight w:val="27"/>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jc w:val="right"/>
              <w:ind w:right="8270"/>
              <w:spacing w:after="0"/>
              <w:rPr>
                <w:sz w:val="20"/>
                <w:szCs w:val="20"/>
                <w:color w:val="auto"/>
              </w:rPr>
            </w:pPr>
            <w:r>
              <w:rPr>
                <w:rFonts w:ascii="Arial" w:cs="Arial" w:eastAsia="Arial" w:hAnsi="Arial"/>
                <w:sz w:val="18"/>
                <w:szCs w:val="18"/>
                <w:color w:val="auto"/>
                <w:w w:val="94"/>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6,111</w:t>
            </w:r>
          </w:p>
        </w:tc>
      </w:tr>
      <w:tr>
        <w:trPr>
          <w:trHeight w:val="243"/>
        </w:trPr>
        <w:tc>
          <w:tcPr>
            <w:tcW w:w="8760" w:type="dxa"/>
            <w:vAlign w:val="bottom"/>
          </w:tcPr>
          <w:p>
            <w:pPr>
              <w:jc w:val="right"/>
              <w:ind w:right="8270"/>
              <w:spacing w:after="0"/>
              <w:rPr>
                <w:sz w:val="20"/>
                <w:szCs w:val="20"/>
                <w:color w:val="auto"/>
              </w:rPr>
            </w:pPr>
            <w:r>
              <w:rPr>
                <w:rFonts w:ascii="Arial" w:cs="Arial" w:eastAsia="Arial" w:hAnsi="Arial"/>
                <w:sz w:val="18"/>
                <w:szCs w:val="18"/>
                <w:color w:val="auto"/>
                <w:w w:val="94"/>
              </w:rPr>
              <w:t>2023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3,512</w:t>
            </w:r>
          </w:p>
        </w:tc>
      </w:tr>
      <w:tr>
        <w:trPr>
          <w:trHeight w:val="27"/>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43"/>
        </w:trPr>
        <w:tc>
          <w:tcPr>
            <w:tcW w:w="8760" w:type="dxa"/>
            <w:vAlign w:val="bottom"/>
            <w:shd w:val="clear" w:color="auto" w:fill="CCEEFF"/>
          </w:tcPr>
          <w:p>
            <w:pPr>
              <w:jc w:val="right"/>
              <w:ind w:right="8270"/>
              <w:spacing w:after="0"/>
              <w:rPr>
                <w:sz w:val="20"/>
                <w:szCs w:val="20"/>
                <w:color w:val="auto"/>
              </w:rPr>
            </w:pPr>
            <w:r>
              <w:rPr>
                <w:rFonts w:ascii="Arial" w:cs="Arial" w:eastAsia="Arial" w:hAnsi="Arial"/>
                <w:sz w:val="18"/>
                <w:szCs w:val="18"/>
                <w:color w:val="auto"/>
                <w:w w:val="94"/>
              </w:rPr>
              <w:t>2024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r>
      <w:tr>
        <w:trPr>
          <w:trHeight w:val="27"/>
        </w:trPr>
        <w:tc>
          <w:tcPr>
            <w:tcW w:w="8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7"/>
          <w:szCs w:val="17"/>
          <w:color w:val="auto"/>
        </w:rPr>
        <w:t>Actual future amortization expense could differ from these estimated amounts as a result of future acquisitions, dispositions, and other factors.</w:t>
      </w:r>
    </w:p>
    <w:p>
      <w:pPr>
        <w:sectPr>
          <w:pgSz w:w="11900" w:h="16838" w:orient="portrait"/>
          <w:cols w:equalWidth="0" w:num="1">
            <w:col w:w="11240"/>
          </w:cols>
          <w:pgMar w:left="320" w:top="125" w:right="3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the three months ended June 30, 2020 and 2019, we recognized revenues of $217.9 million and $220.8 million, respectively. Of the $217.9 million recognized in the second quarter of 2020, we recognized revenues of $5.6 million from obligations satisfied, or partially satisfied, in prior periods, of which $4.0 million was primarily due to the release of allowances on unbilled services as a result of securing contract amendments and $1.6 million was due to changes in the estimates of our variable consideration under performance-based billing arrangements. Of the $220.8 million recognized in the second quarter of 2019, we recognized revenues of $3.6 million from obligations satisfied, or partially satisfied, in prior periods, primarily due to the release of allowances on unbilled services due to securing contract amendments. During the second quarter of 2019, we recognized a $0.3 million decrease to revenues due to changes in the estimates of our variable consideration under performance-based billing arrangements.</w:t>
      </w:r>
    </w:p>
    <w:p>
      <w:pPr>
        <w:spacing w:after="0" w:line="11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six months ended June 30, 2020 and 2019, we recognized revenues of $440.5 million and $425.2 million, respectively. Of the $440.5 million recognized in the first six months of 2020, we recognized revenues of $10.0 million from obligations satisfied, or partially satisfied, in prior periods, of which $6.2 million was due to changes in the estimates of our variable consideration under performance-based billing arrangements and $3.8 million was primarily due to the release of allowances on unbilled services as a result of securing contract amendments. Of the $425.2 million recognized in the first six months of 2019, we recognized revenues of $2.1 million from obligations satisfied, or partially satisfied, in prior periods, primarily due to the release of allowances on unbilled services due to securing contract amendments. During the first six months of 2019, we recognized a $1.5 million decrease to revenues due to changes in the estimates of our variable consideration under performance-based billing arrangements.</w:t>
      </w:r>
    </w:p>
    <w:p>
      <w:pPr>
        <w:spacing w:after="0" w:line="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June 30, 2020, we had $76.4 million of remaining performance obligations under engagements with original expected durations greater than one year. These remaining performance obligations exclude obligations under contracts with an original expected duration of one year or less, variable consideration which has been excluded from the total transaction price due to the constraint, and performance obligations under time-and-expense engagements which are recognized in the amount invoiced. Of the $76.4 million of performance obligations, we expect to recognize approximately $30.1 million as revenue in 2020, $29.7 million in 2021, and the remaining $16.6 million thereafter. Actual revenue recognition could differ from these amounts as a result of changes in the estimated timing of work to be performed, adjustments to estimated variable consideration in performance-based arrangements, or other factors.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11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balance as of June 30, 2020 and December 31, 2019 was $12.7 million and $12.6 million, respectively. The $0.1 million increase primarily reflects timing differences between the completion of our performance obligations and the amounts billed or billable to clients in accordance with their contractual billing terms.</w:t>
      </w:r>
    </w:p>
    <w:p>
      <w:pPr>
        <w:spacing w:after="0" w:line="12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Client prepayments and retainers are classified as deferred revenues and recognized over future periods in accordance with the applicable engagement agreement and our revenue recognition policy. Our deferred revenues balance as of June 30, 2020 and December 31, 2019, was $35.0 million and $28.4 million, respectively. The $6.6 million increase primarily reflects timing differences between client payments in accordance with their contract terms and the completion of our performance obligations. For the three and six months ended June 30, 2020, $6.8 million and $21.3 million, respectively, of revenues recognized were included in the deferred revenue balance as of December 31, 2019.</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In periods for which we report a net loss from continuing operations, diluted weighted average common shares outstanding excludes all potential common stock equivalents as their impact on diluted net loss from continuing operations per share would be anti-dilutive. Earnings (loss) per share under the basic and diluted computations are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7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13,776</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Weighted average common stock equivalents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423</w:t>
            </w:r>
          </w:p>
        </w:tc>
      </w:tr>
      <w:tr>
        <w:trPr>
          <w:trHeight w:val="27"/>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22,116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21,848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22,356</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 per basic share: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0.63</w:t>
            </w: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0.63</w:t>
            </w:r>
          </w:p>
        </w:tc>
      </w:tr>
      <w:tr>
        <w:trPr>
          <w:trHeight w:val="67"/>
        </w:trPr>
        <w:tc>
          <w:tcPr>
            <w:tcW w:w="50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64"/>
        </w:trPr>
        <w:tc>
          <w:tcPr>
            <w:tcW w:w="5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Net earnings (loss) per diluted share:</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0.62</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The number of anti-dilutive securities excluded from the computation of the weighted average common stock equivalents presented above were as follows:</w:t>
      </w:r>
    </w:p>
    <w:p>
      <w:pPr>
        <w:spacing w:after="0" w:line="190" w:lineRule="exact"/>
        <w:rPr>
          <w:sz w:val="20"/>
          <w:szCs w:val="20"/>
          <w:color w:val="auto"/>
        </w:rPr>
      </w:pPr>
    </w:p>
    <w:p>
      <w:pPr>
        <w:ind w:left="8860"/>
        <w:spacing w:after="0"/>
        <w:rPr>
          <w:sz w:val="20"/>
          <w:szCs w:val="20"/>
          <w:color w:val="auto"/>
        </w:rPr>
      </w:pPr>
      <w:r>
        <w:rPr>
          <w:rFonts w:ascii="Arial" w:cs="Arial" w:eastAsia="Arial" w:hAnsi="Arial"/>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34290</wp:posOffset>
            </wp:positionV>
            <wp:extent cx="23488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gridSpan w:val="2"/>
          </w:tcPr>
          <w:p>
            <w:pPr>
              <w:ind w:left="8260"/>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7"/>
        </w:trPr>
        <w:tc>
          <w:tcPr>
            <w:tcW w:w="75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w:t>
            </w:r>
          </w:p>
        </w:tc>
        <w:tc>
          <w:tcPr>
            <w:tcW w:w="1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Convertible senior notes</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3,129</w:t>
            </w:r>
          </w:p>
        </w:tc>
      </w:tr>
      <w:tr>
        <w:trPr>
          <w:trHeight w:val="27"/>
        </w:trPr>
        <w:tc>
          <w:tcPr>
            <w:tcW w:w="7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Warrants related to the issuance of convertible senior notes</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r>
      <w:tr>
        <w:trPr>
          <w:trHeight w:val="236"/>
        </w:trPr>
        <w:tc>
          <w:tcPr>
            <w:tcW w:w="7540" w:type="dxa"/>
            <w:vAlign w:val="bottom"/>
          </w:tcPr>
          <w:p>
            <w:pPr>
              <w:ind w:left="40"/>
              <w:spacing w:after="0"/>
              <w:rPr>
                <w:sz w:val="20"/>
                <w:szCs w:val="20"/>
                <w:color w:val="auto"/>
              </w:rPr>
            </w:pPr>
            <w:r>
              <w:rPr>
                <w:rFonts w:ascii="Arial" w:cs="Arial" w:eastAsia="Arial" w:hAnsi="Arial"/>
                <w:sz w:val="18"/>
                <w:szCs w:val="18"/>
                <w:color w:val="auto"/>
              </w:rPr>
              <w:t>Total anti-dilutive securities</w:t>
            </w:r>
          </w:p>
        </w:tc>
        <w:tc>
          <w:tcPr>
            <w:tcW w:w="13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6,258</w:t>
            </w:r>
          </w:p>
        </w:tc>
      </w:tr>
      <w:tr>
        <w:trPr>
          <w:trHeight w:val="27"/>
        </w:trPr>
        <w:tc>
          <w:tcPr>
            <w:tcW w:w="75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See Note 7 “Financing Arrangements” for further information on the convertible senior notes and warrants related to the issuance of convertible notes.</w:t>
      </w:r>
    </w:p>
    <w:p>
      <w:pPr>
        <w:spacing w:after="0" w:line="1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currently have a share repurchase program permitting us to repurchase up to $125 million of our common stock through October 31, 2020 (the “Share Repurchase Program”). The amount and timing of the repurchases will be determined by management and will depend on a variety of factors, including the trading price of our common stock, capacity under our credit facility, general market and business conditions, and applicable legal requirements. In the first quarter of 2020, we repurchased and retired 313,998 shares for $20.9 million. The 313,998 shares repurchased and retired in the first quarter of 2020 were reflected as a reduction to our basic weighted average shares outstanding for the quarter ended March 31, 2020 based on the trade date of the share repurchase. Additionally, in the first quarter of 2020, we settled the repurchase of 18,000 shares for $1.2 million that were accrued as of December 31, 2019. These shares were reflected as a reduction to our basic weighted average shares outstanding in the fourth quarter of 2019 based on the trade date of the share repurchase. No shares were</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repurchased during the second quarter of 2020 nor were any shares repurchased during the first six months of 2019. As of June 30, 2020, less than $0.1 million remains available for share repurchases.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7. Financing Arrangements</w:t>
            </w:r>
          </w:p>
        </w:tc>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78"/>
        </w:trPr>
        <w:tc>
          <w:tcPr>
            <w:tcW w:w="6640" w:type="dxa"/>
            <w:vAlign w:val="bottom"/>
          </w:tcPr>
          <w:p>
            <w:pPr>
              <w:spacing w:after="0"/>
              <w:rPr>
                <w:sz w:val="20"/>
                <w:szCs w:val="20"/>
                <w:color w:val="auto"/>
              </w:rPr>
            </w:pPr>
            <w:r>
              <w:rPr>
                <w:rFonts w:ascii="Arial" w:cs="Arial" w:eastAsia="Arial" w:hAnsi="Arial"/>
                <w:sz w:val="18"/>
                <w:szCs w:val="18"/>
                <w:color w:val="auto"/>
              </w:rPr>
              <w:t>A summary of the carrying amounts of our debt follows:</w:t>
            </w: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78"/>
        </w:trPr>
        <w:tc>
          <w:tcPr>
            <w:tcW w:w="6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December 31, 2019</w:t>
            </w:r>
          </w:p>
        </w:tc>
      </w:tr>
      <w:tr>
        <w:trPr>
          <w:trHeight w:val="27"/>
        </w:trPr>
        <w:tc>
          <w:tcPr>
            <w:tcW w:w="66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credit facility</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205,000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Promissory note due 2024</w:t>
            </w:r>
          </w:p>
        </w:tc>
        <w:tc>
          <w:tcPr>
            <w:tcW w:w="58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3,853</w:t>
            </w:r>
          </w:p>
        </w:tc>
      </w:tr>
      <w:tr>
        <w:trPr>
          <w:trHeight w:val="27"/>
        </w:trPr>
        <w:tc>
          <w:tcPr>
            <w:tcW w:w="66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331,590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208,853</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Current maturities of long-term debt</w:t>
            </w:r>
          </w:p>
        </w:tc>
        <w:tc>
          <w:tcPr>
            <w:tcW w:w="5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(529)</w:t>
            </w:r>
          </w:p>
        </w:tc>
      </w:tr>
      <w:tr>
        <w:trPr>
          <w:trHeight w:val="27"/>
        </w:trPr>
        <w:tc>
          <w:tcPr>
            <w:tcW w:w="66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8"/>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net of current portion</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331,054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208,324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7220" w:type="dxa"/>
            <w:vAlign w:val="bottom"/>
            <w:gridSpan w:val="2"/>
          </w:tcPr>
          <w:p>
            <w:pPr>
              <w:spacing w:after="0"/>
              <w:rPr>
                <w:sz w:val="20"/>
                <w:szCs w:val="20"/>
                <w:color w:val="auto"/>
              </w:rPr>
            </w:pPr>
            <w:r>
              <w:rPr>
                <w:rFonts w:ascii="Arial" w:cs="Arial" w:eastAsia="Arial" w:hAnsi="Arial"/>
                <w:sz w:val="18"/>
                <w:szCs w:val="18"/>
                <w:color w:val="auto"/>
                <w:w w:val="90"/>
              </w:rPr>
              <w:t>Below is a summary of the scheduled remaining principal payments of our debt as of June 30, 2020.</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60"/>
        </w:trPr>
        <w:tc>
          <w:tcPr>
            <w:tcW w:w="6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Principal Payments of</w:t>
            </w:r>
          </w:p>
        </w:tc>
      </w:tr>
      <w:tr>
        <w:trPr>
          <w:trHeight w:val="234"/>
        </w:trPr>
        <w:tc>
          <w:tcPr>
            <w:tcW w:w="6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jc w:val="right"/>
              <w:ind w:right="330"/>
              <w:spacing w:after="0"/>
              <w:rPr>
                <w:sz w:val="20"/>
                <w:szCs w:val="20"/>
                <w:color w:val="auto"/>
              </w:rPr>
            </w:pPr>
            <w:r>
              <w:rPr>
                <w:rFonts w:ascii="Arial" w:cs="Arial" w:eastAsia="Arial" w:hAnsi="Arial"/>
                <w:sz w:val="18"/>
                <w:szCs w:val="18"/>
                <w:b w:val="1"/>
                <w:bCs w:val="1"/>
                <w:color w:val="auto"/>
              </w:rPr>
              <w:t>Long-Term Debt</w:t>
            </w:r>
          </w:p>
        </w:tc>
      </w:tr>
      <w:tr>
        <w:trPr>
          <w:trHeight w:val="27"/>
        </w:trPr>
        <w:tc>
          <w:tcPr>
            <w:tcW w:w="66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2021</w:t>
            </w:r>
          </w:p>
        </w:tc>
        <w:tc>
          <w:tcPr>
            <w:tcW w:w="5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544</w:t>
            </w:r>
          </w:p>
        </w:tc>
      </w:tr>
      <w:tr>
        <w:trPr>
          <w:trHeight w:val="27"/>
        </w:trPr>
        <w:tc>
          <w:tcPr>
            <w:tcW w:w="6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2023</w:t>
            </w:r>
          </w:p>
        </w:tc>
        <w:tc>
          <w:tcPr>
            <w:tcW w:w="5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575</w:t>
            </w:r>
          </w:p>
        </w:tc>
      </w:tr>
      <w:tr>
        <w:trPr>
          <w:trHeight w:val="27"/>
        </w:trPr>
        <w:tc>
          <w:tcPr>
            <w:tcW w:w="6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5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329,646</w:t>
            </w:r>
          </w:p>
        </w:tc>
      </w:tr>
      <w:tr>
        <w:trPr>
          <w:trHeight w:val="27"/>
        </w:trPr>
        <w:tc>
          <w:tcPr>
            <w:tcW w:w="66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September 2014, the Company issued $250 million principal amount of 1.25% convertible senior notes due 2019 (the “Convertible Notes”) in a private offering. The Convertible Notes were governed by the terms of an indenture between the Company and U.S. Bank National Association, as Trustee (the “Indenture”). The Convertible Notes were senior unsecured obligations of the Company and paid interest semi-annually on April 1 and October 1 of each year at an annual rate of 1.25%.</w:t>
      </w:r>
    </w:p>
    <w:p>
      <w:pPr>
        <w:spacing w:after="0" w:line="13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Prior to maturity, upon conversion, the Convertible Notes would have been settled, at our election, in cash, shares of the Company’s common stock, or a combination of cash and shares of the Company’s common stock. Our intent and policy was to settle conversions with a combination of cash and shares of common stock with the principal amount of the Convertible Notes paid in cash, in accordance with the settlement provisions of the Indenture.</w:t>
      </w:r>
    </w:p>
    <w:p>
      <w:pPr>
        <w:spacing w:after="0" w:line="9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Upon issuance, we separated the Convertible Notes into liability and equity components. The carrying value of the equity component representing the conversion option, which was recognized as a debt discount, was determined by deducting the fair value of the liability component from the proceeds of the Convertible Notes. The debt discount was amortized to interest expense using an effective interest rate of 4.751% over the term of the Convertible Notes. The equity component was not remeasured as it continued to meet the conditions for equity classification.</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transaction costs related to the issuance of the Convertible Notes were separated into liability and equity components based on their relative values. Transaction costs attributable to the liability component were recorded as a deduction to the carrying amount of the liability and amortized to interest expense over the term of the Convertible Notes; and transaction costs attributable to the equity component were netted with the equity component of the Convertible Notes in stockholders’ equity.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interest expense recognized related to the Convertible Notes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Six Months Ended</w:t>
            </w:r>
          </w:p>
        </w:tc>
        <w:tc>
          <w:tcPr>
            <w:tcW w:w="0" w:type="dxa"/>
            <w:vAlign w:val="bottom"/>
          </w:tcPr>
          <w:p>
            <w:pPr>
              <w:spacing w:after="0"/>
              <w:rPr>
                <w:sz w:val="1"/>
                <w:szCs w:val="1"/>
                <w:color w:val="auto"/>
              </w:rPr>
            </w:pPr>
          </w:p>
        </w:tc>
      </w:tr>
      <w:tr>
        <w:trPr>
          <w:trHeight w:val="234"/>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 2019</w:t>
            </w:r>
          </w:p>
        </w:tc>
        <w:tc>
          <w:tcPr>
            <w:tcW w:w="200" w:type="dxa"/>
            <w:vAlign w:val="bottom"/>
          </w:tcPr>
          <w:p>
            <w:pPr>
              <w:spacing w:after="0"/>
              <w:rPr>
                <w:sz w:val="20"/>
                <w:szCs w:val="20"/>
                <w:color w:val="auto"/>
              </w:rPr>
            </w:pPr>
          </w:p>
        </w:tc>
        <w:tc>
          <w:tcPr>
            <w:tcW w:w="182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 2019</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Contractual interest coupon</w:t>
            </w: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discount</w:t>
            </w:r>
          </w:p>
        </w:tc>
        <w:tc>
          <w:tcPr>
            <w:tcW w:w="1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6,458</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connection with the issuance of the Convertible Notes, we entered into convertible note hedge transactions and warrant transactions. The convertible note hedge transactions were intended to reduce the potential future economic dilution associated with the conversion of the Convertible Notes and, combined with the warrants, effectively raised the price at which economic dilution would occur from the initial conversion price of approximately $79.89 to approximately $97.12 per share. The convertible note hedge transactions expired in the third quarter of 2019. The holders of the warrants have the option to purchase an initial total of approximately 3.1 million shares of the Company’s common stock at a strike price of approximately $97.12. The warrants expired on May 28, 2020. If the average market value per share of our common stock for the reporting period exceeded the strike price of the warrants, the warrants would have had a dilutive effect on our earnings per share. The warrants were separate transactions and were not part of the terms of the Convertible Notes or the convertible note hedge transactions.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$150 million, subject to customary conditions and the approval of any lender whose commitment would be increased, resulting in a maximum available principal amount under the Amended Credit Agreement of $750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1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(as amended,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w:t>
      </w:r>
    </w:p>
    <w:p>
      <w:pPr>
        <w:sectPr>
          <w:pgSz w:w="11900" w:h="16838" w:orient="portrait"/>
          <w:cols w:equalWidth="0" w:num="1">
            <w:col w:w="11240"/>
          </w:cols>
          <w:pgMar w:left="320" w:top="125"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debt is on a gross basis and is not netted against our cash balances. At June 30, 2020, we were in compliance with these financial covenants with a Consolidated Leverage Ratio of 2.60 to 1.00 and a Consolidated Interest Coverage Ratio of 14.07 to 1.00.</w:t>
      </w:r>
    </w:p>
    <w:p>
      <w:pPr>
        <w:spacing w:after="0" w:line="11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Borrowings outstanding under the Amended Credit Agreement at June 30, 2020 totaled $328.0 million. These borrowings carried a weighted average interest rate of 2.7%, including the effect of the interest rate swaps described in Note 9 “Derivative Instruments and Hedging Activity." Borrowings outstanding under the Amended Credit Agreement at December 31, 2019 were $205.0 million and carried a weighted average interest rate of 3.0%, including the effect of the interest rate swap outstanding at the time and described in Note 9 “Derivative Instruments and Hedging Activity." The borrowing capacity under the revolving credit facility is reduced by any outstanding borrowings under the revolving credit facility and outstanding letters of credit. At June 30, 2020, we had outstanding letters of credit totaling $1.7 million, which are primarily used as security deposits for our office facilities. As of June 30, 2020, the unused borrowing capacity under the revolving credit facility was $270.3 million.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7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 month LIBOR plus 1.97% per annum. The obligations under the promissory note are secured pursuant to a Loan and Aircraft Security Agreement with Banc of America Leasing &amp; Capital, LLC, which grants the lender a first priority security interest in the aircraft. At June 30, 2020, the outstanding principal amount of the promissory note was $3.6 million, and the aircraft had a carrying amount of $4.8 million. At December 31, 2019, the outstanding principal amount of the promissory note was $3.9 million, and the aircraft had a carrying amount of $5.1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Charges</w:t>
      </w:r>
    </w:p>
    <w:p>
      <w:pPr>
        <w:spacing w:after="0" w:line="17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Restructuring charges for the three and six months ended June 30, 2020 were $0.1 million and $1.7 million, respectively. Restructuring charges recognized in the first six months of 2020 include a $1.2 million accrual for the termination of a third-party advisor agreement, $0.3 million related to workforce reductions to better align resources with market demand, and $0.1 million related to workforce reductions in our corporate operations.</w:t>
      </w:r>
    </w:p>
    <w:p>
      <w:pPr>
        <w:spacing w:after="0" w:line="11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Restructuring charges for the three and six months ended June 30, 2019 were $0.8 million and $2.0 million, respectively. During the second quarter of 2019, we exited the remaining portion of our Middleton, Wisconsin office and an office space in Houston, Texas, resulting in restructuring charges of $0.4 million and $0.1 million, respectively, which primarily consisted of accelerated depreciation on furniture and fixtures in those offices. Additionally, we recognized a $0.2 million restructuring charge in the second quarter of 2019 related to workforce reductions as we continue to better align resources with market demand. During the first quarter of 2019, we exited a portion of our Lake Oswego, Oregon corporate office resulting in a $0.7 million lease impairment charge on the related operating lease right-of-use asset and leasehold improvements and $0.2 million of accelerated depreciation on furniture and fixtures in that office. Additionally, we recognized a $0.2 million restructuring charge in the first quarter of 2019 related to workforce reductions in our corporate operations.</w:t>
      </w:r>
    </w:p>
    <w:p>
      <w:pPr>
        <w:spacing w:after="0" w:line="13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six months ended June 30,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Office Space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Employee Costs</w:t>
            </w:r>
          </w:p>
        </w:tc>
        <w:tc>
          <w:tcPr>
            <w:tcW w:w="22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Reductions</w:t>
            </w:r>
          </w:p>
        </w:tc>
        <w:tc>
          <w:tcPr>
            <w:tcW w:w="28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4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1,599</w:t>
            </w:r>
          </w:p>
        </w:tc>
      </w:tr>
      <w:tr>
        <w:trPr>
          <w:trHeight w:val="27"/>
        </w:trPr>
        <w:tc>
          <w:tcPr>
            <w:tcW w:w="4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1,142</w:t>
            </w:r>
          </w:p>
        </w:tc>
      </w:tr>
      <w:tr>
        <w:trPr>
          <w:trHeight w:val="20"/>
        </w:trPr>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restructuring charge liability related to employee costs at June 30, 2020 is expected to be paid in the next 12 months and is included as a component of accrued payroll and related benefits. The $0.1 million restructuring charge liability related to office space reductions at June 30, 2020 is included as a component of accrued expenses and other current liabilities and deferred compensation and other liabilities. The $1.1 million other restructuring charge liability at June 30, 2020 is related to the termination of a third-party advisor agreement and is expected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be paid over the next 31 months and is included as a component of accrued expenses and other current liabilities and deferred compensation and other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 and Hedging Activity</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 month LIBOR and we pay to the counterparty a fixed rate of 1.900%.</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January 30, 2020, we entered into a forward interest rate swap agreement effective December 31, 2019 and ending December 31, 2024, with a notional amount of $50.0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1.500%.</w:t>
      </w:r>
    </w:p>
    <w:p>
      <w:pPr>
        <w:spacing w:after="0" w:line="13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March 16, 2020, we entered into a forward interest rate swap agreement effective February 28, 2020 and ending February 28, 2025, with a notional amount of $100.0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0.885%.</w:t>
      </w:r>
    </w:p>
    <w:p>
      <w:pPr>
        <w:spacing w:after="0" w:line="13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recognize all derivative instruments as either assets or liabilities at fair value on the balance sheet. We have designated these derivative instruments as cash flow hedges. Therefore, changes in the fair value of the derivative instruments are recorded to other comprehensive income (“OCI”) to the extent effective and reclassified into interest expense upon settlement. As of June 30, 2020, it was anticipated that $1.7 million of the losses, net of tax, currently recorded in accumulated other comprehensive income will be reclassified into earnings within the next 12 months.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table below sets forth additional information relating to the interest rate swaps designated as a cash flow hedging instrument as of June 30, 2020 and December 31, 2019.</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7"/>
              </w:rPr>
              <w:t>Fair Value (Derivative Asset and Liability)</w:t>
            </w: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8"/>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2"/>
          </w:tcPr>
          <w:p>
            <w:pPr>
              <w:ind w:left="400"/>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8"/>
                <w:szCs w:val="18"/>
                <w:color w:val="auto"/>
              </w:rPr>
            </w:pPr>
          </w:p>
        </w:tc>
        <w:tc>
          <w:tcPr>
            <w:tcW w:w="1820" w:type="dxa"/>
            <w:vAlign w:val="bottom"/>
          </w:tcPr>
          <w:p>
            <w:pPr>
              <w:jc w:val="right"/>
              <w:ind w:right="4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86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360" w:type="dxa"/>
            <w:vAlign w:val="bottom"/>
          </w:tcPr>
          <w:p>
            <w:pPr>
              <w:spacing w:after="0"/>
              <w:rPr>
                <w:sz w:val="20"/>
                <w:szCs w:val="20"/>
                <w:color w:val="auto"/>
              </w:rPr>
            </w:pPr>
          </w:p>
        </w:tc>
        <w:tc>
          <w:tcPr>
            <w:tcW w:w="1780" w:type="dxa"/>
            <w:vAlign w:val="bottom"/>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2019</w:t>
            </w:r>
          </w:p>
        </w:tc>
      </w:tr>
      <w:tr>
        <w:trPr>
          <w:trHeight w:val="27"/>
        </w:trPr>
        <w:tc>
          <w:tcPr>
            <w:tcW w:w="6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Deferred compensation and other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387</w:t>
            </w:r>
          </w:p>
        </w:tc>
      </w:tr>
    </w:tbl>
    <w:p>
      <w:pPr>
        <w:spacing w:after="0" w:line="39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do not use derivative instruments for trading or other speculative purposes. Refer to Note 11 “Other Comprehensive Income (Loss)” for additional information on our derivative instruments.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 Inputs</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170"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49" w:lineRule="exact"/>
        <w:rPr>
          <w:sz w:val="20"/>
          <w:szCs w:val="20"/>
          <w:color w:val="auto"/>
        </w:rPr>
      </w:pPr>
    </w:p>
    <w:p>
      <w:pPr>
        <w:sectPr>
          <w:pgSz w:w="11900" w:h="16838" w:orient="portrait"/>
          <w:cols w:equalWidth="0" w:num="2">
            <w:col w:w="1780" w:space="720"/>
            <w:col w:w="8740"/>
          </w:cols>
          <w:pgMar w:left="320" w:top="125" w:right="339" w:bottom="1440" w:gutter="0" w:footer="0" w:header="0"/>
          <w:type w:val="continuous"/>
        </w:sectPr>
      </w:pPr>
    </w:p>
    <w:p>
      <w:pPr>
        <w:ind w:left="40"/>
        <w:spacing w:after="0"/>
        <w:tabs>
          <w:tab w:leader="none" w:pos="2480" w:val="left"/>
        </w:tabs>
        <w:rPr>
          <w:sz w:val="20"/>
          <w:szCs w:val="20"/>
          <w:color w:val="auto"/>
        </w:rPr>
      </w:pPr>
      <w:r>
        <w:rPr>
          <w:rFonts w:ascii="Arial" w:cs="Arial" w:eastAsia="Arial" w:hAnsi="Arial"/>
          <w:sz w:val="18"/>
          <w:szCs w:val="18"/>
          <w:color w:val="auto"/>
        </w:rPr>
        <w:t>Level 3 Inputs</w:t>
      </w:r>
      <w:r>
        <w:rPr>
          <w:sz w:val="20"/>
          <w:szCs w:val="20"/>
          <w:color w:val="auto"/>
        </w:rPr>
        <w:tab/>
      </w:r>
      <w:r>
        <w:rPr>
          <w:rFonts w:ascii="Arial" w:cs="Arial" w:eastAsia="Arial" w:hAnsi="Arial"/>
          <w:sz w:val="16"/>
          <w:szCs w:val="16"/>
          <w:color w:val="auto"/>
        </w:rPr>
        <w:t>Unobservable inputs for the asset or liability, and include situations in which there is little, if any, market activity for the</w:t>
      </w:r>
    </w:p>
    <w:p>
      <w:pPr>
        <w:spacing w:after="0" w:line="2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asset or liability.</w:t>
      </w:r>
    </w:p>
    <w:p>
      <w:pPr>
        <w:spacing w:after="0" w:line="40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June 30, 2020 and December 31,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5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2020</w:t>
            </w: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 investment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54,524</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Deferred compensation assets</w:t>
            </w:r>
          </w:p>
        </w:tc>
        <w:tc>
          <w:tcPr>
            <w:tcW w:w="10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28,155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28,155</w:t>
            </w:r>
          </w:p>
        </w:tc>
      </w:tr>
      <w:tr>
        <w:trPr>
          <w:trHeight w:val="27"/>
        </w:trPr>
        <w:tc>
          <w:tcPr>
            <w:tcW w:w="55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82,679</w:t>
            </w:r>
          </w:p>
        </w:tc>
      </w:tr>
      <w:tr>
        <w:trPr>
          <w:trHeight w:val="223"/>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0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40"/>
        </w:trPr>
        <w:tc>
          <w:tcPr>
            <w:tcW w:w="5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5,125</w:t>
            </w:r>
          </w:p>
        </w:tc>
      </w:tr>
      <w:tr>
        <w:trPr>
          <w:trHeight w:val="237"/>
        </w:trPr>
        <w:tc>
          <w:tcPr>
            <w:tcW w:w="552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5,125</w:t>
            </w:r>
          </w:p>
        </w:tc>
      </w:tr>
      <w:tr>
        <w:trPr>
          <w:trHeight w:val="27"/>
        </w:trPr>
        <w:tc>
          <w:tcPr>
            <w:tcW w:w="55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2019</w:t>
            </w: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 investment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49,542</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Deferred compensation assets</w:t>
            </w:r>
          </w:p>
        </w:tc>
        <w:tc>
          <w:tcPr>
            <w:tcW w:w="10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27,445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27,445</w:t>
            </w:r>
          </w:p>
        </w:tc>
      </w:tr>
      <w:tr>
        <w:trPr>
          <w:trHeight w:val="27"/>
        </w:trPr>
        <w:tc>
          <w:tcPr>
            <w:tcW w:w="55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76,987</w:t>
            </w:r>
          </w:p>
        </w:tc>
      </w:tr>
      <w:tr>
        <w:trPr>
          <w:trHeight w:val="223"/>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0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40"/>
        </w:trPr>
        <w:tc>
          <w:tcPr>
            <w:tcW w:w="5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r>
      <w:tr>
        <w:trPr>
          <w:trHeight w:val="236"/>
        </w:trPr>
        <w:tc>
          <w:tcPr>
            <w:tcW w:w="552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546</w:t>
            </w:r>
          </w:p>
        </w:tc>
      </w:tr>
      <w:tr>
        <w:trPr>
          <w:trHeight w:val="27"/>
        </w:trPr>
        <w:tc>
          <w:tcPr>
            <w:tcW w:w="5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The fair values of our interest rate swaps were derived using estimates to settle the interest rate swap agreements, which are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net present value of expected future cash flows on each leg of the swaps utilizing market-based inputs and a discount rate reflecting the risks involved.</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Convertible debt investment: </w:t>
      </w:r>
      <w:r>
        <w:rPr>
          <w:rFonts w:ascii="Arial" w:cs="Arial" w:eastAsia="Arial" w:hAnsi="Arial"/>
          <w:sz w:val="17"/>
          <w:szCs w:val="17"/>
          <w:color w:val="auto"/>
        </w:rPr>
        <w:t>In 2014 and 2015, we invested $27.9 million, in the form of zero coupon convertible debt (the "initial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notes"), in Shorelight Holdings, LLC (“Shorelight”), the parent company of Shorelight, a U.S.-based company that partners with leading nonprofit universities to increase access to and retention of international students, boost institutional growth, and enhance an institution’s global footprint. In the first quarter of 2020, we invested an additional $13.0 million, in the form of 1.69% convertible debt with a senior liquidation preference to the initial convertible notes (the "additional convertible note"); and amended our initial convertible notes to include a coupon rate of 1.69% and extend the maturity date to January 17, 2024, which coincides with the maturity date of the additional convertible note.</w:t>
      </w:r>
    </w:p>
    <w:p>
      <w:pPr>
        <w:spacing w:after="0" w:line="124"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w:t>
      </w:r>
    </w:p>
    <w:p>
      <w:pPr>
        <w:sectPr>
          <w:pgSz w:w="11900" w:h="16838" w:orient="portrait"/>
          <w:cols w:equalWidth="0" w:num="1">
            <w:col w:w="11240"/>
          </w:cols>
          <w:pgMar w:left="320" w:top="125" w:right="339" w:bottom="1440" w:gutter="0" w:footer="0" w:header="0"/>
          <w:type w:val="continuous"/>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notes are not in-substance common stock that would warrant equity method accounting. After we reviewed all of the terms of the investment, we concluded the appropriate accounting treatment to be that of an available-for-sale debt security.</w:t>
      </w:r>
    </w:p>
    <w:p>
      <w:pPr>
        <w:spacing w:after="0" w:line="11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investment is carried at fair value with unrealized holding gains and losses excluded from earnings and reported in other comprehensive income. We estimate the fair value of our investment using a scenario-based approach in the form of a hybrid analysis that consists of a Monte Carlo simulation model and an expected return analysis. The conclusion of value for our investment is based on the probability weighted assessment of both scenarios. The hybrid analysis utilizes certain assumptions including the assumed holding period through the maturity date of January 17, 2024, the applicable waterfall distribution at the end of the expected holding period based on the rights and privileges of the various instruments, cash flow projections discounted at the risk-adjusted rate of 24.0%, and the concluded equity volatility of 45.0%, all of which are Level 3 inputs. The valuation of our investment as of December 31, 2019 takes into consideration the equity value indication as well as the dilutive impact of the convertible debt issued by Shorelight in the first quarter of 2020, the terms of which were known or knowable as of December 31, 2019.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investments on our consolidated balance sheets.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six months ended June 30,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Convertible Debt Investment</w:t>
            </w:r>
          </w:p>
        </w:tc>
      </w:tr>
      <w:tr>
        <w:trPr>
          <w:trHeight w:val="27"/>
        </w:trPr>
        <w:tc>
          <w:tcPr>
            <w:tcW w:w="8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49,542</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Purchases</w:t>
            </w:r>
          </w:p>
        </w:tc>
        <w:tc>
          <w:tcPr>
            <w:tcW w:w="260" w:type="dxa"/>
            <w:vAlign w:val="bottom"/>
          </w:tcPr>
          <w:p>
            <w:pPr>
              <w:spacing w:after="0"/>
              <w:rPr>
                <w:sz w:val="21"/>
                <w:szCs w:val="21"/>
                <w:color w:val="auto"/>
              </w:rPr>
            </w:pP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13,000</w:t>
            </w: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convertible debt investment</w:t>
            </w:r>
          </w:p>
        </w:tc>
        <w:tc>
          <w:tcPr>
            <w:tcW w:w="260" w:type="dxa"/>
            <w:vAlign w:val="bottom"/>
            <w:tcBorders>
              <w:bottom w:val="single" w:sz="8" w:color="CCEEFF"/>
            </w:tcBorders>
            <w:shd w:val="clear" w:color="auto" w:fill="CCEEFF"/>
          </w:tcPr>
          <w:p>
            <w:pPr>
              <w:spacing w:after="0"/>
              <w:rPr>
                <w:sz w:val="23"/>
                <w:szCs w:val="23"/>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(8,018)</w:t>
            </w:r>
          </w:p>
        </w:tc>
      </w:tr>
      <w:tr>
        <w:trPr>
          <w:trHeight w:val="257"/>
        </w:trPr>
        <w:tc>
          <w:tcPr>
            <w:tcW w:w="8200" w:type="dxa"/>
            <w:vAlign w:val="bottom"/>
          </w:tcPr>
          <w:p>
            <w:pPr>
              <w:ind w:left="40"/>
              <w:spacing w:after="0"/>
              <w:rPr>
                <w:sz w:val="20"/>
                <w:szCs w:val="20"/>
                <w:color w:val="auto"/>
              </w:rPr>
            </w:pPr>
            <w:r>
              <w:rPr>
                <w:rFonts w:ascii="Arial" w:cs="Arial" w:eastAsia="Arial" w:hAnsi="Arial"/>
                <w:sz w:val="18"/>
                <w:szCs w:val="18"/>
                <w:color w:val="auto"/>
              </w:rPr>
              <w:t>Balance as of June 30, 2020</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54,524</w:t>
            </w: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Deferred compensation assets: </w:t>
      </w:r>
      <w:r>
        <w:rPr>
          <w:rFonts w:ascii="Arial" w:cs="Arial" w:eastAsia="Arial" w:hAnsi="Arial"/>
          <w:sz w:val="16"/>
          <w:szCs w:val="16"/>
          <w:color w:val="auto"/>
        </w:rPr>
        <w:t>We have a non-qualified deferred compensation plan (the "Plan") for the members of our board of directors and a select</w:t>
      </w:r>
      <w:r>
        <w:rPr>
          <w:rFonts w:ascii="Arial" w:cs="Arial" w:eastAsia="Arial" w:hAnsi="Arial"/>
          <w:sz w:val="16"/>
          <w:szCs w:val="16"/>
          <w:i w:val="1"/>
          <w:iCs w:val="1"/>
          <w:color w:val="auto"/>
        </w:rPr>
        <w:t xml:space="preserve"> </w:t>
      </w:r>
      <w:r>
        <w:rPr>
          <w:rFonts w:ascii="Arial" w:cs="Arial" w:eastAsia="Arial" w:hAnsi="Arial"/>
          <w:sz w:val="16"/>
          <w:szCs w:val="16"/>
          <w:color w:val="auto"/>
        </w:rPr>
        <w:t>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on our consolidated balance sheets. Realized and unrealized gains (losses) from the deferred compensation assets are recorded to other income (expense), net in our consolidated statements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Investment</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the fourth quarter of 2019, we invested $5.0 million, in the form of preferred stock, in Medically Home Group, Inc. ("Medically Home"), a healthcare technology-enabled services company. To determine the appropriate accounting treatment for our investment, we performed a VIE analysis and concluded that Medically Home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in Medically Home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if any, plus or minus changes resulting from observable price changes in orderly transactions for the identical or similar investment in Medically Home. On a quarterly basis, we review the information available to determine whether an orderly and observable transaction for the same or similar equity instrument occurred, and remeasure the fair value of the preferred stock using such identified transactions, with changes in the fair value recorded in consolidated statement of operations. Following our purchase, there has been no impairment, nor any observable price changes to our investment.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7 “Financing Arrangements” for additional information on our senior secured credit facility.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7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carrying value of our promissory note due 2024 is stated at cost. Our carrying value approximates fair value, using Level 2 inputs, as the promissory note bears interest at rates based on current market rates as set forth in the terms of the promissory note. Refer to Note 7 “Financing Arrangements” for additional information on our promissory note due 2024.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Other Financial Instruments</w:t>
      </w:r>
    </w:p>
    <w:p>
      <w:pPr>
        <w:spacing w:after="0" w:line="17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Comprehensive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components of other comprehensive income (loss), net of tax, for the three and six months ended June 30, 2020 and 2019.</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6"/>
          </w:tcPr>
          <w:p>
            <w:pPr>
              <w:jc w:val="center"/>
              <w:ind w:left="490"/>
              <w:spacing w:after="0"/>
              <w:rPr>
                <w:sz w:val="20"/>
                <w:szCs w:val="20"/>
                <w:color w:val="auto"/>
              </w:rPr>
            </w:pPr>
            <w:r>
              <w:rPr>
                <w:rFonts w:ascii="Arial" w:cs="Arial" w:eastAsia="Arial" w:hAnsi="Arial"/>
                <w:sz w:val="18"/>
                <w:szCs w:val="18"/>
                <w:b w:val="1"/>
                <w:bCs w:val="1"/>
                <w:color w:val="auto"/>
                <w:w w:val="92"/>
              </w:rPr>
              <w:t>Three Months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6"/>
          </w:tcPr>
          <w:p>
            <w:pPr>
              <w:jc w:val="center"/>
              <w:ind w:left="490"/>
              <w:spacing w:after="0"/>
              <w:rPr>
                <w:sz w:val="20"/>
                <w:szCs w:val="20"/>
                <w:color w:val="auto"/>
              </w:rPr>
            </w:pPr>
            <w:r>
              <w:rPr>
                <w:rFonts w:ascii="Arial" w:cs="Arial" w:eastAsia="Arial" w:hAnsi="Arial"/>
                <w:sz w:val="18"/>
                <w:szCs w:val="18"/>
                <w:b w:val="1"/>
                <w:bCs w:val="1"/>
                <w:color w:val="auto"/>
                <w:w w:val="92"/>
              </w:rPr>
              <w:t>Three Months Ended</w:t>
            </w:r>
          </w:p>
        </w:tc>
        <w:tc>
          <w:tcPr>
            <w:tcW w:w="76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June 30, 2020</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June 30, 2019</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8"/>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Tax</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Tax</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Before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(Expense)</w:t>
            </w:r>
          </w:p>
        </w:tc>
        <w:tc>
          <w:tcPr>
            <w:tcW w:w="26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of</w:t>
            </w:r>
          </w:p>
        </w:tc>
        <w:tc>
          <w:tcPr>
            <w:tcW w:w="200" w:type="dxa"/>
            <w:vAlign w:val="bottom"/>
          </w:tcPr>
          <w:p>
            <w:pPr>
              <w:spacing w:after="0"/>
              <w:rPr>
                <w:sz w:val="18"/>
                <w:szCs w:val="18"/>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Before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(Expense)</w:t>
            </w:r>
          </w:p>
        </w:tc>
        <w:tc>
          <w:tcPr>
            <w:tcW w:w="26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Arial" w:cs="Arial" w:eastAsia="Arial" w:hAnsi="Arial"/>
                <w:sz w:val="18"/>
                <w:szCs w:val="18"/>
                <w:b w:val="1"/>
                <w:bCs w:val="1"/>
                <w:color w:val="auto"/>
              </w:rPr>
              <w:t>Net of</w:t>
            </w:r>
          </w:p>
        </w:tc>
      </w:tr>
      <w:tr>
        <w:trPr>
          <w:trHeight w:val="234"/>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2"/>
              </w:rPr>
              <w:t>Taxes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Benefit</w:t>
            </w:r>
          </w:p>
        </w:tc>
        <w:tc>
          <w:tcPr>
            <w:tcW w:w="26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Taxes</w:t>
            </w:r>
          </w:p>
        </w:tc>
        <w:tc>
          <w:tcPr>
            <w:tcW w:w="20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2"/>
              </w:rPr>
              <w:t>Taxes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Benefit</w:t>
            </w:r>
          </w:p>
        </w:tc>
        <w:tc>
          <w:tcPr>
            <w:tcW w:w="26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Taxes</w:t>
            </w:r>
          </w:p>
        </w:tc>
      </w:tr>
      <w:tr>
        <w:trPr>
          <w:trHeight w:val="27"/>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investment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3,915</w:t>
            </w: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Unrealized gain (loss) on cash flow hedges:</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43"/>
        </w:trPr>
        <w:tc>
          <w:tcPr>
            <w:tcW w:w="4620" w:type="dxa"/>
            <w:vAlign w:val="bottom"/>
          </w:tcPr>
          <w:p>
            <w:pPr>
              <w:ind w:left="720"/>
              <w:spacing w:after="0"/>
              <w:rPr>
                <w:sz w:val="20"/>
                <w:szCs w:val="20"/>
                <w:color w:val="auto"/>
              </w:rPr>
            </w:pPr>
            <w:r>
              <w:rPr>
                <w:rFonts w:ascii="Arial" w:cs="Arial" w:eastAsia="Arial" w:hAnsi="Arial"/>
                <w:sz w:val="18"/>
                <w:szCs w:val="18"/>
                <w:color w:val="auto"/>
              </w:rPr>
              <w:t>Reclassification adjustments into earnings</w:t>
            </w: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3"/>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gain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4,129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2,944</w:t>
            </w:r>
          </w:p>
        </w:tc>
      </w:tr>
      <w:tr>
        <w:trPr>
          <w:trHeight w:val="27"/>
        </w:trPr>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731"/>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6"/>
          </w:tcPr>
          <w:p>
            <w:pPr>
              <w:jc w:val="center"/>
              <w:ind w:left="510"/>
              <w:spacing w:after="0"/>
              <w:rPr>
                <w:sz w:val="20"/>
                <w:szCs w:val="20"/>
                <w:color w:val="auto"/>
              </w:rPr>
            </w:pPr>
            <w:r>
              <w:rPr>
                <w:rFonts w:ascii="Arial" w:cs="Arial" w:eastAsia="Arial" w:hAnsi="Arial"/>
                <w:sz w:val="18"/>
                <w:szCs w:val="18"/>
                <w:b w:val="1"/>
                <w:bCs w:val="1"/>
                <w:color w:val="auto"/>
                <w:w w:val="90"/>
              </w:rPr>
              <w:t>Six Months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6"/>
          </w:tcPr>
          <w:p>
            <w:pPr>
              <w:jc w:val="center"/>
              <w:ind w:left="510"/>
              <w:spacing w:after="0"/>
              <w:rPr>
                <w:sz w:val="20"/>
                <w:szCs w:val="20"/>
                <w:color w:val="auto"/>
              </w:rPr>
            </w:pPr>
            <w:r>
              <w:rPr>
                <w:rFonts w:ascii="Arial" w:cs="Arial" w:eastAsia="Arial" w:hAnsi="Arial"/>
                <w:sz w:val="18"/>
                <w:szCs w:val="18"/>
                <w:b w:val="1"/>
                <w:bCs w:val="1"/>
                <w:color w:val="auto"/>
                <w:w w:val="90"/>
              </w:rPr>
              <w:t>Six Months Ended</w:t>
            </w:r>
          </w:p>
        </w:tc>
        <w:tc>
          <w:tcPr>
            <w:tcW w:w="760" w:type="dxa"/>
            <w:vAlign w:val="bottom"/>
          </w:tcPr>
          <w:p>
            <w:pPr>
              <w:spacing w:after="0"/>
              <w:rPr>
                <w:sz w:val="24"/>
                <w:szCs w:val="24"/>
                <w:color w:val="auto"/>
              </w:rPr>
            </w:pPr>
          </w:p>
        </w:tc>
      </w:tr>
      <w:tr>
        <w:trPr>
          <w:trHeight w:val="234"/>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June 30, 2020</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June 30, 2019</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8"/>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Tax</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Tax</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Before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(Expense)</w:t>
            </w:r>
          </w:p>
        </w:tc>
        <w:tc>
          <w:tcPr>
            <w:tcW w:w="26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of</w:t>
            </w:r>
          </w:p>
        </w:tc>
        <w:tc>
          <w:tcPr>
            <w:tcW w:w="200" w:type="dxa"/>
            <w:vAlign w:val="bottom"/>
          </w:tcPr>
          <w:p>
            <w:pPr>
              <w:spacing w:after="0"/>
              <w:rPr>
                <w:sz w:val="18"/>
                <w:szCs w:val="18"/>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Before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(Expense)</w:t>
            </w:r>
          </w:p>
        </w:tc>
        <w:tc>
          <w:tcPr>
            <w:tcW w:w="26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Arial" w:cs="Arial" w:eastAsia="Arial" w:hAnsi="Arial"/>
                <w:sz w:val="18"/>
                <w:szCs w:val="18"/>
                <w:b w:val="1"/>
                <w:bCs w:val="1"/>
                <w:color w:val="auto"/>
              </w:rPr>
              <w:t>Net of</w:t>
            </w:r>
          </w:p>
        </w:tc>
      </w:tr>
      <w:tr>
        <w:trPr>
          <w:trHeight w:val="234"/>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2"/>
              </w:rPr>
              <w:t>Taxes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Benefit</w:t>
            </w:r>
          </w:p>
        </w:tc>
        <w:tc>
          <w:tcPr>
            <w:tcW w:w="26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Taxes</w:t>
            </w:r>
          </w:p>
        </w:tc>
        <w:tc>
          <w:tcPr>
            <w:tcW w:w="20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2"/>
              </w:rPr>
              <w:t>Taxes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Benefit</w:t>
            </w:r>
          </w:p>
        </w:tc>
        <w:tc>
          <w:tcPr>
            <w:tcW w:w="26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Taxes</w:t>
            </w:r>
          </w:p>
        </w:tc>
      </w:tr>
      <w:tr>
        <w:trPr>
          <w:trHeight w:val="27"/>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investment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6,572</w:t>
            </w: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Unrealized gain (loss) on cash flow hedges:</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43"/>
        </w:trPr>
        <w:tc>
          <w:tcPr>
            <w:tcW w:w="4620" w:type="dxa"/>
            <w:vAlign w:val="bottom"/>
          </w:tcPr>
          <w:p>
            <w:pPr>
              <w:ind w:left="720"/>
              <w:spacing w:after="0"/>
              <w:rPr>
                <w:sz w:val="20"/>
                <w:szCs w:val="20"/>
                <w:color w:val="auto"/>
              </w:rPr>
            </w:pPr>
            <w:r>
              <w:rPr>
                <w:rFonts w:ascii="Arial" w:cs="Arial" w:eastAsia="Arial" w:hAnsi="Arial"/>
                <w:sz w:val="18"/>
                <w:szCs w:val="18"/>
                <w:color w:val="auto"/>
              </w:rPr>
              <w:t>Reclassification adjustments into earnings</w:t>
            </w: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gain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r>
      <w:tr>
        <w:trPr>
          <w:trHeight w:val="236"/>
        </w:trPr>
        <w:tc>
          <w:tcPr>
            <w:tcW w:w="4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7,733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5,680</w:t>
            </w:r>
          </w:p>
        </w:tc>
      </w:tr>
      <w:tr>
        <w:trPr>
          <w:trHeight w:val="27"/>
        </w:trPr>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before tax amounts reclassified from accumulated other comprehensive income related to our cash flow hedges are recorded to interest expense, net of interest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net of tax, includes the following components: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Foreign Currency</w:t>
            </w:r>
          </w:p>
        </w:tc>
        <w:tc>
          <w:tcPr>
            <w:tcW w:w="22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Available-for-Sale</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22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Cash Flow Hedges</w:t>
            </w:r>
          </w:p>
        </w:tc>
        <w:tc>
          <w:tcPr>
            <w:tcW w:w="460" w:type="dxa"/>
            <w:vAlign w:val="bottom"/>
          </w:tcPr>
          <w:p>
            <w:pPr>
              <w:spacing w:after="0"/>
              <w:rPr>
                <w:sz w:val="20"/>
                <w:szCs w:val="20"/>
                <w:color w:val="auto"/>
              </w:rPr>
            </w:pPr>
          </w:p>
        </w:tc>
        <w:tc>
          <w:tcPr>
            <w:tcW w:w="1560" w:type="dxa"/>
            <w:vAlign w:val="bottom"/>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27"/>
        </w:trPr>
        <w:tc>
          <w:tcPr>
            <w:tcW w:w="2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14,936</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Current period change</w:t>
            </w: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(5,936)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(10,001)</w:t>
            </w:r>
          </w:p>
        </w:tc>
      </w:tr>
      <w:tr>
        <w:trPr>
          <w:trHeight w:val="27"/>
        </w:trPr>
        <w:tc>
          <w:tcPr>
            <w:tcW w:w="2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8"/>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4,935</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March 27, 2020, the President of the United States signed into law the Coronavirus Aid, Relief, and Economic Security Act (“CARES Act”). The CARES Act is an approximately $2 trillion emergency economic stimulus package in response to the COVID-19 outbreak, which among other items, includes income tax provisions relating to net operating loss carryback periods and technical corrections to tax depreciation methods for qualified improvement property. As a result of the enactment of this legislation during the first quarter of 2020, we recorded a tax benefit of $0.8 million related to the remeasurement of a portion of our income tax receivable due to the ability to apply the federal net operating loss incurred in 2018 to prior year income for a refund at a higher tax rate in the carryback period.</w:t>
      </w:r>
    </w:p>
    <w:p>
      <w:pPr>
        <w:spacing w:after="0" w:line="13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apply an estimated annual effective tax rate to our year-to-date operating results to determine the interim provision for income tax expense. In addition, we recognize taxes related to unusual or infrequent items or resulting from a change in judgment regarding a position taken in a prior year as discrete items in the interim period in which the event occurs.</w:t>
      </w:r>
    </w:p>
    <w:p>
      <w:pPr>
        <w:spacing w:after="0" w:line="13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For the three months ended June 30, 2020, our effective tax rate was 20.1% as we recognized income tax expense from continuing operations of $3.4 million on income from continuing operations of $17.0 million. The effective tax rate of 20.1% was more favorable than the statutory rate, inclusive of state income taxes, of 26.0%, primarily due to the current year-to-date pre-tax losses and the impact during the quarter of certain nondeductible expense items, including the nondeductible portion of the goodwill impairment charges, based on the attribution of those expenses to the quarter in accordance with the allocation of income tax expense on a current year-to-date basis. The effective tax rate also reflected the positive impact of certain federal tax credits.</w:t>
      </w:r>
    </w:p>
    <w:p>
      <w:pPr>
        <w:spacing w:after="0" w:line="10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For the three months ended June 30, 2019, our effective tax rate was 24.8% as we recognized income tax expense from continuing operations of $3.5 million on income from continuing operations of $14.0 million. The effective tax rate of 24.8% was more favorable than the statutory rate, inclusive of state income taxes, of 26.4%, primarily due to non-taxable gains on our investments used to fund our deferred compensation liability and federal tax credits, partially offset by non-deductible business expenses.</w:t>
      </w:r>
    </w:p>
    <w:p>
      <w:pPr>
        <w:spacing w:after="0" w:line="13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the six months ended June 30, 2020, our effective tax rate was 21.4% as we recognized an income tax benefit from continuing operations of $7.8 million on a loss from continuing operations of $36.5 million. The effective tax rate of 21.4% was less favorable than the statutory rate, inclusive of state income taxes, of 26.0%, primarily due to certain nondeductible expense items and the nondeductible portion of the goodwill impairment charges recorded during the first quarter of 2020. These unfavorable items were partially offset by a discrete tax benefit for share-based compensation awards that vested during the first quarter and the discrete tax benefit for the remeasurement of a portion of our income tax receivable as a result of the enactment of the CARES Act in the first quarter of 2020.</w:t>
      </w:r>
    </w:p>
    <w:p>
      <w:pPr>
        <w:spacing w:after="0" w:line="13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the six months ended June 30, 2019, our effective tax rate was 25.8% as we recognized income tax expense from continuing operations of $4.8 million on income from continuing operations of $18.8 million. The effective tax rate of 25.8% was more favorable than the statutory rate, inclusive of state income taxes, of 26.4%, primarily due to non-taxable gains on our investments used to fund our deferred compensation liability, federal tax credits and share-based compensation awards that vested during the year; partially offset by non-deductible business expenses.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Contingencies and Guarantees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Guarantees in the form of letters of credit totaling $1.7 million were outstanding at both June 30, 2020 and December 31, 2019, primarily to support certain office lease obligations.</w:t>
      </w:r>
    </w:p>
    <w:p>
      <w:pPr>
        <w:spacing w:after="0" w:line="116" w:lineRule="exact"/>
        <w:rPr>
          <w:sz w:val="20"/>
          <w:szCs w:val="20"/>
          <w:color w:val="auto"/>
        </w:rPr>
      </w:pPr>
    </w:p>
    <w:p>
      <w:pPr>
        <w:ind w:left="60" w:right="260"/>
        <w:spacing w:after="0" w:line="263"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June 30, 2020 and December 31, 2019, the total estimated fair value of our contingent consideration liability was zero.</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Business Advisory, and Education.</w:t>
      </w:r>
    </w:p>
    <w:p>
      <w:pPr>
        <w:spacing w:after="0" w:line="11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Healthcare</w:t>
      </w:r>
    </w:p>
    <w:p>
      <w:pPr>
        <w:spacing w:after="0" w:line="175" w:lineRule="exact"/>
        <w:rPr>
          <w:rFonts w:ascii="Arial" w:cs="Arial" w:eastAsia="Arial" w:hAnsi="Arial"/>
          <w:sz w:val="18"/>
          <w:szCs w:val="18"/>
          <w:b w:val="1"/>
          <w:bCs w:val="1"/>
          <w:color w:val="auto"/>
        </w:rPr>
      </w:pPr>
    </w:p>
    <w:p>
      <w:pPr>
        <w:ind w:left="660"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Our Healthcare segment has a depth of expertise in financial and operational improvement, care transformation, culture and organizational excellence, strategy, and technology and analytics. We serve national and regional hospitals,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align leaders, improve organizational culture, and drive physician, patient, and employee engagement across the enterprise to deliver better consumer outcomes.</w:t>
      </w:r>
    </w:p>
    <w:p>
      <w:pPr>
        <w:spacing w:after="0" w:line="122" w:lineRule="exact"/>
        <w:rPr>
          <w:rFonts w:ascii="Arial" w:cs="Arial" w:eastAsia="Arial" w:hAnsi="Arial"/>
          <w:sz w:val="18"/>
          <w:szCs w:val="18"/>
          <w:b w:val="1"/>
          <w:bCs w:val="1"/>
          <w:color w:val="auto"/>
        </w:rPr>
      </w:pPr>
    </w:p>
    <w:p>
      <w:pPr>
        <w:ind w:left="660"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help organizations transform and innovate their delivery model to focus on patient wellness by improving quality outcomes, minimizing care variation and fundamentally improving patient and population health. Our consultants partner with clients to help build and sustain today’s business to invest in the future by reducing complexity, improving operational efficiency and growing market share. We enable the healthcare of the future by identifying, integrating and optimizing technology investments to collect data that transforms care delivery and improves patient outcomes. We also develop future leaders capable of driving meaningful cultural and organizational change and who transform the consumer experience.</w:t>
      </w:r>
    </w:p>
    <w:p>
      <w:pPr>
        <w:spacing w:after="0" w:line="134"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Advisory</w:t>
      </w:r>
    </w:p>
    <w:p>
      <w:pPr>
        <w:spacing w:after="0" w:line="175" w:lineRule="exact"/>
        <w:rPr>
          <w:rFonts w:ascii="Arial" w:cs="Arial" w:eastAsia="Arial" w:hAnsi="Arial"/>
          <w:sz w:val="18"/>
          <w:szCs w:val="18"/>
          <w:b w:val="1"/>
          <w:bCs w:val="1"/>
          <w:color w:val="auto"/>
        </w:rPr>
      </w:pPr>
    </w:p>
    <w:p>
      <w:pPr>
        <w:ind w:left="660" w:right="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Our Business Advisory segment provides services to large and middle market organizations, lending institutions, law firms, investment banks, private equity firms, and not-for-profit organizations, including higher education and healthcare institutions. We assist clients in a broad range of industries and across the spectrum from healthy, well-capitalized companies to organizations in transition, as well as creditors, equity owners, and other key constituents. Our Enterprise Solutions and Analytics experts advise, deliver, and optimize technology and analytics solutions that enable organizations to manage and optimize their financial performance, operational efficiency, and client or stakeholder experience. Our Business Advisory experts resolve complex business issues and enhance client enterprise value through a suite of services including capital advisory, transaction advisory, operational improvement, restructuring and turnaround, valuation, and dispute advisory. Our Strategy and Innovation professionals collaborate with clients across a range of industries to identify new growth opportunities, 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75" w:lineRule="exact"/>
        <w:rPr>
          <w:rFonts w:ascii="Arial" w:cs="Arial" w:eastAsia="Arial" w:hAnsi="Arial"/>
          <w:sz w:val="18"/>
          <w:szCs w:val="18"/>
          <w:color w:val="auto"/>
        </w:rPr>
      </w:pPr>
    </w:p>
    <w:p>
      <w:pPr>
        <w:ind w:left="660" w:right="100"/>
        <w:spacing w:after="0" w:line="290" w:lineRule="auto"/>
        <w:rPr>
          <w:rFonts w:ascii="Arial" w:cs="Arial" w:eastAsia="Arial" w:hAnsi="Arial"/>
          <w:sz w:val="18"/>
          <w:szCs w:val="18"/>
          <w:color w:val="auto"/>
        </w:rPr>
      </w:pPr>
      <w:r>
        <w:rPr>
          <w:rFonts w:ascii="Arial" w:cs="Arial" w:eastAsia="Arial" w:hAnsi="Arial"/>
          <w:sz w:val="16"/>
          <w:szCs w:val="16"/>
          <w:color w:val="auto"/>
        </w:rPr>
        <w:t>Our Education segment provides consulting and technology solutions to higher education institutions and academic medical centers. We collaborate with clients to address challenges relating to business and technology strategy, financial and operational excellence, student success, research administration, and regulatory compliance. Our research enterprise solutions assist clients in identifying and implementing institutional research strategy, optimizing clinical research operations, improving financial management and cost reimbursement, improving service to faculty, and mitigating risk compliance. Our technology strategy, enterprise applications, and analytics solutions transform and optimize operations, deliver time and cost savings, and enhance the student experience. Our institutional strategy, budgeting and financial management, and business operations align missions with business priorities, improve quality, and reduce costs institution-wide. Our student solutions improve attraction, retention and graduation rates, increase student satisfaction and help generate quality outcomes.</w:t>
      </w:r>
    </w:p>
    <w:p>
      <w:pPr>
        <w:spacing w:after="0" w:line="11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Segment operating income consists of the revenues generated by a segment, less the direct costs of revenue and selling, general and administrative expenses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122"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table below sets forth information about our operating segments for the three and six months ended June 30, 2020 and 2019, along with the items necessary to reconcile the segment information to the totals reported in the accompanying consolidated financial statements.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6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7"/>
        </w:trPr>
        <w:tc>
          <w:tcPr>
            <w:tcW w:w="5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Healthcare: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85,356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101,939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180,934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195,621</w:t>
            </w: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21,171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33,344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45,221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61,195</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w w:val="99"/>
              </w:rPr>
              <w:t>Segment operating income as a percentage of segment revenues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70,470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62,277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135,375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121,083</w:t>
            </w: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16,684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11,474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26,526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21,055</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w w:val="99"/>
              </w:rPr>
              <w:t>Segment operating income as a percentage of segment revenues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62,031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56,538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124,167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108,495</w:t>
            </w: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16,128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16,204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29,244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28,822</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w w:val="99"/>
              </w:rPr>
              <w:t>Segment operating income as a percentage of segment revenues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217,857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220,754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440,476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425,199</w:t>
            </w: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23,534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22,273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42,151</w:t>
            </w:r>
          </w:p>
        </w:tc>
      </w:tr>
      <w:tr>
        <w:trPr>
          <w:trHeight w:val="237"/>
        </w:trPr>
        <w:tc>
          <w:tcPr>
            <w:tcW w:w="5280" w:type="dxa"/>
            <w:vAlign w:val="bottom"/>
          </w:tcPr>
          <w:p>
            <w:pPr>
              <w:ind w:left="280"/>
              <w:spacing w:after="0"/>
              <w:rPr>
                <w:sz w:val="20"/>
                <w:szCs w:val="20"/>
                <w:color w:val="auto"/>
              </w:rPr>
            </w:pPr>
            <w:r>
              <w:rPr>
                <w:rFonts w:ascii="Arial" w:cs="Arial" w:eastAsia="Arial" w:hAnsi="Arial"/>
                <w:sz w:val="18"/>
                <w:szCs w:val="18"/>
                <w:color w:val="auto"/>
              </w:rPr>
              <w:t>Total revenues and reimbursable expenses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220,827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244,288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462,749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467,350</w:t>
            </w:r>
          </w:p>
        </w:tc>
      </w:tr>
      <w:tr>
        <w:trPr>
          <w:trHeight w:val="67"/>
        </w:trPr>
        <w:tc>
          <w:tcPr>
            <w:tcW w:w="52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51"/>
        </w:trPr>
        <w:tc>
          <w:tcPr>
            <w:tcW w:w="5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53,983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61,022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100,991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111,072</w:t>
            </w: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31,638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36,481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58,784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73,059</w:t>
            </w: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and other gains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w:t>
            </w: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6,391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7,151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12,438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14,323</w:t>
            </w: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Goodwill impairment charges</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59,816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Other expense (income), net</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3,829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6,605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5,870</w:t>
            </w:r>
          </w:p>
        </w:tc>
      </w:tr>
      <w:tr>
        <w:trPr>
          <w:trHeight w:val="27"/>
        </w:trPr>
        <w:tc>
          <w:tcPr>
            <w:tcW w:w="5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16,986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14,046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(36,502)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18,761</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right="260" w:hanging="652"/>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non-cash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ectPr>
          <w:pgSz w:w="11900" w:h="16838" w:orient="portrait"/>
          <w:cols w:equalWidth="0" w:num="1">
            <w:col w:w="11240"/>
          </w:cols>
          <w:pgMar w:left="320" w:top="125" w:right="339"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following table illustrates the disaggregation of revenues by billing arrangements, employee types, and timing of revenue recognition, including a reconciliation of the disaggregated revenues to revenues from our three operating segments for the three and six months ended June 30, 2020 and 2019.</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900" w:type="dxa"/>
            <w:vAlign w:val="bottom"/>
            <w:gridSpan w:val="9"/>
          </w:tcPr>
          <w:p>
            <w:pPr>
              <w:jc w:val="center"/>
              <w:ind w:right="50"/>
              <w:spacing w:after="0"/>
              <w:rPr>
                <w:sz w:val="20"/>
                <w:szCs w:val="20"/>
                <w:color w:val="auto"/>
              </w:rPr>
            </w:pPr>
            <w:r>
              <w:rPr>
                <w:rFonts w:ascii="Arial" w:cs="Arial" w:eastAsia="Arial" w:hAnsi="Arial"/>
                <w:sz w:val="18"/>
                <w:szCs w:val="18"/>
                <w:b w:val="1"/>
                <w:bCs w:val="1"/>
                <w:color w:val="auto"/>
                <w:w w:val="90"/>
              </w:rPr>
              <w:t>Three Months Ended June 30, 2020</w:t>
            </w:r>
          </w:p>
        </w:tc>
        <w:tc>
          <w:tcPr>
            <w:tcW w:w="880" w:type="dxa"/>
            <w:vAlign w:val="bottom"/>
          </w:tcPr>
          <w:p>
            <w:pPr>
              <w:spacing w:after="0"/>
              <w:rPr>
                <w:sz w:val="20"/>
                <w:szCs w:val="20"/>
                <w:color w:val="auto"/>
              </w:rPr>
            </w:pPr>
          </w:p>
        </w:tc>
      </w:tr>
      <w:tr>
        <w:trPr>
          <w:trHeight w:val="27"/>
        </w:trPr>
        <w:tc>
          <w:tcPr>
            <w:tcW w:w="4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4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46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1"/>
              </w:rPr>
              <w:t>Healthcare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Education</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6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Billing Arrangements</w:t>
            </w:r>
          </w:p>
        </w:tc>
        <w:tc>
          <w:tcPr>
            <w:tcW w:w="1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Fixed-fee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50,803</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27,374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11,397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89,574</w:t>
            </w:r>
          </w:p>
        </w:tc>
      </w:tr>
      <w:tr>
        <w:trPr>
          <w:trHeight w:val="27"/>
        </w:trPr>
        <w:tc>
          <w:tcPr>
            <w:tcW w:w="4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 and expense</w:t>
            </w:r>
          </w:p>
        </w:tc>
        <w:tc>
          <w:tcPr>
            <w:tcW w:w="1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98,861</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Performance-based</w:t>
            </w:r>
          </w:p>
        </w:tc>
        <w:tc>
          <w:tcPr>
            <w:tcW w:w="1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14,480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16,761</w:t>
            </w:r>
          </w:p>
        </w:tc>
      </w:tr>
      <w:tr>
        <w:trPr>
          <w:trHeight w:val="27"/>
        </w:trPr>
        <w:tc>
          <w:tcPr>
            <w:tcW w:w="4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support, maintenance and subscriptions</w:t>
            </w:r>
          </w:p>
        </w:tc>
        <w:tc>
          <w:tcPr>
            <w:tcW w:w="17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12,661</w:t>
            </w:r>
          </w:p>
        </w:tc>
      </w:tr>
      <w:tr>
        <w:trPr>
          <w:trHeight w:val="237"/>
        </w:trPr>
        <w:tc>
          <w:tcPr>
            <w:tcW w:w="464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7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85,356</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70,470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62,031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217,857</w:t>
            </w:r>
          </w:p>
        </w:tc>
      </w:tr>
      <w:tr>
        <w:trPr>
          <w:trHeight w:val="27"/>
        </w:trPr>
        <w:tc>
          <w:tcPr>
            <w:tcW w:w="4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3"/>
        </w:trPr>
        <w:tc>
          <w:tcPr>
            <w:tcW w:w="46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1"/>
                <w:szCs w:val="21"/>
                <w:i w:val="1"/>
                <w:iCs w:val="1"/>
                <w:color w:val="auto"/>
                <w:vertAlign w:val="superscript"/>
              </w:rPr>
              <w:t>(1)</w:t>
            </w:r>
          </w:p>
        </w:tc>
        <w:tc>
          <w:tcPr>
            <w:tcW w:w="1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generated by full-time billable consultants</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58,221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178,677</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Revenue generated by full-time equivalents</w:t>
            </w:r>
          </w:p>
        </w:tc>
        <w:tc>
          <w:tcPr>
            <w:tcW w:w="1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8,844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39,180</w:t>
            </w:r>
          </w:p>
        </w:tc>
      </w:tr>
      <w:tr>
        <w:trPr>
          <w:trHeight w:val="27"/>
        </w:trPr>
        <w:tc>
          <w:tcPr>
            <w:tcW w:w="46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85,356</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70,470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217,857</w:t>
            </w:r>
          </w:p>
        </w:tc>
      </w:tr>
      <w:tr>
        <w:trPr>
          <w:trHeight w:val="283"/>
        </w:trPr>
        <w:tc>
          <w:tcPr>
            <w:tcW w:w="4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Timing of Revenue Recognition</w:t>
            </w:r>
          </w:p>
        </w:tc>
        <w:tc>
          <w:tcPr>
            <w:tcW w:w="1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Revenue recognized over time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84,941</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70,470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62,030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217,441</w:t>
            </w:r>
          </w:p>
        </w:tc>
      </w:tr>
      <w:tr>
        <w:trPr>
          <w:trHeight w:val="27"/>
        </w:trPr>
        <w:tc>
          <w:tcPr>
            <w:tcW w:w="4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 at a point in time</w:t>
            </w:r>
          </w:p>
        </w:tc>
        <w:tc>
          <w:tcPr>
            <w:tcW w:w="17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w:t>
            </w:r>
          </w:p>
        </w:tc>
      </w:tr>
      <w:tr>
        <w:trPr>
          <w:trHeight w:val="237"/>
        </w:trPr>
        <w:tc>
          <w:tcPr>
            <w:tcW w:w="464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7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85,356</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70,470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62,031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217,857</w:t>
            </w:r>
          </w:p>
        </w:tc>
      </w:tr>
      <w:tr>
        <w:trPr>
          <w:trHeight w:val="405"/>
        </w:trPr>
        <w:tc>
          <w:tcPr>
            <w:tcW w:w="4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Six Months Ended June 30, 2020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4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4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46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1"/>
              </w:rPr>
              <w:t>Healthcare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Education</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6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Billing Arrangements</w:t>
            </w:r>
          </w:p>
        </w:tc>
        <w:tc>
          <w:tcPr>
            <w:tcW w:w="1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Fixed-fee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106,588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52,767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24,572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183,927</w:t>
            </w:r>
          </w:p>
        </w:tc>
      </w:tr>
      <w:tr>
        <w:trPr>
          <w:trHeight w:val="27"/>
        </w:trPr>
        <w:tc>
          <w:tcPr>
            <w:tcW w:w="4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 and expense</w:t>
            </w:r>
          </w:p>
        </w:tc>
        <w:tc>
          <w:tcPr>
            <w:tcW w:w="1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77,853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194,894</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Performance-based</w:t>
            </w:r>
          </w:p>
        </w:tc>
        <w:tc>
          <w:tcPr>
            <w:tcW w:w="1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36,328</w:t>
            </w:r>
          </w:p>
        </w:tc>
      </w:tr>
      <w:tr>
        <w:trPr>
          <w:trHeight w:val="27"/>
        </w:trPr>
        <w:tc>
          <w:tcPr>
            <w:tcW w:w="4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support, maintenance and subscriptions</w:t>
            </w:r>
          </w:p>
        </w:tc>
        <w:tc>
          <w:tcPr>
            <w:tcW w:w="17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25,327</w:t>
            </w:r>
          </w:p>
        </w:tc>
      </w:tr>
      <w:tr>
        <w:trPr>
          <w:trHeight w:val="237"/>
        </w:trPr>
        <w:tc>
          <w:tcPr>
            <w:tcW w:w="464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7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180,934</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135,375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124,167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440,476</w:t>
            </w:r>
          </w:p>
        </w:tc>
      </w:tr>
      <w:tr>
        <w:trPr>
          <w:trHeight w:val="27"/>
        </w:trPr>
        <w:tc>
          <w:tcPr>
            <w:tcW w:w="4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46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1"/>
                <w:szCs w:val="21"/>
                <w:i w:val="1"/>
                <w:iCs w:val="1"/>
                <w:color w:val="auto"/>
                <w:vertAlign w:val="superscript"/>
              </w:rPr>
              <w:t>(1)</w:t>
            </w:r>
          </w:p>
        </w:tc>
        <w:tc>
          <w:tcPr>
            <w:tcW w:w="1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generated by full-time billable consultants</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123,666</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129,226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359,515</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Revenue generated by full-time equivalents</w:t>
            </w:r>
          </w:p>
        </w:tc>
        <w:tc>
          <w:tcPr>
            <w:tcW w:w="1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57,268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6,149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17,544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80,961</w:t>
            </w:r>
          </w:p>
        </w:tc>
      </w:tr>
      <w:tr>
        <w:trPr>
          <w:trHeight w:val="27"/>
        </w:trPr>
        <w:tc>
          <w:tcPr>
            <w:tcW w:w="46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180,934</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440,476</w:t>
            </w:r>
          </w:p>
        </w:tc>
      </w:tr>
      <w:tr>
        <w:trPr>
          <w:trHeight w:val="283"/>
        </w:trPr>
        <w:tc>
          <w:tcPr>
            <w:tcW w:w="4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Timing of Revenue Recognition</w:t>
            </w:r>
          </w:p>
        </w:tc>
        <w:tc>
          <w:tcPr>
            <w:tcW w:w="1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Revenue recognized over time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179,400</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135,375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124,052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438,827</w:t>
            </w:r>
          </w:p>
        </w:tc>
      </w:tr>
      <w:tr>
        <w:trPr>
          <w:trHeight w:val="27"/>
        </w:trPr>
        <w:tc>
          <w:tcPr>
            <w:tcW w:w="4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 at a point in time</w:t>
            </w:r>
          </w:p>
        </w:tc>
        <w:tc>
          <w:tcPr>
            <w:tcW w:w="17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1,649</w:t>
            </w:r>
          </w:p>
        </w:tc>
      </w:tr>
      <w:tr>
        <w:trPr>
          <w:trHeight w:val="236"/>
        </w:trPr>
        <w:tc>
          <w:tcPr>
            <w:tcW w:w="464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7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180,934</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135,375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124,167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440,476</w:t>
            </w:r>
          </w:p>
        </w:tc>
      </w:tr>
      <w:tr>
        <w:trPr>
          <w:trHeight w:val="459"/>
        </w:trPr>
        <w:tc>
          <w:tcPr>
            <w:tcW w:w="4640" w:type="dxa"/>
            <w:vAlign w:val="bottom"/>
          </w:tcPr>
          <w:p>
            <w:pPr>
              <w:spacing w:after="0"/>
              <w:rPr>
                <w:sz w:val="24"/>
                <w:szCs w:val="24"/>
                <w:color w:val="auto"/>
              </w:rPr>
            </w:pPr>
          </w:p>
        </w:tc>
        <w:tc>
          <w:tcPr>
            <w:tcW w:w="1720" w:type="dxa"/>
            <w:vAlign w:val="bottom"/>
          </w:tcPr>
          <w:p>
            <w:pPr>
              <w:jc w:val="right"/>
              <w:ind w:right="55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180"/>
          </w:cols>
          <w:pgMar w:left="320" w:top="125" w:right="3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80" w:type="dxa"/>
            <w:vAlign w:val="bottom"/>
            <w:gridSpan w:val="9"/>
          </w:tcPr>
          <w:p>
            <w:pPr>
              <w:jc w:val="center"/>
              <w:ind w:right="30"/>
              <w:spacing w:after="0"/>
              <w:rPr>
                <w:sz w:val="20"/>
                <w:szCs w:val="20"/>
                <w:color w:val="auto"/>
              </w:rPr>
            </w:pPr>
            <w:r>
              <w:rPr>
                <w:rFonts w:ascii="Arial" w:cs="Arial" w:eastAsia="Arial" w:hAnsi="Arial"/>
                <w:sz w:val="18"/>
                <w:szCs w:val="18"/>
                <w:b w:val="1"/>
                <w:bCs w:val="1"/>
                <w:color w:val="auto"/>
                <w:w w:val="90"/>
              </w:rPr>
              <w:t>Three Months Ended June 30, 2019</w:t>
            </w:r>
          </w:p>
        </w:tc>
        <w:tc>
          <w:tcPr>
            <w:tcW w:w="90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6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1"/>
              </w:rPr>
              <w:t>Healthcare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Education</w:t>
            </w: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6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Fixed-fee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59,681</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26,688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13,125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99,494</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87,155</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22,553</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11,552</w:t>
            </w:r>
          </w:p>
        </w:tc>
      </w:tr>
      <w:tr>
        <w:trPr>
          <w:trHeight w:val="237"/>
        </w:trPr>
        <w:tc>
          <w:tcPr>
            <w:tcW w:w="636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101,939</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62,277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56,538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220,754</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3"/>
        </w:trPr>
        <w:tc>
          <w:tcPr>
            <w:tcW w:w="6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70"/>
        </w:trPr>
        <w:tc>
          <w:tcPr>
            <w:tcW w:w="6360" w:type="dxa"/>
            <w:vAlign w:val="bottom"/>
          </w:tcPr>
          <w:p>
            <w:pPr>
              <w:ind w:left="20"/>
              <w:spacing w:after="0"/>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1"/>
                <w:szCs w:val="21"/>
                <w:i w:val="1"/>
                <w:iCs w:val="1"/>
                <w:color w:val="auto"/>
                <w:vertAlign w:val="superscript"/>
              </w:rPr>
              <w:t>(1)</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generated by full-time billable consultants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69,548</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179,005</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32,391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41,749</w:t>
            </w:r>
          </w:p>
        </w:tc>
      </w:tr>
      <w:tr>
        <w:trPr>
          <w:trHeight w:val="27"/>
        </w:trPr>
        <w:tc>
          <w:tcPr>
            <w:tcW w:w="6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101,939</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220,754</w:t>
            </w:r>
          </w:p>
        </w:tc>
      </w:tr>
      <w:tr>
        <w:trPr>
          <w:trHeight w:val="283"/>
        </w:trPr>
        <w:tc>
          <w:tcPr>
            <w:tcW w:w="6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Revenue recognized over time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99,606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62,277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56,179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218,062</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 at a point in time</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2,692</w:t>
            </w:r>
          </w:p>
        </w:tc>
      </w:tr>
      <w:tr>
        <w:trPr>
          <w:trHeight w:val="237"/>
        </w:trPr>
        <w:tc>
          <w:tcPr>
            <w:tcW w:w="636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101,939</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62,277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56,538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220,754</w:t>
            </w:r>
          </w:p>
        </w:tc>
      </w:tr>
      <w:tr>
        <w:trPr>
          <w:trHeight w:val="513"/>
        </w:trPr>
        <w:tc>
          <w:tcPr>
            <w:tcW w:w="6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Six Months Ended June 30, 2019</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
        </w:trPr>
        <w:tc>
          <w:tcPr>
            <w:tcW w:w="6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6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1"/>
              </w:rPr>
              <w:t>Healthcare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Education</w:t>
            </w: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6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Fixed-fee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123,265</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48,360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25,508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197,133</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170,585</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35,027</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11,487</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22,454</w:t>
            </w:r>
          </w:p>
        </w:tc>
      </w:tr>
      <w:tr>
        <w:trPr>
          <w:trHeight w:val="237"/>
        </w:trPr>
        <w:tc>
          <w:tcPr>
            <w:tcW w:w="636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195,621</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121,083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108,495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425,199</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70"/>
        </w:trPr>
        <w:tc>
          <w:tcPr>
            <w:tcW w:w="6360" w:type="dxa"/>
            <w:vAlign w:val="bottom"/>
          </w:tcPr>
          <w:p>
            <w:pPr>
              <w:ind w:left="20"/>
              <w:spacing w:after="0"/>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1"/>
                <w:szCs w:val="21"/>
                <w:i w:val="1"/>
                <w:iCs w:val="1"/>
                <w:color w:val="auto"/>
                <w:vertAlign w:val="superscript"/>
              </w:rPr>
              <w:t>(1)</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generated by full-time billable consultants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134,366</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346,924</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61,255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78,275</w:t>
            </w:r>
          </w:p>
        </w:tc>
      </w:tr>
      <w:tr>
        <w:trPr>
          <w:trHeight w:val="27"/>
        </w:trPr>
        <w:tc>
          <w:tcPr>
            <w:tcW w:w="6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195,621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121,083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108,495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425,199</w:t>
            </w:r>
          </w:p>
        </w:tc>
      </w:tr>
      <w:tr>
        <w:trPr>
          <w:trHeight w:val="283"/>
        </w:trPr>
        <w:tc>
          <w:tcPr>
            <w:tcW w:w="6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Revenue recognized over time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191,248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121,083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107,890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420,221</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 at a point in time</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4,978</w:t>
            </w:r>
          </w:p>
        </w:tc>
      </w:tr>
      <w:tr>
        <w:trPr>
          <w:trHeight w:val="236"/>
        </w:trPr>
        <w:tc>
          <w:tcPr>
            <w:tcW w:w="636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195,621</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121,083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108,495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425,199</w:t>
            </w:r>
          </w:p>
        </w:tc>
      </w:tr>
    </w:tbl>
    <w:p>
      <w:pPr>
        <w:spacing w:after="0" w:line="121" w:lineRule="exact"/>
        <w:rPr>
          <w:sz w:val="20"/>
          <w:szCs w:val="20"/>
          <w:color w:val="auto"/>
        </w:rPr>
      </w:pPr>
    </w:p>
    <w:p>
      <w:pPr>
        <w:ind w:left="660" w:right="140" w:hanging="652"/>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Full-time billable consultants consist of our full-time professionals who provide consulting services to our clients and are billable to our clients based on the number of hours worked. Full-time equivalent professionals consist of leadership coaches and their support staff within our Culture and Organizational Excellence solution, consultants who work variable schedules as needed by our clients, and full-time employees who provide software support and maintenance services to our clients.</w:t>
      </w:r>
    </w:p>
    <w:p>
      <w:pPr>
        <w:spacing w:after="0" w:line="7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At June 30, 2020 one client in our Healthcare segment had a total receivable and unbilled services balance that accounted for 16.5% of our combined balance of receivables from clients, net and unbilled services, net. The outstanding balance for this client is the result of outstanding invoices due in the normal course of the contract payment terms and services performed in advance of the contract billing schedule. At December 31, 2019, no single client accounted for greater than 10% of our combined balance of receivables from clients, net</w:t>
      </w:r>
    </w:p>
    <w:p>
      <w:pPr>
        <w:sectPr>
          <w:pgSz w:w="11900" w:h="16838" w:orient="portrait"/>
          <w:cols w:equalWidth="0" w:num="1">
            <w:col w:w="11220"/>
          </w:cols>
          <w:pgMar w:left="320" w:top="125" w:right="359" w:bottom="1141" w:gutter="0" w:footer="0" w:header="0"/>
        </w:sectPr>
      </w:pP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20"/>
          </w:cols>
          <w:pgMar w:left="320" w:top="125" w:right="359" w:bottom="1141"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and unbilled services, net. During the three and six months ended June 30, 2020 and 2019, no single client generated greater than 10% of our consolidated revenues.</w:t>
      </w:r>
    </w:p>
    <w:p>
      <w:pPr>
        <w:spacing w:after="0" w:line="274"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the impact of the COVID-19 pandemic on the economy, our clients and client demand for our services, and our ability to sell and provide services, including the measures taken by governmental authorities and businesses in response to the pandemic, which may cause or contribute to other risks and uncertainties that we face;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2019 and under Part II, Item 1A. "Risk Factors" in this Quarterly Report on Form 10-Q,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they need to own their future. By embracing diverse perspectives, encouraging new ideas and challenging the status quo, we create sustainable results for the organizations we serve.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provide professional services through three operating segments: Healthcare, Business Advisory, and Education.</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Healthcare</w:t>
      </w:r>
    </w:p>
    <w:p>
      <w:pPr>
        <w:spacing w:after="0" w:line="171" w:lineRule="exact"/>
        <w:rPr>
          <w:rFonts w:ascii="Arial" w:cs="Arial" w:eastAsia="Arial" w:hAnsi="Arial"/>
          <w:sz w:val="18"/>
          <w:szCs w:val="18"/>
          <w:b w:val="1"/>
          <w:bCs w:val="1"/>
          <w:color w:val="auto"/>
        </w:rPr>
      </w:pPr>
    </w:p>
    <w:p>
      <w:pPr>
        <w:ind w:left="6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Our Healthcare segment has a depth of expertise in financial and operational improvement, care transformation, culture and organizational excellence, strategy, and technology and analytics. We serve national and regional hospitals,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align leaders, improve organizational culture, and drive physician, patient, and employee engagement across the enterprise to deliver better consumer outcomes.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320" w:top="125" w:right="3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right="120"/>
        <w:spacing w:after="0" w:line="255" w:lineRule="auto"/>
        <w:rPr>
          <w:sz w:val="20"/>
          <w:szCs w:val="20"/>
          <w:color w:val="auto"/>
        </w:rPr>
      </w:pPr>
      <w:r>
        <w:rPr>
          <w:rFonts w:ascii="Arial" w:cs="Arial" w:eastAsia="Arial" w:hAnsi="Arial"/>
          <w:sz w:val="18"/>
          <w:szCs w:val="18"/>
          <w:color w:val="auto"/>
        </w:rPr>
        <w:t>We help organizations transform and innovate their delivery model to focus on patient wellness by improving quality outcomes, minimizing care variation and fundamentally improving patient and population health. Our consultants partner with clients to help build and sustain today’s business to invest in the future by reducing complexity, improving operational efficiency and growing market share. We enable the healthcare of the future by identifying, integrating and optimizing technology investments to collect data that transforms care delivery and improves patient outcomes. We also develop future leaders capable of driving meaningful cultural and organizational change and who transform the consumer experience.</w:t>
      </w:r>
    </w:p>
    <w:p>
      <w:pPr>
        <w:spacing w:after="0" w:line="13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Business Advisory</w:t>
      </w:r>
    </w:p>
    <w:p>
      <w:pPr>
        <w:spacing w:after="0" w:line="171" w:lineRule="exact"/>
        <w:rPr>
          <w:rFonts w:ascii="Arial" w:cs="Arial" w:eastAsia="Arial" w:hAnsi="Arial"/>
          <w:sz w:val="18"/>
          <w:szCs w:val="18"/>
          <w:color w:val="auto"/>
        </w:rPr>
      </w:pPr>
    </w:p>
    <w:p>
      <w:pPr>
        <w:ind w:left="660" w:right="20"/>
        <w:spacing w:after="0" w:line="288" w:lineRule="auto"/>
        <w:rPr>
          <w:rFonts w:ascii="Arial" w:cs="Arial" w:eastAsia="Arial" w:hAnsi="Arial"/>
          <w:sz w:val="18"/>
          <w:szCs w:val="18"/>
          <w:color w:val="auto"/>
        </w:rPr>
      </w:pPr>
      <w:r>
        <w:rPr>
          <w:rFonts w:ascii="Arial" w:cs="Arial" w:eastAsia="Arial" w:hAnsi="Arial"/>
          <w:sz w:val="16"/>
          <w:szCs w:val="16"/>
          <w:color w:val="auto"/>
        </w:rPr>
        <w:t>Our Business Advisory segment provides services to large and middle market organizations, lending institutions, law firms, investment banks, private equity firms, and not-for-profit organizations, including higher education and healthcare institutions. We assist clients in a broad range of industries and across the spectrum from healthy, well-capitalized companies to organizations in transition, as well as creditors, equity owners, and other key constituents. Our Enterprise Solutions and Analytics experts advise, deliver, and optimize technology and analytics solutions that enable organizations to manage and optimize their financial performance, operational efficiency, and client or stakeholder experience. Our Business Advisory experts resolve complex business issues and enhance client enterprise value through a suite of services including capital advisory, transaction advisory, operational improvement, restructuring and turnaround, valuation, and dispute advisory. Our Strategy and Innovation professionals collaborate with clients across a range of industries to identify new growth opportunities, 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pacing w:after="0" w:line="11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Education</w:t>
      </w:r>
    </w:p>
    <w:p>
      <w:pPr>
        <w:spacing w:after="0" w:line="171" w:lineRule="exact"/>
        <w:rPr>
          <w:rFonts w:ascii="Arial" w:cs="Arial" w:eastAsia="Arial" w:hAnsi="Arial"/>
          <w:sz w:val="18"/>
          <w:szCs w:val="18"/>
          <w:b w:val="1"/>
          <w:bCs w:val="1"/>
          <w:color w:val="auto"/>
        </w:rPr>
      </w:pPr>
    </w:p>
    <w:p>
      <w:pPr>
        <w:ind w:left="660" w:right="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Our Education segment provides consulting and technology solutions to higher education institutions and academic medical centers. We collaborate with clients to address challenges relating to business and technology strategy, financial and operational excellence, student success, research administration, and regulatory compliance. Our research enterprise solutions assist clients in identifying and implementing institutional research strategy, optimizing clinical research operations, improving financial management and cost reimbursement, improving service to faculty, and mitigating risk compliance. Our technology strategy, enterprise applications, and analytics solutions transform and optimize operations, deliver time and cost savings, and enhance the student experience. Our institutional strategy, budgeting and financial management, and business operations align missions with business priorities, improve quality, and reduce costs institution-wide. Our student solutions improve attraction, retention and graduation rates, increase student satisfaction and help generate quality outcomes.</w:t>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Huron is a Platinum level member of the Oracle PartnerNetwork, an Oracle Cloud Premier Partner within North America, a Gold level consulting partner with Salesforce.com and a Workday Services Partner.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(COVID-19)</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worldwide spread of coronavirus (COVID-19) in the first half of 2020 has created significant volatility, uncertainty and disruption to the global economy. The pandemic has had an unfavorable impact on aspects of our business, operations, and financial results, and has caused us to significantly change the way we operate. Near the end of the first quarter of 2020, we suspended almost all business travel and our employees began working from their homes. While traditionally a majority of the work performed by our revenue-generating professionals occurred at client sites, the nature of the services we provide allows for our revenue-generating professionals to continue to serve clients in a remote work environment. As state and local governments ease their restrictions, we continue to develop and implement our comprehensive plan to return to our offices and client sites with our people’s safety and the needs of our clients guiding how we manage our phased transition.</w:t>
      </w:r>
    </w:p>
    <w:p>
      <w:pPr>
        <w:spacing w:after="0" w:line="1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each of our operating segments, we are working closely with our clients to support them and provide relevant services to address their needs caused by the COVID-19 pandemic. However, as some clients reprioritized and delayed certain projects as a result of the pandemic, demand for certain of our offerings have been negatively impacted. While the COVID-19 pandemic did not have a significant impact on our consolidated revenues in the first quarter of 2020, revenues in the second quarter of 2020 declined 2.1% compared to the first quarter of 2020, and revenues for the first six months of 2020 slightly increased 3.6% compared to the same prior year period.</w:t>
      </w:r>
    </w:p>
    <w:p>
      <w:pPr>
        <w:spacing w:after="0" w:line="13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COVID-19 pandemic has strengthened demand for other services we provide, such as our cloud-based technology and analytics solutions within our Business Advisory and Education segments and our restructuring and capital advisory solutions provided to organizations in transition within our Business Advisory segment.</w:t>
      </w:r>
    </w:p>
    <w:p>
      <w:pPr>
        <w:spacing w:after="0" w:line="13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order to support our liquidity during the COVID-19 pandemic, we took proactive measures to increase available cash on hand including, but not limited to, borrowing under our senior secured credit facility in the first quarter of 2020 and reducing discretionary operating and capital spending. During the second quarter of 2020, we made repayments on our borrowings to reduce our total debt outstanding due to our ability to maintain adequate cash flows from operations and improved clarity around access to capital resources. To further support our liquidity during the COVID-19</w:t>
      </w:r>
    </w:p>
    <w:p>
      <w:pPr>
        <w:sectPr>
          <w:pgSz w:w="11900" w:h="16838" w:orient="portrait"/>
          <w:cols w:equalWidth="0" w:num="1">
            <w:col w:w="11200"/>
          </w:cols>
          <w:pgMar w:left="320" w:top="125" w:right="379" w:bottom="1440" w:gutter="0" w:footer="0" w:header="0"/>
        </w:sectPr>
      </w:pP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00"/>
          </w:cols>
          <w:pgMar w:left="320" w:top="125" w:right="37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pandemic, we elected to defer the deposit of our employer portion of social security taxes beginning in April 2020 and through the end of the year, which we expect to pay in equal installments in the fourth quarters of 2021 and 2022, as provided for under the CARES Act.</w:t>
      </w:r>
    </w:p>
    <w:p>
      <w:pPr>
        <w:spacing w:after="0" w:line="1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the fourth quarter of 2019, we committed to the implementation of a new enterprise resource planning system designed to improve the efficiency of our internal operational, financial and administrative activities. The implementation continues to progress and is on schedule and has not been significantly impacted by the COVID-19 pandemic.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2020 Goodwill Impairment Charges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services provided by our Strategy and Innovation and Life Sciences reporting units within our Business Advisory segment focus on strategic solutions for healthy, well-capitalized companies to identify new growth opportunities, which may be considered by our clients to be more discretionary in nature, and the duration of the projects within these practices are typically short-term. Therefore, due to the uncertainty caused by the COVID-19 pandemic, we are cautious about near-term results for these two reporting units. Based on our internal projections and the preparation of our financial statements for the quarter ended March 31, 2020, and considering the expected decrease in demand due to the COVID-19 pandemic, during the first quarter of 2020 we believed that the fair value of these two reporting units no longer exceeded their carrying values and performed an interim goodwill impairment test on both reporting units. Based on the estimated fair values of the Strategy and Innovation and Life Sciences reporting units, we recorded non-cash pretax goodwill impairment charges of $49.9 million and $9.9 million, respectively. The non-cash goodwill impairment charge related to the Strategy and Innovation reporting unit reduced the goodwill balance of the reporting unit to $37.5 million as of March 31, 2020. The non-cash goodwill impairment charge related to the Life Sciences reporting unit reduced the goodwill balance to zero as of March 31, 2020. We did not identify any indicators that would lead us to believe that the fair values of our Healthcare, Education, and Business Advisory reporting units may not exceed their carrying values. See the "Critical Accounting Policies" section below and Note 4 "Goodwill and Intangible Assets" within the notes to our consolidated financial statements for additional information on the charges and evaluations performed.</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second quarter of 2020, we did not identify any indicators that would lead us to believe that the fair value of our reporting units may not exceed their carrying values. We will continue to evaluate goodwill for impairment during future periods. Any future significant decline in the performance of our Strategy and Innovation reporting unit, or any other reporting unit with a goodwill balance, compared to our internal forecasts could result in additional non-cash goodwill impairment charges.</w:t>
      </w:r>
    </w:p>
    <w:p>
      <w:pPr>
        <w:spacing w:after="0" w:line="13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See Part II, Item 1A. "Risk Factors" of this Quarterly Report on Form 10-Q for additional information on the potential impact the COVID-19 pandemic could have on our business, operations and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some of whom work variable schedules as needed by our clients. Full-time equivalent professionals consist of our coaches and their support staff from our Culture and Organizational Excellence solution, consultants who work variable schedules as needed by our clients, employees who provide managed services in our Healthcare segment, and our employees who provide software support and maintenance services to our clients.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23"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 Revenues generated by our Managed Services solution are dependent on the total value, scope and terms of the related contracts.</w:t>
      </w:r>
    </w:p>
    <w:p>
      <w:pPr>
        <w:spacing w:after="0" w:line="10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generate our revenues from providing professional services under four types of billing arrangements: fixed-fee (including software license revenue); time-and-expense; performance-based; and software support, maintenance and subscriptions.</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Culture and Organizational Excellence solution include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w:t>
      </w:r>
    </w:p>
    <w:p>
      <w:pPr>
        <w:spacing w:after="0" w:line="11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w:t>
      </w:r>
    </w:p>
    <w:p>
      <w:pPr>
        <w:sectPr>
          <w:pgSz w:w="11900" w:h="16838" w:orient="portrait"/>
          <w:cols w:equalWidth="0" w:num="1">
            <w:col w:w="11240"/>
          </w:cols>
          <w:pgMar w:left="320" w:top="125" w:right="339"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Fixed-fee engagements represented 41.1% and 45.1% of our revenues for the three months ended June 30, 2020 and 2019, respectively, and 41.8% and 46.4% of our revenues for the six months ended June 30, 2020 and 2019, respectively.</w:t>
      </w:r>
    </w:p>
    <w:p>
      <w:pPr>
        <w:spacing w:after="0" w:line="116"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Culture and Organizational Excellence solution. We recognize revenues under time-and-expense billing arrangements as the related services or publications are provided. Time-and-expense engagements represented 45.4% and 39.5% of our revenues for the three months ended June 30, 2020 and 2019, respectively, and 44.2% and 40.1% of our revenues for the six months ended June 30, 2020 and 2019, respectively.</w:t>
      </w:r>
    </w:p>
    <w:p>
      <w:pPr>
        <w:spacing w:after="0" w:line="10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recognize revenues under performance-based billing arrangements by estimating the amount of variable consideration that is probable of being earned and recognizing that estimate over the length of the contract using a proportionate performance approach. Performance-based fee revenues represented 7.7% and 10.2% of our revenues for the three months ended June 30, 2020 and 2019, respectively, and 8.3% and 8.2% of our revenues for the six months ended June 30, 2020 and 2019, respectively. The level of performance-based fees earned may vary based on our clients' risk sharing preferences and the mix of services we provide.</w:t>
      </w:r>
    </w:p>
    <w:p>
      <w:pPr>
        <w:spacing w:after="0" w:line="127"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 Software support, maintenance and subscription revenues represented 5.8% and 5.2% of our revenues for the three months ended June 30, 2020 and 2019, respectively, and 5.7% and 5.3% of our revenues for the six months ended June 30, 2020 and 2019, respectively.</w:t>
      </w:r>
    </w:p>
    <w:p>
      <w:pPr>
        <w:spacing w:after="0" w:line="12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quarterly results are impacted principally by our full-time consultants’ utilization rate, the bill rates we charge our clients, and the number of our revenue-generating professionals who are available to work.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3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To expand our business, we will remain focused on growing our existing relationships and developing new relationships, executing our managing director compensation plan to attract and retain senior practitioners, continuing to promote and provide an integrated approach to service delivery, broadening the scope of our existing services, and acquiring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and endorsed messages.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for the periods indicated, selected segment and consolidated operating results and other operating data.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40" w:right="1040"/>
        <w:spacing w:after="0" w:line="347" w:lineRule="auto"/>
        <w:rPr>
          <w:sz w:val="20"/>
          <w:szCs w:val="20"/>
          <w:color w:val="auto"/>
        </w:rPr>
      </w:pPr>
      <w:r>
        <w:rPr>
          <w:rFonts w:ascii="Arial" w:cs="Arial" w:eastAsia="Arial" w:hAnsi="Arial"/>
          <w:sz w:val="15"/>
          <w:szCs w:val="15"/>
          <w:b w:val="1"/>
          <w:bCs w:val="1"/>
          <w:color w:val="auto"/>
        </w:rPr>
        <w:t>Segment and Consolidated Operating Results (in thousands, except per share amounts):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shd w:val="clear" w:color="auto" w:fill="CCEEFF"/>
        </w:rPr>
        <w:t>Healthcare: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2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1020" w:type="dxa"/>
            <w:vAlign w:val="bottom"/>
          </w:tcPr>
          <w:p>
            <w:pPr>
              <w:spacing w:after="0"/>
              <w:rPr>
                <w:sz w:val="20"/>
                <w:szCs w:val="20"/>
                <w:color w:val="auto"/>
              </w:rPr>
            </w:pPr>
          </w:p>
        </w:tc>
        <w:tc>
          <w:tcPr>
            <w:tcW w:w="2020" w:type="dxa"/>
            <w:vAlign w:val="bottom"/>
            <w:gridSpan w:val="4"/>
          </w:tcPr>
          <w:p>
            <w:pPr>
              <w:jc w:val="center"/>
              <w:ind w:right="110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20"/>
                <w:szCs w:val="20"/>
                <w:color w:val="auto"/>
              </w:rPr>
            </w:pPr>
          </w:p>
        </w:tc>
        <w:tc>
          <w:tcPr>
            <w:tcW w:w="190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88"/>
              </w:rPr>
              <w:t>June 30,</w:t>
            </w:r>
          </w:p>
        </w:tc>
      </w:tr>
      <w:tr>
        <w:trPr>
          <w:trHeight w:val="27"/>
        </w:trPr>
        <w:tc>
          <w:tcPr>
            <w:tcW w:w="10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r>
      <w:tr>
        <w:trPr>
          <w:trHeight w:val="237"/>
        </w:trPr>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19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19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2019</w:t>
            </w:r>
          </w:p>
        </w:tc>
      </w:tr>
      <w:tr>
        <w:trPr>
          <w:trHeight w:val="27"/>
        </w:trPr>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-7620</wp:posOffset>
            </wp:positionV>
            <wp:extent cx="713232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4560" w:space="720"/>
            <w:col w:w="59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85,356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101,939</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180,934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195,621</w:t>
            </w: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21,171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33,344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45,221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61,195</w:t>
            </w:r>
          </w:p>
        </w:tc>
      </w:tr>
      <w:tr>
        <w:trPr>
          <w:trHeight w:val="243"/>
        </w:trPr>
        <w:tc>
          <w:tcPr>
            <w:tcW w:w="4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9"/>
              </w:rPr>
              <w:t>Segment operating income as a percentage of segment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Business Advisory:</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70,470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62,277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135,375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121,083</w:t>
            </w: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16,684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11,474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26,526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21,055</w:t>
            </w:r>
          </w:p>
        </w:tc>
      </w:tr>
      <w:tr>
        <w:trPr>
          <w:trHeight w:val="243"/>
        </w:trPr>
        <w:tc>
          <w:tcPr>
            <w:tcW w:w="4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9"/>
              </w:rPr>
              <w:t>Segment operating income as a percentage of segment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Education:</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62,031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56,538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124,167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108,495</w:t>
            </w: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16,128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16,204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29,244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28,822</w:t>
            </w:r>
          </w:p>
        </w:tc>
      </w:tr>
      <w:tr>
        <w:trPr>
          <w:trHeight w:val="243"/>
        </w:trPr>
        <w:tc>
          <w:tcPr>
            <w:tcW w:w="4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9"/>
              </w:rPr>
              <w:t>Segment operating income as a percentage of segment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217,857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220,754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440,476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425,199</w:t>
            </w: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23,534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22,273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42,151</w:t>
            </w:r>
          </w:p>
        </w:tc>
      </w:tr>
      <w:tr>
        <w:trPr>
          <w:trHeight w:val="237"/>
        </w:trPr>
        <w:tc>
          <w:tcPr>
            <w:tcW w:w="40" w:type="dxa"/>
            <w:vAlign w:val="bottom"/>
          </w:tcPr>
          <w:p>
            <w:pPr>
              <w:spacing w:after="0"/>
              <w:rPr>
                <w:sz w:val="20"/>
                <w:szCs w:val="20"/>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Total revenues and reimbursable expenses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220,827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244,288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462,749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467,350</w:t>
            </w:r>
          </w:p>
        </w:tc>
      </w:tr>
      <w:tr>
        <w:trPr>
          <w:trHeight w:val="67"/>
        </w:trPr>
        <w:tc>
          <w:tcPr>
            <w:tcW w:w="40" w:type="dxa"/>
            <w:vAlign w:val="bottom"/>
            <w:tcBorders>
              <w:bottom w:val="single" w:sz="8" w:color="CCEEFF"/>
            </w:tcBorders>
          </w:tcPr>
          <w:p>
            <w:pPr>
              <w:spacing w:after="0"/>
              <w:rPr>
                <w:sz w:val="5"/>
                <w:szCs w:val="5"/>
                <w:color w:val="auto"/>
              </w:rPr>
            </w:pPr>
          </w:p>
        </w:tc>
        <w:tc>
          <w:tcPr>
            <w:tcW w:w="52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52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Statements of Operations reconciliation:</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53,983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61,022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100,991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111,072</w:t>
            </w: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Items not allocated at the segment level:</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Other operating expenses</w:t>
            </w:r>
          </w:p>
        </w:tc>
        <w:tc>
          <w:tcPr>
            <w:tcW w:w="1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31,638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36,481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58,784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73,059</w:t>
            </w: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Litigation and other gains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w:t>
            </w:r>
          </w:p>
        </w:tc>
      </w:tr>
      <w:tr>
        <w:trPr>
          <w:trHeight w:val="243"/>
        </w:trPr>
        <w:tc>
          <w:tcPr>
            <w:tcW w:w="40" w:type="dxa"/>
            <w:vAlign w:val="bottom"/>
          </w:tcPr>
          <w:p>
            <w:pPr>
              <w:spacing w:after="0"/>
              <w:rPr>
                <w:sz w:val="21"/>
                <w:szCs w:val="21"/>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6,391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7,151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12,438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14,323</w:t>
            </w: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Goodwill impairment charges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59,816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15,954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17,875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(29,897)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24,631</w:t>
            </w: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(5,870)</w:t>
            </w:r>
          </w:p>
        </w:tc>
      </w:tr>
      <w:tr>
        <w:trPr>
          <w:trHeight w:val="237"/>
        </w:trPr>
        <w:tc>
          <w:tcPr>
            <w:tcW w:w="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Income (loss) from continuing operations before taxes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16,986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14,046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(36,502)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18,761</w:t>
            </w: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3,477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4,842</w:t>
            </w:r>
          </w:p>
        </w:tc>
      </w:tr>
      <w:tr>
        <w:trPr>
          <w:trHeight w:val="297"/>
        </w:trPr>
        <w:tc>
          <w:tcPr>
            <w:tcW w:w="40" w:type="dxa"/>
            <w:vAlign w:val="bottom"/>
            <w:tcBorders>
              <w:bottom w:val="single" w:sz="8" w:color="CCEEFF"/>
            </w:tcBorders>
          </w:tcPr>
          <w:p>
            <w:pPr>
              <w:spacing w:after="0"/>
              <w:rPr>
                <w:sz w:val="24"/>
                <w:szCs w:val="24"/>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from continuing operations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13,572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10,569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(28,701)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13,919</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(loss) per share from continuing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0.63</w:t>
            </w: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0.62</w:t>
            </w:r>
          </w:p>
        </w:tc>
      </w:tr>
      <w:tr>
        <w:trPr>
          <w:trHeight w:val="432"/>
        </w:trPr>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89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6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0"/>
                <w:szCs w:val="20"/>
                <w:color w:val="auto"/>
              </w:rPr>
            </w:pPr>
          </w:p>
        </w:tc>
      </w:tr>
      <w:tr>
        <w:trPr>
          <w:trHeight w:val="27"/>
        </w:trPr>
        <w:tc>
          <w:tcPr>
            <w:tcW w:w="53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3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7"/>
        </w:trPr>
        <w:tc>
          <w:tcPr>
            <w:tcW w:w="5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53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21"/>
                <w:szCs w:val="21"/>
                <w:b w:val="1"/>
                <w:bCs w:val="1"/>
                <w:color w:val="auto"/>
                <w:vertAlign w:val="superscript"/>
              </w:rPr>
              <w:t>(2)</w:t>
            </w:r>
            <w:r>
              <w:rPr>
                <w:rFonts w:ascii="Arial" w:cs="Arial" w:eastAsia="Arial" w:hAnsi="Arial"/>
                <w:sz w:val="18"/>
                <w:szCs w:val="18"/>
                <w:b w:val="1"/>
                <w:bCs w:val="1"/>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833</w:t>
            </w: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883</w:t>
            </w: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673</w:t>
            </w:r>
          </w:p>
        </w:tc>
      </w:tr>
      <w:tr>
        <w:trPr>
          <w:trHeight w:val="27"/>
        </w:trPr>
        <w:tc>
          <w:tcPr>
            <w:tcW w:w="5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2,389</w:t>
            </w:r>
          </w:p>
        </w:tc>
      </w:tr>
      <w:tr>
        <w:trPr>
          <w:trHeight w:val="225"/>
        </w:trPr>
        <w:tc>
          <w:tcPr>
            <w:tcW w:w="530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Average number of full-time billable consultants (for the period)</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1"/>
        </w:trPr>
        <w:tc>
          <w:tcPr>
            <w:tcW w:w="5200" w:type="dxa"/>
            <w:vAlign w:val="bottom"/>
          </w:tcPr>
          <w:p>
            <w:pPr>
              <w:ind w:left="40"/>
              <w:spacing w:after="0" w:line="261" w:lineRule="exact"/>
              <w:rPr>
                <w:sz w:val="20"/>
                <w:szCs w:val="20"/>
                <w:color w:val="auto"/>
              </w:rPr>
            </w:pPr>
            <w:r>
              <w:rPr>
                <w:rFonts w:ascii="Arial" w:cs="Arial" w:eastAsia="Arial" w:hAnsi="Arial"/>
                <w:sz w:val="10"/>
                <w:szCs w:val="10"/>
                <w:b w:val="1"/>
                <w:bCs w:val="1"/>
                <w:color w:val="auto"/>
              </w:rPr>
              <w:t>(2)</w:t>
            </w:r>
            <w:r>
              <w:rPr>
                <w:rFonts w:ascii="Arial" w:cs="Arial" w:eastAsia="Arial" w:hAnsi="Arial"/>
                <w:sz w:val="30"/>
                <w:szCs w:val="30"/>
                <w:b w:val="1"/>
                <w:bCs w:val="1"/>
                <w:color w:val="auto"/>
                <w:vertAlign w:val="subscript"/>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824</w:t>
            </w: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854</w:t>
            </w: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648</w:t>
            </w:r>
          </w:p>
        </w:tc>
      </w:tr>
      <w:tr>
        <w:trPr>
          <w:trHeight w:val="237"/>
        </w:trPr>
        <w:tc>
          <w:tcPr>
            <w:tcW w:w="530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2,588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2,591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2,326</w:t>
            </w: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3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21"/>
                <w:szCs w:val="21"/>
                <w:b w:val="1"/>
                <w:bCs w:val="1"/>
                <w:color w:val="auto"/>
                <w:vertAlign w:val="superscript"/>
              </w:rPr>
              <w:t>(3)</w:t>
            </w:r>
            <w:r>
              <w:rPr>
                <w:rFonts w:ascii="Arial" w:cs="Arial" w:eastAsia="Arial" w:hAnsi="Arial"/>
                <w:sz w:val="18"/>
                <w:szCs w:val="18"/>
                <w:b w:val="1"/>
                <w:bCs w:val="1"/>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70"/>
        </w:trPr>
        <w:tc>
          <w:tcPr>
            <w:tcW w:w="530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21"/>
                <w:szCs w:val="21"/>
                <w:b w:val="1"/>
                <w:bCs w:val="1"/>
                <w:color w:val="auto"/>
                <w:vertAlign w:val="superscript"/>
              </w:rPr>
              <w:t>(4)</w:t>
            </w: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224</w:t>
            </w:r>
          </w:p>
        </w:tc>
      </w:tr>
      <w:tr>
        <w:trPr>
          <w:trHeight w:val="270"/>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 xml:space="preserve">Business Advisory </w:t>
            </w:r>
            <w:r>
              <w:rPr>
                <w:rFonts w:ascii="Arial" w:cs="Arial" w:eastAsia="Arial" w:hAnsi="Arial"/>
                <w:sz w:val="21"/>
                <w:szCs w:val="21"/>
                <w:color w:val="auto"/>
                <w:vertAlign w:val="superscript"/>
              </w:rPr>
              <w:t>(5)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196</w:t>
            </w: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w:t>
            </w:r>
          </w:p>
        </w:tc>
      </w:tr>
      <w:tr>
        <w:trPr>
          <w:trHeight w:val="270"/>
        </w:trPr>
        <w:tc>
          <w:tcPr>
            <w:tcW w:w="5300" w:type="dxa"/>
            <w:vAlign w:val="bottom"/>
            <w:gridSpan w:val="2"/>
          </w:tcPr>
          <w:p>
            <w:pPr>
              <w:ind w:left="38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21"/>
                <w:szCs w:val="21"/>
                <w:color w:val="auto"/>
                <w:vertAlign w:val="superscript"/>
              </w:rPr>
              <w:t>(5)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208</w:t>
            </w: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163</w:t>
            </w: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w:t>
            </w: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147</w:t>
            </w: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149</w:t>
            </w:r>
          </w:p>
        </w:tc>
      </w:tr>
      <w:tr>
        <w:trPr>
          <w:trHeight w:val="270"/>
        </w:trPr>
        <w:tc>
          <w:tcPr>
            <w:tcW w:w="530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1"/>
                <w:szCs w:val="21"/>
                <w:b w:val="1"/>
                <w:bCs w:val="1"/>
                <w:color w:val="auto"/>
                <w:vertAlign w:val="superscript"/>
              </w:rPr>
              <w:t>(6)</w:t>
            </w: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247</w:t>
            </w: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11</w:t>
            </w: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r>
      <w:tr>
        <w:trPr>
          <w:trHeight w:val="237"/>
        </w:trPr>
        <w:tc>
          <w:tcPr>
            <w:tcW w:w="530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297</w:t>
            </w: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equivalent (in thousands):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248</w:t>
            </w: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361</w:t>
            </w: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332</w:t>
            </w: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3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263</w:t>
            </w:r>
          </w:p>
        </w:tc>
      </w:tr>
      <w:tr>
        <w:trPr>
          <w:trHeight w:val="27"/>
        </w:trPr>
        <w:tc>
          <w:tcPr>
            <w:tcW w:w="5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ind w:left="580" w:right="340" w:hanging="572"/>
        <w:spacing w:after="0" w:line="316"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non-cash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1" w:lineRule="exact"/>
        <w:rPr>
          <w:rFonts w:ascii="Arial" w:cs="Arial" w:eastAsia="Arial" w:hAnsi="Arial"/>
          <w:sz w:val="16"/>
          <w:szCs w:val="16"/>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63" w:lineRule="exact"/>
        <w:rPr>
          <w:rFonts w:ascii="Arial" w:cs="Arial" w:eastAsia="Arial" w:hAnsi="Arial"/>
          <w:sz w:val="18"/>
          <w:szCs w:val="18"/>
          <w:color w:val="auto"/>
        </w:rPr>
      </w:pPr>
    </w:p>
    <w:p>
      <w:pPr>
        <w:ind w:left="540" w:right="260" w:hanging="532"/>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our full-time billable consultants worked on client assignments during a period by the total available working hours for these consultants during the same period, assuming a forty-hour work week, less paid holidays and vacation days.</w:t>
      </w:r>
    </w:p>
    <w:p>
      <w:pPr>
        <w:spacing w:after="0" w:line="21" w:lineRule="exact"/>
        <w:rPr>
          <w:rFonts w:ascii="Arial" w:cs="Arial" w:eastAsia="Arial" w:hAnsi="Arial"/>
          <w:sz w:val="18"/>
          <w:szCs w:val="18"/>
          <w:color w:val="auto"/>
        </w:rPr>
      </w:pPr>
    </w:p>
    <w:p>
      <w:pPr>
        <w:ind w:left="540" w:right="60" w:hanging="53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spacing w:after="0" w:line="8" w:lineRule="exact"/>
        <w:rPr>
          <w:rFonts w:ascii="Arial" w:cs="Arial" w:eastAsia="Arial" w:hAnsi="Arial"/>
          <w:sz w:val="18"/>
          <w:szCs w:val="18"/>
          <w:color w:val="auto"/>
        </w:rPr>
      </w:pPr>
    </w:p>
    <w:p>
      <w:pPr>
        <w:ind w:left="540" w:right="120" w:hanging="532"/>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Business Advisory segment includes operations of Huron Eurasia India. Absent the impact of Huron Eurasia India, the average billing rate per hour for the Business Advisory segment would have been $220 and $215 for the three months ended June 30, 2020 and 2019, respectively; and $222 and $219 for the six months ended June 30, 2020 and 2019, respectively.</w:t>
      </w:r>
    </w:p>
    <w:p>
      <w:pPr>
        <w:spacing w:after="0" w:line="21" w:lineRule="exact"/>
        <w:rPr>
          <w:rFonts w:ascii="Arial" w:cs="Arial" w:eastAsia="Arial" w:hAnsi="Arial"/>
          <w:sz w:val="18"/>
          <w:szCs w:val="18"/>
          <w:color w:val="auto"/>
        </w:rPr>
      </w:pPr>
    </w:p>
    <w:p>
      <w:pPr>
        <w:ind w:left="540" w:right="120"/>
        <w:spacing w:after="0" w:line="298" w:lineRule="auto"/>
        <w:rPr>
          <w:rFonts w:ascii="Arial" w:cs="Arial" w:eastAsia="Arial" w:hAnsi="Arial"/>
          <w:sz w:val="18"/>
          <w:szCs w:val="18"/>
          <w:color w:val="auto"/>
        </w:rPr>
      </w:pPr>
      <w:r>
        <w:rPr>
          <w:rFonts w:ascii="Arial" w:cs="Arial" w:eastAsia="Arial" w:hAnsi="Arial"/>
          <w:sz w:val="17"/>
          <w:szCs w:val="17"/>
          <w:color w:val="auto"/>
        </w:rPr>
        <w:t>Absent the impact of Huron Eurasia India, Huron's consolidated average billing rate per hour would have been $210 and $214 for the three months ended June 30, 2020 and 2019, respectively; and $212 and $216 for the six months ended June 30, 2020 and 2019, respectively.</w:t>
      </w:r>
    </w:p>
    <w:p>
      <w:pPr>
        <w:ind w:left="540" w:right="60" w:hanging="532"/>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coaches and their support staff within our Culture and Organizational Excellence solution, consultants who work variable schedules as needed by our clients, employees who provide managed services in our Healthcare segment, and full-time employees who provide software support and maintenance services to our clients.</w:t>
      </w:r>
    </w:p>
    <w:p>
      <w:pPr>
        <w:sectPr>
          <w:pgSz w:w="11900" w:h="16838" w:orient="portrait"/>
          <w:cols w:equalWidth="0" w:num="1">
            <w:col w:w="11240"/>
          </w:cols>
          <w:pgMar w:left="320" w:top="125" w:right="339" w:bottom="156"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25" w:right="339" w:bottom="156"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also assess our results of operations using certain non-GAAP financial measures. These non-GAAP financial measures differ from GAAP because the non-GAAP financial measures we calculate to measure earnings (loss) before interest, taxes, depreciation and amortization ("EBITDA"), adjusted EBITDA, adjusted EBITDA as a percentage of revenues,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1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 except per share amounts):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6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217,857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220,754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440,476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425,199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13,572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10,569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(28,701)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13,919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back:</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3,414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3,477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(7,801)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8,782</w:t>
            </w: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7,527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8,322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14,942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16,611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Earnings (loss) before interest, taxes, depreciation and amortization</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10"/>
              <w:spacing w:after="0" w:line="205" w:lineRule="exact"/>
              <w:rPr>
                <w:sz w:val="20"/>
                <w:szCs w:val="20"/>
                <w:color w:val="auto"/>
              </w:rPr>
            </w:pPr>
            <w:r>
              <w:rPr>
                <w:rFonts w:ascii="Arial" w:cs="Arial" w:eastAsia="Arial" w:hAnsi="Arial"/>
                <w:sz w:val="18"/>
                <w:szCs w:val="18"/>
                <w:color w:val="auto"/>
              </w:rPr>
              <w:t>27,429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0"/>
              <w:spacing w:after="0" w:line="205" w:lineRule="exact"/>
              <w:rPr>
                <w:sz w:val="20"/>
                <w:szCs w:val="20"/>
                <w:color w:val="auto"/>
              </w:rPr>
            </w:pPr>
            <w:r>
              <w:rPr>
                <w:rFonts w:ascii="Arial" w:cs="Arial" w:eastAsia="Arial" w:hAnsi="Arial"/>
                <w:sz w:val="18"/>
                <w:szCs w:val="18"/>
                <w:color w:val="auto"/>
              </w:rPr>
              <w:t>26,892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0"/>
              <w:spacing w:after="0" w:line="205" w:lineRule="exact"/>
              <w:rPr>
                <w:sz w:val="20"/>
                <w:szCs w:val="20"/>
                <w:color w:val="auto"/>
              </w:rPr>
            </w:pPr>
            <w:r>
              <w:rPr>
                <w:rFonts w:ascii="Arial" w:cs="Arial" w:eastAsia="Arial" w:hAnsi="Arial"/>
                <w:sz w:val="18"/>
                <w:szCs w:val="18"/>
                <w:color w:val="auto"/>
              </w:rPr>
              <w:t>(16,303)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0"/>
              <w:spacing w:after="0" w:line="205" w:lineRule="exact"/>
              <w:rPr>
                <w:sz w:val="20"/>
                <w:szCs w:val="20"/>
                <w:color w:val="auto"/>
              </w:rPr>
            </w:pPr>
            <w:r>
              <w:rPr>
                <w:rFonts w:ascii="Arial" w:cs="Arial" w:eastAsia="Arial" w:hAnsi="Arial"/>
                <w:sz w:val="18"/>
                <w:szCs w:val="18"/>
                <w:color w:val="auto"/>
              </w:rPr>
              <w:t>44,154</w:t>
            </w:r>
          </w:p>
        </w:tc>
        <w:tc>
          <w:tcPr>
            <w:tcW w:w="0" w:type="dxa"/>
            <w:vAlign w:val="bottom"/>
          </w:tcPr>
          <w:p>
            <w:pPr>
              <w:spacing w:after="0"/>
              <w:rPr>
                <w:sz w:val="1"/>
                <w:szCs w:val="1"/>
                <w:color w:val="auto"/>
              </w:rPr>
            </w:pPr>
          </w:p>
        </w:tc>
      </w:tr>
      <w:tr>
        <w:trPr>
          <w:trHeight w:val="241"/>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Add back:</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 charges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Litigation and other gains</w:t>
            </w:r>
          </w:p>
        </w:tc>
        <w:tc>
          <w:tcPr>
            <w:tcW w:w="18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59,816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Loss on sale of business</w:t>
            </w:r>
          </w:p>
        </w:tc>
        <w:tc>
          <w:tcPr>
            <w:tcW w:w="18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Transaction-related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Foreign currency transaction losses (gains), net</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27,457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29,215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46,471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47,214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Adjusted EBITDA as a percentage of revenues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8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5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Weighted average shares -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22,116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22,400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21,848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22,356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per share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Add back:</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8,831</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and other gains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Goodwill impairment charges</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59,816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interest on convertible notes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Loss on sale of business</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Transaction-related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Tax effect of adjustments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adjustments,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11,999</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14,935</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17,065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24,688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25,918</w:t>
            </w:r>
          </w:p>
        </w:tc>
        <w:tc>
          <w:tcPr>
            <w:tcW w:w="0" w:type="dxa"/>
            <w:vAlign w:val="bottom"/>
          </w:tcPr>
          <w:p>
            <w:pPr>
              <w:spacing w:after="0"/>
              <w:rPr>
                <w:sz w:val="1"/>
                <w:szCs w:val="1"/>
                <w:color w:val="auto"/>
              </w:rPr>
            </w:pPr>
          </w:p>
        </w:tc>
      </w:tr>
      <w:tr>
        <w:trPr>
          <w:trHeight w:val="67"/>
        </w:trPr>
        <w:tc>
          <w:tcPr>
            <w:tcW w:w="55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Adjusted weighted average shares - diluted</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22,116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22,223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22,356</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w w:val="99"/>
              </w:rPr>
              <w:t>Adjusted diluted earnings per share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presented above. Amortization of intangible assets is inconsistent in its amount and frequency and is significantly affected by the timing and size of our acquisitions.</w:t>
      </w:r>
    </w:p>
    <w:p>
      <w:pPr>
        <w:spacing w:after="0" w:line="13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Restructuring and other charges: </w:t>
      </w:r>
      <w:r>
        <w:rPr>
          <w:rFonts w:ascii="Arial" w:cs="Arial" w:eastAsia="Arial" w:hAnsi="Arial"/>
          <w:sz w:val="17"/>
          <w:szCs w:val="17"/>
          <w:color w:val="auto"/>
        </w:rPr>
        <w:t>We have incurred charges due to the restructuring of various parts of our business. These restructuring charges have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consisted of costs associated with office space consolidations, including lease impairment charges and accelerated depreciation on lease-related property and equipment, and severance charges. Additionally, we have excluded the effect of a $0.8 million one-time charge incurred during the first quarter of 2020, related to redundant administrative costs in our corporate operations which is recorded within selling, general and administrative expenses on our consolidated statement of operations. We have excluded the effect of the restructuring and other charges from our non-GAAP measures to permit comparability with periods that were not impacted by these items.</w:t>
      </w:r>
    </w:p>
    <w:p>
      <w:pPr>
        <w:spacing w:after="0" w:line="12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i w:val="1"/>
          <w:iCs w:val="1"/>
          <w:color w:val="auto"/>
        </w:rPr>
        <w:t xml:space="preserve">Litigation and other gains: </w:t>
      </w:r>
      <w:r>
        <w:rPr>
          <w:rFonts w:ascii="Arial" w:cs="Arial" w:eastAsia="Arial" w:hAnsi="Arial"/>
          <w:sz w:val="18"/>
          <w:szCs w:val="18"/>
          <w:color w:val="auto"/>
        </w:rPr>
        <w:t>We have excluded the effects of the litigation settlement gain recognized in the first quarter of 2020 and the remeasurement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gains recognized in the first six months of 2019 to decrease the estimated fair value of our liabilities for contingent consideration payments related to business acquisitions to permit comparability with periods that were not impacted by these items.</w:t>
      </w:r>
    </w:p>
    <w:p>
      <w:pPr>
        <w:spacing w:after="0" w:line="13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 xml:space="preserve">Goodwill impairment charges: </w:t>
      </w:r>
      <w:r>
        <w:rPr>
          <w:rFonts w:ascii="Arial" w:cs="Arial" w:eastAsia="Arial" w:hAnsi="Arial"/>
          <w:sz w:val="18"/>
          <w:szCs w:val="18"/>
          <w:color w:val="auto"/>
        </w:rPr>
        <w:t>We have excluded the effect of the goodwill impairment charges recognized in the first quarter of 2020 as these are</w:t>
      </w:r>
      <w:r>
        <w:rPr>
          <w:rFonts w:ascii="Arial" w:cs="Arial" w:eastAsia="Arial" w:hAnsi="Arial"/>
          <w:sz w:val="18"/>
          <w:szCs w:val="18"/>
          <w:i w:val="1"/>
          <w:iCs w:val="1"/>
          <w:color w:val="auto"/>
        </w:rPr>
        <w:t xml:space="preserve"> </w:t>
      </w:r>
      <w:r>
        <w:rPr>
          <w:rFonts w:ascii="Arial" w:cs="Arial" w:eastAsia="Arial" w:hAnsi="Arial"/>
          <w:sz w:val="18"/>
          <w:szCs w:val="18"/>
          <w:color w:val="auto"/>
        </w:rPr>
        <w:t>infrequent events and their exclusion permits comparability with periods that were not impacted by such charges.</w:t>
      </w:r>
    </w:p>
    <w:p>
      <w:pPr>
        <w:spacing w:after="0" w:line="11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 xml:space="preserve">Non-cash interest on convertible notes: </w:t>
      </w:r>
      <w:r>
        <w:rPr>
          <w:rFonts w:ascii="Arial" w:cs="Arial" w:eastAsia="Arial" w:hAnsi="Arial"/>
          <w:sz w:val="18"/>
          <w:szCs w:val="18"/>
          <w:color w:val="auto"/>
        </w:rPr>
        <w:t>We incurred non-cash interest expense relating to the implied value of the equity conversion component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value of the equity conversion component was treated as a debt discount and amortized to interest expense over the life of the Convertible Notes using the effective interest rate method. We exclude this non-cash interest expense that does not represent cash interest payments from the calculation of adjusted net income from continuing operations as management believes that this non-cash expense is not indicative of the ongoing performance of our business.</w:t>
      </w:r>
    </w:p>
    <w:p>
      <w:pPr>
        <w:spacing w:after="0" w:line="1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Loss on sale of business: </w:t>
      </w:r>
      <w:r>
        <w:rPr>
          <w:rFonts w:ascii="Arial" w:cs="Arial" w:eastAsia="Arial" w:hAnsi="Arial"/>
          <w:sz w:val="18"/>
          <w:szCs w:val="18"/>
          <w:color w:val="auto"/>
        </w:rPr>
        <w:t>We excluded the effect of the loss on sale of a software-based solution within our Business Advisory segment in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2020. Divestitures of businesses are infrequent and are not indicative of the ongoing performance of our business.</w:t>
      </w:r>
    </w:p>
    <w:p>
      <w:pPr>
        <w:spacing w:after="0" w:line="1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Foreign currency transaction losses (gains), net: </w:t>
      </w:r>
      <w:r>
        <w:rPr>
          <w:rFonts w:ascii="Arial" w:cs="Arial" w:eastAsia="Arial" w:hAnsi="Arial"/>
          <w:sz w:val="18"/>
          <w:szCs w:val="18"/>
          <w:color w:val="auto"/>
        </w:rPr>
        <w:t>We have excluded the effect of foreign currency transaction losses and gains from the calculation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EBITDA because the amount of each loss or gain is significantly affected by changes in foreign exchange rates.</w:t>
      </w:r>
    </w:p>
    <w:p>
      <w:pPr>
        <w:spacing w:after="0" w:line="1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Transaction-related expenses</w:t>
      </w:r>
      <w:r>
        <w:rPr>
          <w:rFonts w:ascii="Arial" w:cs="Arial" w:eastAsia="Arial" w:hAnsi="Arial"/>
          <w:sz w:val="18"/>
          <w:szCs w:val="18"/>
          <w:color w:val="auto"/>
        </w:rPr>
        <w:t>: We excluded the impact of third-party legal and accounting fees related to the evaluation of a potential acquisition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ultimately did not consummate to permit comparability with periods that were not impacted by this item.</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Tax effect of adjustments: </w:t>
      </w:r>
      <w:r>
        <w:rPr>
          <w:rFonts w:ascii="Arial" w:cs="Arial" w:eastAsia="Arial" w:hAnsi="Arial"/>
          <w:sz w:val="17"/>
          <w:szCs w:val="17"/>
          <w:color w:val="auto"/>
        </w:rPr>
        <w:t>The non-GAAP income tax adjustment reflects the incremental tax impact applicable to the non-GAAP adjustments.</w:t>
      </w:r>
    </w:p>
    <w:p>
      <w:pPr>
        <w:spacing w:after="0" w:line="18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have excluded the effects of income tax expense,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net of interest income, and depreciation and amortization in the calculation of EBITDA as these are customary exclusions as defined by the calculation of EBITDA to arrive at meaningful earnings from core operations excluding the effect of such items.</w:t>
      </w:r>
    </w:p>
    <w:p>
      <w:pPr>
        <w:sectPr>
          <w:pgSz w:w="11900" w:h="16838" w:orient="portrait"/>
          <w:cols w:equalWidth="0" w:num="1">
            <w:col w:w="11240"/>
          </w:cols>
          <w:pgMar w:left="320" w:top="125" w:right="339" w:bottom="817"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25" w:right="339" w:bottom="817"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Adjusted weighted average shares - diluted: </w:t>
      </w:r>
      <w:r>
        <w:rPr>
          <w:rFonts w:ascii="Arial" w:cs="Arial" w:eastAsia="Arial" w:hAnsi="Arial"/>
          <w:sz w:val="18"/>
          <w:szCs w:val="18"/>
          <w:color w:val="auto"/>
        </w:rPr>
        <w:t>As we reported a net loss for the first six months of 2020, GAAP diluted weighted average shares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equals the basic weighted average shares outstanding for that period. The non-GAAP adjustments described above resulted in adjusted net income from continuing operations for the first six months of 2020. Therefore, we included the dilutive common stock equivalents in the calculation of adjusted diluted weighted average shares outstanding for that period.</w:t>
      </w:r>
    </w:p>
    <w:p>
      <w:pPr>
        <w:spacing w:after="0" w:line="129" w:lineRule="exact"/>
        <w:rPr>
          <w:sz w:val="20"/>
          <w:szCs w:val="20"/>
          <w:color w:val="auto"/>
        </w:rPr>
      </w:pPr>
    </w:p>
    <w:p>
      <w:pPr>
        <w:ind w:right="4660"/>
        <w:spacing w:after="0" w:line="440" w:lineRule="auto"/>
        <w:rPr>
          <w:sz w:val="20"/>
          <w:szCs w:val="20"/>
          <w:color w:val="auto"/>
        </w:rPr>
      </w:pPr>
      <w:r>
        <w:rPr>
          <w:rFonts w:ascii="Arial" w:cs="Arial" w:eastAsia="Arial" w:hAnsi="Arial"/>
          <w:sz w:val="18"/>
          <w:szCs w:val="18"/>
          <w:b w:val="1"/>
          <w:bCs w:val="1"/>
          <w:color w:val="auto"/>
        </w:rPr>
        <w:t>Three Months Ended June 30, 2020 Compared to Three Months Ended June 30, 2019 Revenues</w:t>
      </w:r>
    </w:p>
    <w:p>
      <w:pPr>
        <w:spacing w:after="0" w:line="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Revenues decreased $2.9 million, or 1.3%, to $217.9 million for the second quarter of 2020 from $220.8 million for the second quarter of 2019. In the second quarter of 2020, the COVID-19 pandemic negatively impacted demand for certain of our offerings as some clients have reprioritized or delayed certain projects, primarily in our Healthcare and Education segments. The negative impact of the COVID-19 pandemic has been partially offset by strengthened demand for our cloud-based technology and analytics solutions within our Business Advisory and Education segments and our restructuring and capital advisory solutions provided to organizations in transition within our Business Advisory segment.</w:t>
      </w:r>
    </w:p>
    <w:p>
      <w:pPr>
        <w:spacing w:after="0" w:line="12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Of the $2.9 million decrease in revenues, $2.6 million was attributable to a decrease in revenues from our full-time equivalents and $0.3 million was attributable to a decrease in revenues from our full-time billable consultants.</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decrease in full-time equivalent revenues was attributable to a decrease in full-time equivalent revenues in our Healthcare segment, partially offset by an increase in full-time equivalent revenues in our Education and Business Advisory segments, as discussed below in Segment Results. The decrease in full-time equivalent revenues reflected a decrease in revenue per full-time equivalent, partially offset by an increase in the average number of full-time equivalents for the second quarter of 2020 compared to the same prior year period.</w:t>
      </w:r>
    </w:p>
    <w:p>
      <w:pPr>
        <w:spacing w:after="0" w:line="13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decrease in full-time billable consultant revenues reflected a decrease in demand for services in our Healthcare segment, partially offset by a strengthened demand for services in our Business Advisory and Education segments, as discussed below in Segment Results. The decrease in full-time billable consultant revenues was primarily attributable to an overall decrease in the consultant utilization rate and average billing rate, partially offset by an increase in the average number of billable consultants for the second quarter of 2020 compared to the same prior year period.</w:t>
      </w:r>
    </w:p>
    <w:p>
      <w:pPr>
        <w:spacing w:after="0" w:line="11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the second quarter of 2020, the COVID-19 pandemic negatively impacted sales and increased uncertainty in the backlog for certain services we provide, particularly within our Healthcare and Education segments, and therefore is expected to continue to have an unfavorable impact on our financial results in the second half of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total direct costs, including amortization of intangible assets and software development costs, increased $8.0 million, or 5.6%, to $150.8 million for the three months ended June 30, 2020, from $142.8 million for the three months ended June 30, 2019. The $8.0 million increase primarily related to a $7.7 million increase in salaries and related expenses for our revenue-generating professionals and a $0.9 million increase in performance bonus expense for our revenue-generating professionals, which were largely driven by increased headcount in all of our segments, and a $0.8 million increase in technology expenses. These increases were partially offset by a $0.8 million decrease in signing, retention and other bonus expense for our revenue-generating professionals and a $0.6 million decrease in product and event costs. As a percentage of revenues, our total direct costs increased to 69.2% during the second quarter of 2020 compared to 64.7% during the second quarter of 2019, primarily due to the decrease in revenues and the increases in salaries and related expenses and performance bonus expense for our revenue-generating professionals.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Total direct costs for the three months ended June 30, 2020 included $1.3 million of amortization expense for internal software development costs and intangible assets, compared to $1.2 million of amortization expense for the same prior year period. Intangible asset amortization included within direct costs for the three months ended June 30, 2020 and 2019 primarily related to technology and software, certain customer relationships and customer contracts acquired in connection with our business acquisitions. See Note 4 "Goodwill and Intangible Assets" within the notes to our consolidated financial statements for additional information on our intangible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 (Gains), Net</w:t>
      </w:r>
    </w:p>
    <w:p>
      <w:pPr>
        <w:spacing w:after="0" w:line="17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Selling, general and administrative expenses decreased by $7.7 million, or 14.6%, to $44.9 million in the second quarter of 2020 from $52.5 million in the second quarter of 2019. The overall $7.7 million decrease primarily related to a $3.9 million decrease in promotion and marketing expenses; a $1.7 million decrease in practice administration and meetings expenses; a $1.1 million decrease in legal expenses; a $0.9 million decrease in training expenses; a $0.9 million decrease in accounting, tax and audit fees; a $0.8 million decrease in facilities expense; a $0.6 million decrease in travel and entertainment expenses; and a $0.5 million decrease in third-party consulting expenses. These decreases were partially offset by a $3.2 million increase in deferred compensation expense attributable to the change in the market value of our deferred compensation liability. During the second quarter of 2020, the market value of our deferred compensation liability increased by $4.0 million, compared to an increase of $0.8 million in the second quarter of 2019. This $3.2 million increase in expense is offset by a $3.2 million increase in the gain recognized for the change in the market value of our investments that are used to fund our deferred compensation liability and recognized in other income (expense), net. The decreases in promotion and marketing expenses, practice administration and meetings expenses, training expenses, and travel and entertainment expenses primarily relate to the cancellation or delay of in-person meetings and events and business travel due to the COVID-19 pandemic. The</w:t>
      </w:r>
    </w:p>
    <w:p>
      <w:pPr>
        <w:sectPr>
          <w:pgSz w:w="11900" w:h="16838" w:orient="portrait"/>
          <w:cols w:equalWidth="0" w:num="1">
            <w:col w:w="11220"/>
          </w:cols>
          <w:pgMar w:left="320" w:top="125" w:right="359" w:bottom="1440" w:gutter="0" w:footer="0" w:header="0"/>
        </w:sectPr>
      </w:pP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20"/>
          </w:cols>
          <w:pgMar w:left="320" w:top="125" w:right="35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decreases in legal expenses and accounting, tax and audit fees were primarily due to third-party transaction-related expenses related to the evaluation of a potential acquisition in the second quarter of 2019 that ultimately did not consummate. As a percentage of revenues, selling, general and administrative expenses decreased to 20.6% during the second quarter of 2020 compared to 23.8% during the second quarter of 2019. This decrease was primarily attributable to the decreases in selling, general and administrative expenses noted above; partially offset by the change in the market value of our deferred compensation liability, as a percentage of revenues.</w:t>
      </w:r>
    </w:p>
    <w:p>
      <w:pPr>
        <w:spacing w:after="0" w:line="13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Restructuring charges for the second quarter of 2020 were $0.1 million, compared to $0.8 million for the second quarter of 2019. In the second quarter of 2019, we exited the remaining portion of our Middleton, Wisconsin office and an office space in Houston, Texas, resulting in restructuring charges of $0.4 million and $0.1 million, respectively, which primarily related to the accelerated depreciation on furniture and fixtures in those offices. Additionally, we recognized a $0.2 million restructuring charge in the second quarter of 2019 related to workforce reductions to better align resources with market demand. See Note 8 "Restructuring Charges" within the notes to our consolidated financial statements for additional information on our restructuring charges.</w:t>
      </w:r>
    </w:p>
    <w:p>
      <w:pPr>
        <w:spacing w:after="0" w:line="10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Litigation and other gains totaled $0.5 million for the second quarter of 2019, which consisted of a remeasurement gain to decrease the estimated fair value of our liability for contingent consideration payments related to a business acquisition. We did not recognize any litigation or other gains in the second quarter of 2020.</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Depreciation and amortization expense decreased $1.0 million, or 13.4%, to $6.2 million in the three months ended June 30, 2020 compared to $7.2 million in the three months ended June 30, 2019. The $1.0 million decrease in depreciation and amortization expense was primarily attributable to a decrease in amortization expense for the trade name acquired in our Studer Group acquisition that was fully amortized in the fourth quarter of 2019; decreasing amortization expense for customer relationships due to the accelerated basis of amortization in prior periods, including the customer relationships acquired in our Studer Group acquisition; and customer relationships acquired in other business acquisitions that were fully amortized in prior periods. Intangible asset amortization expense included within operating expenses primarily related to certain customer relationships, trade names, and non-competition agreements acquired in connection with our business acquisitions. See Note 4 "Goodwill and Intangible Assets" within the notes to our consolidated financial statements for additional information on our intangible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Operating income decreased $1.9 million to $16.0 million in the second quarter of 2020 from $17.9 million in the second quarter of 2019. Operating margin, which is defined as operating income expressed as a percentage of revenues, was 7.3% for the three months ended June 30, 2020, compared to 8.1% for the three months ended June 30, 2019. The decrease in operating margin was primarily attributable to the increases in salaries and related expenses for our revenue-generating professionals, the market value of our deferred compensation liability, and performance bonus expense for our revenue-generating professionals, as well as the decrease in revenues. These decreases to the operating margin were partially offset by the decreases in promotion and marketing expenses, practice administration and meetings expenses, intangible asset amortization expense, legal expenses, accounting, tax and audit fees, training expenses, signing, retention and other bonus expense for our revenue-generating professionals, and facilities expense, all as percentages of revenues.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other income (expense), net decreased $4.9 million to a net gain of $1.0 million in the second quarter of 2020 from a net loss of $3.8 million in the second quarter of 2019. The decrease in other expense, net was primarily attributable to a $3.9 million gain recognized in the second quarter of 2020 for the market value of our investments that are used to fund our deferred compensation liability, compared to a gain of $0.7 million in the second quarter of 2019; and a $1.6 million decrease in interest expense, net of interest income.</w:t>
      </w:r>
    </w:p>
    <w:p>
      <w:pPr>
        <w:spacing w:after="0" w:line="133"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Interest expense, net of interest income decreased $1.6 million to $2.9 million in the second quarter of 2020 from $4.5 million in the second quarter of 2019. The decrease in interest expense was primarily attributable to the maturity of our Convertible Notes on October 1, 2019, partially offset by higher levels of borrowing under our credit facility during the second quarter of 2020 compared to the same prior year period. See Note 7 "Financing Arrangements" within the notes to our consolidated financial statements for additional information about our Convertible Notes and credit facility.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For the three months ended June 30, 2020, our effective tax rate was 20.1% as we recognized income tax expense from continuing operations of $3.4 million on income from continuing operations of $17.0 million. The effective tax rate of 20.1% was more favorable than the statutory rate, inclusive of state income taxes, of 26.0%, primarily due to the current year-to-date pre-tax losses and the impact during the quarter of certain nondeductible business expense items, including the nondeductible portion of the goodwill impairment charges, based on the attribution of those expenses to the quarter in accordance with the allocation of income tax expense on a current year-to-date basis. The effective tax rate also reflected the positive impact of certain federal tax credits.</w:t>
      </w:r>
    </w:p>
    <w:p>
      <w:pPr>
        <w:spacing w:after="0" w:line="1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three months ended June 30, 2019, our effective tax rate was 24.8% as we recognized income tax expense from continuing operations of $3.5 million on income from continuing operations of $14.0 million. The effective tax rate of 24.8% was more favorable than the statutory rate, inclusive of state income taxes, of 26.4% primarily due to nontaxable gains on our investments used to fund our deferred compensation liability and federal tax credits, partially offset by nondeductible business expenses.</w:t>
      </w:r>
    </w:p>
    <w:p>
      <w:pPr>
        <w:sectPr>
          <w:pgSz w:w="11900" w:h="16838" w:orient="portrait"/>
          <w:cols w:equalWidth="0" w:num="1">
            <w:col w:w="11220"/>
          </w:cols>
          <w:pgMar w:left="320" w:top="125" w:right="359" w:bottom="1440"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20"/>
          </w:cols>
          <w:pgMar w:left="320" w:top="125" w:right="35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100"/>
        <w:spacing w:after="0" w:line="438" w:lineRule="auto"/>
        <w:rPr>
          <w:sz w:val="20"/>
          <w:szCs w:val="20"/>
          <w:color w:val="auto"/>
        </w:rPr>
      </w:pPr>
      <w:r>
        <w:rPr>
          <w:rFonts w:ascii="Arial" w:cs="Arial" w:eastAsia="Arial" w:hAnsi="Arial"/>
          <w:sz w:val="18"/>
          <w:szCs w:val="18"/>
          <w:color w:val="auto"/>
        </w:rPr>
        <w:t xml:space="preserve">See Note 12 "Income Taxes" within the notes to our consolidated financial statements for additional information on our income tax expense. </w:t>
      </w:r>
      <w:r>
        <w:rPr>
          <w:rFonts w:ascii="Arial" w:cs="Arial" w:eastAsia="Arial" w:hAnsi="Arial"/>
          <w:sz w:val="18"/>
          <w:szCs w:val="18"/>
          <w:b w:val="1"/>
          <w:bCs w:val="1"/>
          <w:color w:val="auto"/>
        </w:rPr>
        <w:t>Net Income from Continuing Operations and Earnings per Share</w:t>
      </w:r>
    </w:p>
    <w:p>
      <w:pPr>
        <w:spacing w:after="0" w:line="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Net income from continuing operations increased $3.0 million to $13.6 million for the three months ended June 30, 2020 from $10.6 million for the same period last year. As a result of the increase in net income from continuing operations, diluted earnings per share from continuing operations for the second quarter of 2020 was $0.61 compared to $0.47 for the second quarter of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EBITDA increased $0.5 million to $27.4 million for the three months ended June 30, 2020 from $26.9 million for the three months ended June 30, 2019. The increase in EBITDA was primarily attributable to the decrease in selling, general and administrative expenses, excluding the change in the market value of our deferred compensation liability; largely offset by the increase in salaries and related expenses for our revenue-generating professionals and the decrease in revenues for the second quarter of 2020 compared to the second quarter of 2019.</w:t>
      </w:r>
    </w:p>
    <w:p>
      <w:pPr>
        <w:spacing w:after="0" w:line="13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Adjusted EBITDA decreased $1.8 million to $27.5 million in the second quarter of 2020 from $29.2 million in the second quarter of 2019. The decrease in adjusted EBITDA was primarily attributable to the increase in salaries and related expenses for our revenue-generating professionals and the decrease in revenues for the second quarter of 2020 compared to the second quarter of 2019; partially offset by the decrease in selling, general and administrative expenses, excluding the change in the market value of our deferred compensation liability and the transaction-related expenses related to the evaluation of a potential acquisition that ultimately did not consummate in the second quarter of 2019.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 and Adjusted Earnings per Share</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Adjusted net income from continuing operations decreased $2.1 million to $14.9 million in the second quarter of 2020 compared to $17.1 million in the second quarter of 2019. As a result of the decrease in adjusted net income from continuing operations, adjusted diluted earnings per share from continuing operations was $0.68 for the second quarter of 2020, compared to $0.76 for the second quarter of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Healthcare segment revenues decreased $16.6 million, or 16.3%, to $85.4 million for the second quarter of 2020 from $101.9 million for the second quarter of 2019, primarily due to the negative impact of the COVID-19 pandemic on demand for our services within this segment, as some clients reprioritized and delayed certain work as a result of the uncertainties surrounding the pandemic.</w:t>
      </w:r>
    </w:p>
    <w:p>
      <w:pPr>
        <w:spacing w:after="0" w:line="130"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During the three months ended June 30, 2020, revenues from fixed-fee engagements; time-and-expense engagements; performance-based arrangements; and software support, maintenance and subscription arrangements represented 59.5%, 16.4%, 17.0%, and 7.1% of this segment’s revenues, respectively, compared to 58.5%, 14.0%, 21.6%, and 5.9% of this segment’s revenues, respectively, for the same prior year period. Performance-based fee revenue was $14.5 million for the second quarter of 2020 compared to $22.0 million for the second quarter of 2019. The level of performance-based fees earned may vary based on our clients’ risk sharing preferences and the mix of services we provide.</w:t>
      </w:r>
    </w:p>
    <w:p>
      <w:pPr>
        <w:spacing w:after="0" w:line="12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Of the overall $16.6 million decrease in revenues, $11.3 million was attributable to a decrease in revenues from our full-time billable consultants and $5.3 million was attributable to a decrease in revenues from our full-time equivalents. The decrease in revenues attributable to our full-time billable consultants reflected decreases in the consultant utilization rate and average billing rate, partially offset by an increase in the average number of full-time billable consultants in the second quarter of 2020 compared to the same prior year period. The decrease in full-time equivalent revenues reflected a decrease in revenue per full-time equivalent, partially offset by an increase in the average number of full-time equivalents in the second quarter of 2020 compared to the same prior year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Healthcare segment operating income decreased $12.2 million, or 36.5%, to $21.2 million for the three months ended June 30, 2020 from $33.3 million for the three months ended June 30, 2019. The Healthcare segment operating margin, defined as segment operating income expressed as a percentage of segment revenues, decreased to 24.8% for the second quarter of 2020 from 32.7% in the same period last year. The decrease in this segment’s operating margin was primarily attributable to an increase in salaries and related expenses for our revenue-generating professionals; partially offset by decreases in performance bonus expense for our revenue-generating professionals and contractor expenses, as percentages of revenues.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Business Advisory segment revenues increased $8.2 million, or 13.2%, to $70.5 million for the second quarter of 2020 from $62.3 million for the second quarter of 2019, primarily related to strengthened demand for our cloud-based technology and analytics solutions and our restructuring and capital advisory solutions provided to organizations in transition.</w:t>
      </w:r>
    </w:p>
    <w:p>
      <w:pPr>
        <w:spacing w:after="0" w:line="13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During the three months ended June 30, 2020, revenues from fixed-fee engagements; time-and-expense engagements; performance-based arrangements; and software support, maintenance and subscription arrangements represented 38.8%, 57.1%, 2.3%, and 1.8% of this segment’s revenues, respectively, compared to 42.9%, 54.3%, 0.8%, and 2.0% of this segment's revenues, respectively, for the same prior year period. Performance-based fee revenue was $1.6 million for the second quarter of 2020 compared to $0.5 million for the second quarter of 2019. The level of performance-based fees earned may vary based on our clients’ preferences and the mix of services we provide.</w:t>
      </w:r>
    </w:p>
    <w:p>
      <w:pPr>
        <w:spacing w:after="0" w:line="1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Of the overall $8.2 million increase in revenues, $7.2 million was attributable to an increase in revenues from our full-time billable consultants and $1.0 million was attributable to an increase in revenues from our full-time equivalents. The increase in revenues from our full-time billable consultants reflected increases in the average number of billable consultants, the average billing rate, and the consultant utilization rate in the second quarter of 2020 compared to the same prior year period. The increase in revenues generated by our full-time equivalents was driven by an increased use of contractors; and reflected an increase in the average number of full-time equivalents, partially offset by a decrease in revenue per full-time equivalent in the second quarter of 2020 compared to the same prior year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Business Advisory segment operating income increased by $5.2 million, or 45.4%, to $16.7 million for the three months ended June 30, 2020 from $11.5 million for the three months ended June 30, 2019. The Business Advisory segment operating margin increased to 23.7% for the second quarter of 2020 from 18.4% in the same period last year. The increase in this segment’s operating margin was primarily attributable to revenue growth that outpaced the increase in salaries and related expenses for our revenue-generating professionals, and decreases in promotion and marketing expenses, practice administration and meetings expense, and signing, retention and other bonus expense for our revenue-generating professionals. These increases to the segment operating margin were partially offset by increases in performance bonus expense for our revenue-generating professionals, contractor expenses, bad debt expense, and share-based compensation expense for our revenue-generating professionals, as percentages of revenues.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Education segment revenues increased $5.5 million, or 9.7%, to $62.0 million for the second quarter of 2020 from $56.5 million for the second quarter of 2019, primarily related to strengthened demand for our cloud-based technology and analytics solutions.</w:t>
      </w:r>
    </w:p>
    <w:p>
      <w:pPr>
        <w:spacing w:after="0" w:line="116"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During the three months ended June 30, 2020, revenues from fixed-fee engagements; time-and-expense engagements; performance-based arrangements; and software support, maintenance and subscription arrangements represented 18.4%, 71.8%, 1.1%, and 8.7% of this segment’s revenues, respectively. Revenues from fixed-fee engagements; time-and-expense engagements; and software support, maintenance and subscription arrangements represented 23.2%, 69.1%, and 7.7% of this segment’s revenues, respectively, for the three months ended June 30, 2019.</w:t>
      </w:r>
    </w:p>
    <w:p>
      <w:pPr>
        <w:spacing w:after="0" w:line="10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Of the overall $5.5 million increase in revenues, $3.8 million was attributable to our full-time billable consultants and $1.7 million was attributable to our full-time equivalents. The increase in revenues attributable to our full-time billable consultants reflected an increase in the average number of full-time billable consultants, partially offset by decreases in the consultant utilization rate and the average billing rate in the second quarter of 2020 compared to the same prior year period. The increase in revenues from our full-time equivalents was primarily driven by an increased use of contractors and project consultants as well as an increase in software subscriptions and data hosting revenues; and reflected an increase in the average number of full-time equivalents, partially offset by a decrease in revenue per full-time equivalent in the second quarter of 2020 compared to the same prior year period.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Education segment operating income slightly decreased $0.1 million to $16.1 million for the three months ended June 30, 2020 from $16.2 million for the three months ended June 30, 2019. The Education segment operating margin decreased to 26.0% for the second quarter of 2020 from 28.7% in the same period last year. The decrease in this segment’s operating margin was primarily attributable to increases in salaries and related expenses for our revenue generating professionals, contractor expenses, and performance bonus expense for our revenue-generating professionals, as percentages of revenues; partially offset by a decrease in promotion and marketing expenses.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25" w:right="3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5100"/>
        <w:spacing w:after="0" w:line="440" w:lineRule="auto"/>
        <w:rPr>
          <w:sz w:val="20"/>
          <w:szCs w:val="20"/>
          <w:color w:val="auto"/>
        </w:rPr>
      </w:pPr>
      <w:r>
        <w:rPr>
          <w:rFonts w:ascii="Arial" w:cs="Arial" w:eastAsia="Arial" w:hAnsi="Arial"/>
          <w:sz w:val="18"/>
          <w:szCs w:val="18"/>
          <w:b w:val="1"/>
          <w:bCs w:val="1"/>
          <w:color w:val="auto"/>
        </w:rPr>
        <w:t>Six Months Ended June 30, 2020 Compared to Six Months Ended June 30, 2019 Revenues</w:t>
      </w:r>
    </w:p>
    <w:p>
      <w:pPr>
        <w:spacing w:after="0" w:line="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Revenues increased $15.3 million, or 3.6%, to $440.5 million for the first six months of 2020 from $425.2 million for the first six months of 2019. While the COVID-19 pandemic did not have a significant impact on our consolidated revenues in the first quarter of 2020, the second quarter of 2020 was negatively impacted by the pandemic as we saw a decreased demand for certain of our offerings as some clients reprioritized or delayed certain projects, primarily in our Healthcare and Education segments. Conversely, the COVID-19 pandemic has strengthened demand for other services we provide, such as our cloud-based technology and analytics solutions within our Business Advisory and Education segments and our restructuring and capital advisory solutions provided to organizations in transition within our Business Advisory segment.</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Of the overall $15.3 million increase in revenues, $12.6 million was attributable to an increase in revenues from our full-time billable consultants and $2.7 million was attributable to our full-time equivalents.</w:t>
      </w:r>
    </w:p>
    <w:p>
      <w:pPr>
        <w:spacing w:after="0" w:line="11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increase in full-time billable consultant revenues was attributable to strengthened demand for services in our Business Advisory and Education segments, partially offset by a decrease in demand for services in our Healthcare segment, as discussed below in Segment Results. The overall increase in full-time billable consultant revenues reflected an increase in the average number of full-time billable consultants, partially offset by overall decreases in the consultant utilization rate and the average billing rate during the first six months of 2020 compared to the same prior year period.</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increase in full-time equivalent revenues was attributable to increases in full-time equivalent revenues in our Education and Business Advisory segments, partially offset by a decrease in full-time equivalent revenues in our Healthcare segment, as discussed below in Segment Results; and reflected an increase in the average number of full-time equivalents, partially offset by a decrease in revenue per full-time equivalent.</w:t>
      </w:r>
    </w:p>
    <w:p>
      <w:pPr>
        <w:spacing w:after="0" w:line="1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the second quarter of 2020, the COVID-19 pandemic negatively impacted sales and increased uncertainty in the backlog for certain services, particularly within our Healthcare and Education segments, and therefore is expected to continue to have an unfavorable impact on our financial results in the second half of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total direct costs, including amortization of intangible assets and software development costs, increased $26.7 million, or 9.5%, to $308.4 million for the six months ended June 30, 2020, from $281.7 million for the six months ended June 30, 2019. The overall $26.7 million increase primarily related to a $23.0 million increase in salaries and related expenses for our revenue-generating professionals, which was largely driven by increased headcount in all our segments, as well as a $2.5 million increase in share-based compensation expense for our revenue-generating professionals, a $1.6 million increase in technology expenses, and a $1.4 million increase in contractor expenses. These increases were partially offset by a $1.3 million decrease in signing, retention and other bonus expense for our revenue-generating professionals and $0.8 million decrease in project costs. As a percentage of revenues, our total direct costs increased to 70.0% during the first six months of 2020 compared to 66.3% during the first six months of 2019 primarily due to the increases in salaries and related expenses and share-based compensation for our revenue-generating professionals, both as percentages of revenues.</w:t>
      </w:r>
    </w:p>
    <w:p>
      <w:pPr>
        <w:spacing w:after="0" w:line="1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Total direct costs for the six months ended June 30, 2020 included $2.6 million of amortization expense for internal software development costs and intangible assets, compared to $2.3 million of amortization expense for the same prior year period. Intangible asset amortization included within direct costs for the six months ended June 30, 2020 and 2019 related to technology and software, certain customer relationships, and customer contracts acquired in connection with our business acquisitions. See Note 4 "Goodwill and Intangible Assets" within the notes to our consolidated financial statements for additional information about our intangible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 (Gains), Net</w:t>
      </w:r>
    </w:p>
    <w:p>
      <w:pPr>
        <w:spacing w:after="0" w:line="17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Selling, general and administrative expenses decreased $15.0 million, or 14.5%, to $88.3 million in the six months ended June 30, 2020, from $103.3 million in the six months ended June 30, 2019. The $15.0 million decrease primarily related to a $4.2 million decrease in promotion and marketing expenses and a $3.7 million decrease in the change in the market value of our deferred compensation liability. During the first six months of 2020, the market value of our deferred compensation liability decreased by $0.7 million, compared to a $3.0 million increase in the market value of our deferred compensation liability during the first six months of 2019. This $3.7 million increase in expense is largely offset by a $3.6 million increase in the gain recognized for the change in the market value of our investments that are used to fund our deferred compensation liability and recognized in other income (expense), net. Additional decreases to selling, general and administrative expenses include a $2.6 million decrease in performance bonus expense for our support personnel; a $1.9 million decrease in facilities expense; a $1.4 million decrease in training expenses; a $1.3 million decrease in third-party consulting expenses; a $1.0 million decrease in legal expenses; a $0.8 million decrease in accounting, tax and audit fees; a $0.8 million decrease in recruiting expenses; and a $0.8 million decrease in travel and entertainment expenses. These decreases were partially offset by a $1.8 million increase in salaries and related expenses for our support personnel and a $1.2 million increase in data hosting and software related expenses. The decreases in promotion and marketing expenses, training expenses, and travel and entertainment expenses primarily relate to the cancellation or delay of in-person meetings and events and business travel due to the COVID-19 pandemic. The decreases in</w:t>
      </w:r>
    </w:p>
    <w:p>
      <w:pPr>
        <w:sectPr>
          <w:pgSz w:w="11900" w:h="16838" w:orient="portrait"/>
          <w:cols w:equalWidth="0" w:num="1">
            <w:col w:w="11220"/>
          </w:cols>
          <w:pgMar w:left="320" w:top="125" w:right="359" w:bottom="1440" w:gutter="0" w:footer="0" w:header="0"/>
        </w:sectPr>
      </w:pP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20"/>
          </w:cols>
          <w:pgMar w:left="320" w:top="125" w:right="35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legal expenses and accounting, tax and audit fees were primarily due to third-party transaction-related expenses related to the evaluation of a potential acquisition in the second quarter of 2019 that ultimately did not consummate. As a percentage of revenues, selling, general and administrative expenses decreased to 20.0% during the first six months of 2020 compared to 24.3% during the first six months of 2019. This decrease was primarily attributable to the decrease in promotion and marketing expenses, the change in the market value of our deferred compensation liability, the decrease in performance bonus expense for our support personnel, and the decrease in facilities expenses.</w:t>
      </w:r>
    </w:p>
    <w:p>
      <w:pPr>
        <w:spacing w:after="0" w:line="12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Restructuring charges for the first six months of 2020 totaled $1.7 million, compared to $2.0 million for the first six months of 2019. The $1.7 million restructuring charge incurred in the first six months of 2020 primarily related to a $1.2 million accrual for the termination of a third-party advisor agreement; $0.3 million related to workforce reductions to better align resources with market demand; and $0.1 million related to workforce reductions in our corporate operations. During the first six months of 2019, we exited a portion of our Lake Oswego, Oregon corporate office resulting in a $0.7 million lease impairment charge on the related operating lease right-of-use asset and leasehold improvements and $0.2 million of accelerated depreciation on furniture and fixtures in that office. Additionally, in the second quarter of 2019, we exited the remaining portion of our Middleton, Wisconsin office and an office space in Houston, Texas, resulting in restructuring charges of $0.4 million and $0.1 million, respectively, which primarily related to accelerated depreciation on furniture and fixtures. Additional restructuring charges during the first six months of 2019 include a total of $0.4 million related to workforce reductions to better align resources with market demand. See Note 8 "Restructuring Charges" within the notes to our consolidated financial statements for additional information on our restructuring charges.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Litigation and other gains totaled $0.2 million for the six months ended June 30, 2020, which consisted of a litigation settlement gain for the resolution of a claim that was settled in the first quarter of 2020. Other gains totaled $0.9 million for the six months ended June 30, 2019, which primarily consisted of $0.9 million of remeasurement gains to decrease the estimated fair value of our liabilities for contingent consideration payments related to business acquisitions.</w:t>
      </w:r>
    </w:p>
    <w:p>
      <w:pPr>
        <w:spacing w:after="0" w:line="13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Depreciation and amortization expense decreased by $2.0 million, or 14.1%, to $12.3 million for the six months ended June 30, 2020, from $14.3 million for the six months ended June 30, 2019. The decrease was primarily attributable to a decrease in amortization expense for the trade name acquired in our Studer Group acquisition that was fully amortized in the fourth quarter of 2019; decreasing amortization expense for customer relationships due to the accelerated basis of amortization in prior periods, including the customer relationships acquired in our Studer Group acquisition; and customer relationships acquired in other business acquisitions that were fully amortized in prior periods. Intangible asset amortization included within operating expenses for the six months ended June 30, 2020 and 2019 primarily related to certain customer relationships, trade names and non-competition agreements acquired in connection with our business acquisitions. See Note 4 "Goodwill and Intangible Assets" within the notes to our consolidated financial statements for additional information about our intangible assets.</w:t>
      </w:r>
    </w:p>
    <w:p>
      <w:pPr>
        <w:spacing w:after="0" w:line="12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During the first quarter of 2020, we recorded $59.8 million of non-cash pretax goodwill impairment charges related to our Strategy and Innovation and Life Sciences reporting units within our Business Advisory segment; primarily related to the expected decline in sales, increased uncertainty in the backlog and a decrease in the demand for the services these reporting units provide, as a result of the COVID-19 pandemic. These charges are non-cash in nature and do not affect our liquidity or debt covenants. See the "Critical Accounting Policies" section below and Note 4 "Goodwill and Intangible Assets" within the notes to our consolidated financial statements for additional information on the charges. The non-cash goodwill impairment charge related to the Life Sciences reporting unit reduced the goodwill balance to zero as of March 31, 2020. The non-cash goodwill impairment charge related to the Strategy and Innovation reporting unit reduced the goodwill balance of the reporting unit to $37.5 million as of March 31, 2020. Any future significant decline in the performance of our Strategy and Innovation reporting unit compared to our internal forecasts could result in another non-cash goodwill impairment charge. During the second quarter of 2020, we did not identify any indicators that would lead us to believe that the fair value of any of our reporting units may not exceed their carrying values. We will continue to evaluate goodwill for impairment during future periods.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75"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Operating income decreased $54.5 million to a loss of $29.9 million in the first six months of 2020 from operating income of $24.6 million in the first six months of 2019. This decrease is primarily attributable to the $59.8 million of non-cash pretax goodwill impairment charges related to our Business Advisory segment that were recognized in the first quarter of 2020. See the "Critical Accounting Policies" section below and Note 4 "Goodwill and Intangible Assets" within the notes to our consolidated financial statements for additional information on the non-cash goodwill impairment charges. Operating margin, which is defined as operating income (loss) expressed as a percentage of revenues, decreased to (6.8)% for the six months ended June 30, 2020, compared to an operating margin of 5.8% for the six months ended June 30, 2019. The decrease in operating margin was primarily attributable to the goodwill impairment charges, as well as the increases in salaries and related expenses and share-based compensation expense for our revenue-generating professionals, as percentages of revenues. These decreases to the operating margin were partially offset by the decrease in promotion and marketing expenses; the change in the market value of our deferred compensation liability; and the decreases in performance bonus expense for our support personnel, intangible asset amortization expense, and facilities expenses.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7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Total other expense, net increased by $0.7 million to $6.6 million in the first six months of 2020 from $5.9 million in the first six months of 2019. The increase in total other expense, net was primarily attributable to a $0.8 million loss recognized during the first six months of 2020 for the market value of our investments that are used to fund our deferred compensation liability, compared to a gain of $2.8 million during the first six months of 2019. Additionally, total other expense, net includes the recognition of $0.4 million of foreign currency transaction losses in the first six months of 2020 compared to $0.1 million of foreign currency transaction gains recognized in the first six months of 2019.</w:t>
      </w:r>
    </w:p>
    <w:p>
      <w:pPr>
        <w:spacing w:after="0" w:line="12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Interest expense, net of interest income decreased $3.5 million to $5.3 million in the first six months of 2020 from $8.8 million in the first six months of 2019, primarily attributable to the maturity of our Convertible Notes on October 1, 2019, partially offset by higher levels of borrowing under our credit facility during the first six months of 2020 compared to the same prior year period. See Note 7 "Financing Arrangements" within the notes to our consolidated financial statements for additional information about our Convertible Notes and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March 27, 2020, the President of the United States signed into law the Coronavirus Aid, Relief, and Economic Security Act (“CARES Act”). The CARES Act is an approximately $2 trillion emergency economic stimulus package in response to the COVID-19 outbreak, which among other items, includes income tax provisions relating to net operating loss carryback periods and technical corrections to tax depreciation methods for qualified improvement property. As a result of the enactment of this legislation during the first quarter of 2020, we recorded a tax benefit of $0.8 million related to the remeasurement of a portion of our income tax receivable due to the ability to apply the federal net operating loss incurred in 2018 to prior year income for a refund at a higher tax rate in the carryback period.</w:t>
      </w:r>
    </w:p>
    <w:p>
      <w:pPr>
        <w:spacing w:after="0" w:line="13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the six months ended June 30, 2020, our effective tax rate was 21.4% as we recognized an income tax benefit from continuing operations of $7.8 million on a loss from continuing operations of $36.5 million. The effective tax rate of 21.4% was less favorable than the statutory rate, inclusive of state income taxes, of 26.0%, primarily due to certain nondeductible business expenses and the nondeductible portion of the goodwill impairment charges recorded during the first quarter of 2020. These unfavorable items were partially offset by a discrete tax benefit for share-based compensation awards that vested during the first quarter and the discrete tax benefit for the remeasurement portion of our income tax receivable as a result of the enactment of the CARES Act in the first quarter of 2020.</w:t>
      </w:r>
    </w:p>
    <w:p>
      <w:pPr>
        <w:spacing w:after="0" w:line="13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For the six months ended June 30, 2019, our effective tax rate was 25.8% as we recognized income tax expense from continuing operations of $4.8 million on income from continuing operations of $18.8 million. The effective tax rate of 25.8% was more favorable than the statutory rate, inclusive of state income taxes, of 26.4%, primarily due to nontaxable gains on our investments to fund our deferred compensation liability, federal tax credits and share-based compensation awards that vested during the year; partially offset by nondeductible business expenses.</w:t>
      </w:r>
    </w:p>
    <w:p>
      <w:pPr>
        <w:spacing w:after="0" w:line="117" w:lineRule="exact"/>
        <w:rPr>
          <w:sz w:val="20"/>
          <w:szCs w:val="20"/>
          <w:color w:val="auto"/>
        </w:rPr>
      </w:pPr>
    </w:p>
    <w:p>
      <w:pPr>
        <w:ind w:right="1080"/>
        <w:spacing w:after="0" w:line="438" w:lineRule="auto"/>
        <w:rPr>
          <w:sz w:val="20"/>
          <w:szCs w:val="20"/>
          <w:color w:val="auto"/>
        </w:rPr>
      </w:pPr>
      <w:r>
        <w:rPr>
          <w:rFonts w:ascii="Arial" w:cs="Arial" w:eastAsia="Arial" w:hAnsi="Arial"/>
          <w:sz w:val="18"/>
          <w:szCs w:val="18"/>
          <w:color w:val="auto"/>
        </w:rPr>
        <w:t xml:space="preserve">See Note 12 "Income Taxes" within the notes to our consolidated financial statements for additional information on our income tax expense. </w:t>
      </w:r>
      <w:r>
        <w:rPr>
          <w:rFonts w:ascii="Arial" w:cs="Arial" w:eastAsia="Arial" w:hAnsi="Arial"/>
          <w:sz w:val="18"/>
          <w:szCs w:val="18"/>
          <w:b w:val="1"/>
          <w:bCs w:val="1"/>
          <w:color w:val="auto"/>
        </w:rPr>
        <w:t>Net Income (Loss) from Continuing Operations and Earnings (Loss) Per Share</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income from continuing operations decreased by $42.6 million to a net loss from continuing operations of $28.7 million for the six months ended June 30, 2020, from net income from continuing operations of $13.9 million for the same prior year period. This decrease is primarily attributable to the $59.8 million of non-cash pretax goodwill impairment charges related to our Business Advisory segment recognized in the first quarter of 2020. As a result of the decrease in net income from continuing operations, diluted loss per share from continuing operations for the first six months of 2020 was $1.31 compared to diluted earnings per share from continuing operations of $0.62 for the first six months of 2019. The non-cash goodwill impairment charges had a $2.14 unfavorable impact on diluted earnings per share from continuing operations for the first six months of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EBITDA decreased $60.5 million to a loss of $16.3 million for the six months ended June 30, 2020, from earnings of $44.2 million for the six months ended June 30, 2019. The decrease in EBITDA was primarily attributable to the non-cash goodwill impairment charges of $59.8 million recognized in the first quarter of 2020.</w:t>
      </w:r>
    </w:p>
    <w:p>
      <w:pPr>
        <w:spacing w:after="0" w:line="13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Adjusted EBITDA decreased $0.7 million to $46.5 million in the first six months of 2020 from $47.2 million in the first six months of 2019. The decrease in adjusted EBITDA was primarily attributable to the increase in salaries and related expenses for our revenue-generating professionals; largely offset by the decrease in selling, general and administrative expenses, excluding the change in the market value of our deferred compensation liability and transaction-related expenses related to the evaluation of a potential acquisition that ultimately did not consummate in the second quarter of 2019, and the increase in revenues for the first six months of 2020 compared to the first six months of 2019.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 and Adjusted Earnings per Share</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Adjusted net income from continuing operations decreased $1.2 million to $24.7 million in the first six months of 2020 compared to $25.9 million in the first six months of 2019. As a result of the decrease in adjusted net income from continuing operations, adjusted diluted earnings per share from continuing operations for the first six months of 2020 was $1.11 compared to $1.16 for the first six months of 2019.</w:t>
      </w:r>
    </w:p>
    <w:p>
      <w:pPr>
        <w:sectPr>
          <w:pgSz w:w="11900" w:h="16838" w:orient="portrait"/>
          <w:cols w:equalWidth="0" w:num="1">
            <w:col w:w="11200"/>
          </w:cols>
          <w:pgMar w:left="320" w:top="125" w:right="379" w:bottom="1440" w:gutter="0" w:footer="0" w:header="0"/>
        </w:sectPr>
      </w:pP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00"/>
          </w:cols>
          <w:pgMar w:left="320" w:top="125" w:right="37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Healthcare segment revenues decreased $14.7 million, or 7.5%, to $180.9 million for the first six months of 2020 from $195.6 million for the first six months of 2019, primarily due to the negative impact of the COVID-19 pandemic on demand for our services within this segment, as some clients reprioritized and delayed certain work as a result of the uncertainties surrounding the pandemic.</w:t>
      </w:r>
    </w:p>
    <w:p>
      <w:pPr>
        <w:spacing w:after="0" w:line="13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During the six months ended June 30, 2020, revenues from fixed-fee engagements; time-and-expense engagements; performance-based arrangements; and software support, maintenance and subscription arrangements represented 58.9%, 15.9%, 18.5%, and 6.7% of this segment’s revenues, respectively, compared to 63.0%, 13.8%, 17.3%, and 5.9% of this segment’s revenues, respectively, for the same prior year period. Performance-based fee revenue was $33.4 million during the first six months of 2020, compared to $33.8 million during the first six months of 2019. The level of performance-based fees earned may vary based on our clients’ risk sharing preferences and the mix of services we provide.</w:t>
      </w:r>
    </w:p>
    <w:p>
      <w:pPr>
        <w:spacing w:after="0" w:line="12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Of the overall $14.7 million decrease in revenues, $10.7 million was attributable to a decrease in revenues from our full-time billable consultants and $4.0 million was attributable to our full-time equivalents. The decrease in revenues attributable to our full-time billable consultants reflected a decrease in the consultant utilization rate, partially offset by an increase in the average number of full-time billable consultants in the first six months of 2020 compared to the same prior year period. The decrease in full-time equivalent revenues reflected a decrease in revenue per full-time equivalents, partially offset by an increase in the average number of full-time equivalents in the first six months of 2020 compared to the same prior year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Healthcare segment operating income decreased $16.0 million, or 26.1%, to $45.2 million for the six months ended June 30, 2020, from $61.2 million for the six months ended June 30, 2019. The Healthcare segment operating margin decreased to 25.0% for the first six months of 2020 from 31.3% in the same period last year. The decrease in this segment’s operating margin was primarily attributable to increases in salaries and related expenses for our revenue-generating professionals, technology expenses, and share-based compensation expense for our revenue generating professionals; partially offset by decreases in performance bonus expense for our revenue-generating professionals and contractor expenses, as percentages of revenues.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Business Advisory segment revenues increased $14.3 million, or 11.8%, to $135.4 million for the first six months of 2020 from $121.1 million for the first six months of 2019, primarily related to strengthened demand for our cloud-based technology and analytics solutions and our restructuring and capital advisory solutions provided to organizations in transition.</w:t>
      </w:r>
    </w:p>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During the first six months of 2020, revenues from fixed-fee engagements; time-and-expense engagements; performance-based arrangements; and software support, maintenance and subscription arrangements represented 39.0%, 57.5%, 1.6%, and 1.9% of this segment’s revenues, respectively, compared to 39.9%, 57.1%, 1.0%, and 2.0% of this segment’s revenues, respectively, during the same prior year period. Performance-based fee revenue was $2.2 million for the first six months of 2020, compared to $1.2 million for the first six months of 2019. The level of performance-based fees earned may vary based on our clients’ preferences and the mix of services we provide.</w:t>
      </w:r>
    </w:p>
    <w:p>
      <w:pPr>
        <w:spacing w:after="0" w:line="1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Of the overall $14.3 million increase in revenues, $12.1 million was attributable to revenues generated by our full-time billable consultants and $2.2 million was attributable to our full-time equivalents. The increase in revenues from our full-time billable consultants was primarily driven by an increase in the average number of full-time billable consultants in the first six months of 2020, as well as increases in the average billing rate and consultant utilization rate compared to the same prior year period. The increase in revenues from our full-time equivalents was driven by an increased use of contractors; and reflected an increase in the average number of full-time equivalents, partially offset by a decrease in revenue per full-time equivalent in the first six months of 2020 compared to the same prior year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Business Advisory segment operating income increased by $5.5 million, or 26.0%, to $26.5 million for the six months ended June 30, 2020, from $21.1 million for the six months ended June 30, 2019. The Business Advisory segment operating margin increased to 19.6% for the first six months of 2020 from 17.4% in the same period last year. The increase in this segment’s operating margin was primarily attributable to revenue growth that outpaced an increase in salaries and related expenses for our revenue-generating professionals, and decreases in promotion and marketing expenses, practice administration and meetings expenses, and signing, retention and other bonus expense for our revenue-generating professionals. These increases to the segment's operating margin were partially offset by increases in performance bonus expense for our revenue-</w:t>
      </w:r>
    </w:p>
    <w:p>
      <w:pPr>
        <w:sectPr>
          <w:pgSz w:w="11900" w:h="16838" w:orient="portrait"/>
          <w:cols w:equalWidth="0" w:num="1">
            <w:col w:w="11220"/>
          </w:cols>
          <w:pgMar w:left="320" w:top="125" w:right="359" w:bottom="1440" w:gutter="0" w:footer="0" w:header="0"/>
        </w:sectPr>
      </w:pP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20"/>
          </w:cols>
          <w:pgMar w:left="320" w:top="125" w:right="3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generating professionals, contractor expenses, and share-based compensation expense for our revenue-generating professionals, all as percentages of revenues, as well as a restructuring charge recorded in the first quarter of 2020 for the termination of a third-party advisor agreement.</w:t>
      </w:r>
    </w:p>
    <w:p>
      <w:pPr>
        <w:spacing w:after="0" w:line="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non-cash goodwill impairment charges related to the Strategy and Innovation and Life Sciences reporting units within the Business Advisory segment, which are discussed above within consolidated results, are not allocated at the segment level because the underlying goodwill asset is reflective of our corporate investment in the segment. We do not include the impact of goodwill impairment charges in our evaluation of segment performance. See the "Critical Accounting Policies" section below and Note 4 "Goodwill and Intangible Assets" within the notes to our consolidated financial statements for additional information on the charges and our goodwill balances.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Education segment revenues increased $15.7 million, or 14.4%, to $124.2 million for the first six months of 2020 from $108.5 million for the first six months of 2019, primarily related to strengthened demand for our cloud-based technology and analytics solutions.</w:t>
      </w:r>
    </w:p>
    <w:p>
      <w:pPr>
        <w:spacing w:after="0" w:line="116"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For the six months ended June 30, 2020, revenues from fixed-fee engagements; time-and-expense engagements; performance-based arrangements; and software support, maintenance and subscription arrangements represented 19.8%, 71.1%, 0.6% and 8.5% of this segment’s revenues, respectively. Revenues from fixed-fee engagements; time-and-expense engagements; and software support, maintenance and subscription arrangements represented 23.5%, 68.6%, and 7.9% of this segment's revenues, respectively, during the same prior year period.</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 the overall $15.7 million increase in revenues, $11.2 million was attributable to revenues generated by our full-time billable consultants and $4.5 million was attributable to revenues generated by our full-time equivalents. The increase in revenues from our full-time billable consultants reflected an increase in the average number of full-time billable consultants, partially offset by decreases in the average billing rate and consultant utilization rate in the first six months of 2020 compared to the same prior year period. The increase in revenues from our full-time equivalents was primarily driven by an increased use of contractors and project consultants as well as an increase in software subscriptions and data hosting revenues; and reflected an increase in the average number of full-time equivalents, partially offset by a decrease in revenue per full-time equivalent in the first six months of 2020 compared to the same prior year period.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Education segment operating income increased $0.4 million, or 1.5%, to $29.2 million for the six months ended June 30, 2020, from $28.8 million for the six months ended June 30, 2019. The Education segment operating margin decreased to 23.6% for the first six months of 2020 from 26.6% in the same period last year. The decrease in this segment’s operating margin was primarily attributable to increases in salaries and related expenses for our revenue-generating professionals, contractor expenses, technology expenses, and practice administration and meetings expenses, all as percentages of revenues; partially offset by a decrease in promotion and marketing expenses.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Cash and cash equivalents increased $71.6 million to $83.2 million at June 30, 2020 from $11.6 million at December 31, 2019. As of June 30, 2020, our primary sources of liquidity are cash on hand, cash flows from our U.S. operations, and borrowing capacity available under our credit facility.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0"/>
                <w:szCs w:val="20"/>
                <w:color w:val="auto"/>
              </w:rPr>
            </w:pPr>
          </w:p>
        </w:tc>
      </w:tr>
      <w:tr>
        <w:trPr>
          <w:trHeight w:val="27"/>
        </w:trPr>
        <w:tc>
          <w:tcPr>
            <w:tcW w:w="86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6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(in thousands):</w:t>
            </w:r>
          </w:p>
        </w:tc>
        <w:tc>
          <w:tcPr>
            <w:tcW w:w="2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7"/>
        </w:trPr>
        <w:tc>
          <w:tcPr>
            <w:tcW w:w="8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(6,207)</w:t>
            </w:r>
          </w:p>
        </w:tc>
      </w:tr>
      <w:tr>
        <w:trPr>
          <w:trHeight w:val="243"/>
        </w:trPr>
        <w:tc>
          <w:tcPr>
            <w:tcW w:w="8680" w:type="dxa"/>
            <w:vAlign w:val="bottom"/>
            <w:gridSpan w:val="2"/>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(14,880)</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r>
      <w:tr>
        <w:trPr>
          <w:trHeight w:val="243"/>
        </w:trPr>
        <w:tc>
          <w:tcPr>
            <w:tcW w:w="8680" w:type="dxa"/>
            <w:vAlign w:val="bottom"/>
            <w:gridSpan w:val="2"/>
          </w:tcPr>
          <w:p>
            <w:pPr>
              <w:ind w:left="38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71,608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(23,930)</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provided by operating activities totaled $1.8 million for the six months ended June 30, 2020, compared to net cash used in operating activities of $6.2 million for the six months ended June 30, 2019, respectively.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3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increase in cash provided by operating activities for the first six months of 2020 compared to the same prior year period was primarily attributable to an increase in cash collections and a decrease in selling, general and administrative expenses for the first six months of 2020</w:t>
      </w:r>
    </w:p>
    <w:p>
      <w:pPr>
        <w:sectPr>
          <w:pgSz w:w="11900" w:h="16838" w:orient="portrait"/>
          <w:cols w:equalWidth="0" w:num="1">
            <w:col w:w="11240"/>
          </w:cols>
          <w:pgMar w:left="320" w:top="125" w:right="33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compared to the first six months of 2019; partially offset by increases in the amount paid for annual performance bonuses in the first quarter of 2020 compared to the first quarter of 2019 and payments to employees for salaries and related benefits in the six months ended June 30, 2020 compared to the six months ended June 30,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was $24.1 million and $14.9 million for the six months ended June 30, 2020 and 2019, respectively.</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use of cash in the first six months of 2020 primarily consisted of $13.0 million for the purchase of an additional convertible debt investment in Shorelight Holdings, LLC; $5.2 million for payments related to internally developed software; $4.4 million for purchases of property and equipment, primarily related to purchases of leasehold improvements and furniture for certain office spaces and computers and related equipment; and $1.5 million for contributions to our life insurance policies which fund our deferred compensation plan.</w:t>
      </w:r>
    </w:p>
    <w:p>
      <w:pPr>
        <w:spacing w:after="0" w:line="13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use of cash in the first six months of 2019 primarily consisted of $6.4 million for purchases of property and equipment, primarily related to purchases of computers and related equipment and leasehold improvements for new office spaces in certain locations; and $4.4 million for payments related to internally developed software; and $4.1 million for contributions to our life insurance policies which fund our deferred compensation plan.</w:t>
      </w:r>
    </w:p>
    <w:p>
      <w:pPr>
        <w:spacing w:after="0" w:line="9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order to support our liquidity during the pandemic, we took proactive measures to increase available cash on hand, including reducing discretionary capital expenses. Therefore, as of June 30, 2020, we estimate that cash utilized for purchases of property and equipment and software development in 2020 will be lower than originally estimated and total approximately $16 million to $20 million. The purchases primarily consist of software development costs, information technology related equipment to support our corporate infrastructure, and leasehold improvements for certain office locations.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Net cash provided by financing activities was $94.1 million for the six months ended June 30, 2020. During the first six months of 2020, we borrowed $283.0 million, all in the first quarter of 2020, including $125.0 million to maintain excess cash and support liquidity during the period of uncertainty created by the COVID-19 pandemic, as well as to fund our annual performance bonus payment. During the first six months of 2020, we made repayments on our borrowings of $160.3 million, including a $120.0 million payment in the second quarter of 2020 to repay a portion of the additional borrowings made in the first quarter of 2020 due to our ability to maintain adequate cash flows from operations and improved clarity around access to capital resources. Additionally, we repurchased and retired $20.9 million of our common stock under our Share Repurchase Program, as defined below, and settled $1.2 million of share repurchases that were accrued as of December 31, 2019.</w:t>
      </w:r>
    </w:p>
    <w:p>
      <w:pPr>
        <w:spacing w:after="0" w:line="1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cash used in financing activities was $2.9 million for the six months ended June 30, 2019. During the first six months of 2019, we paid $10.0 million to the sellers of certain business acquisitions for achieving specified financial performance targets in accordance with the related purchase agreements. Of the total $10.0 million payments made, $4.7 million is classified as a cash outflow from financing activities and represents the amount paid up to the fair value of the contingent consideration liability recorded as of the acquisition date. The remaining $5.3 million is classified as a cash outflow from operating activities. During the first six months of 2019, we borrowed $87.5 million under our credit facility, primarily to fund our annual performance bonus payment, and made repayments on our borrowings of $81.8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currently have a share repurchase program permitting us to repurchase up to $125 million of our common stock through October 31, 2020 (the "Share Repurchase Program"). The amount and timing of the repurchases will be determined by management and will depend on a variety of factors, including the trading price of our common stock, capacity under our credit facility, general market and business conditions, and applicable legal requirements. In the first quarter of 2020, we repurchased and retired 313,998 shares for $20.9 million. Additionally, in the first quarter of 2020, we settled the repurchase of 18,000 shares for $1.2 million that were accrued as of December 31, 2019. No shares were repurchased in the second quarter of 2020. As of June 30, 2020, less than $0.1 million remains available for share repurchases.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June 30, 2020, we had $328.0 million outstanding under our senior secured credit facility and $3.6 million outstanding under a promissory note,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$150 million, subject to customary conditions and the approval of any lender whose commitment would be increased, resulting in a maximum available principal amount under the Amended Credit Agreement of $750 million. Borrowings under the</w:t>
      </w:r>
    </w:p>
    <w:p>
      <w:pPr>
        <w:sectPr>
          <w:pgSz w:w="11900" w:h="16838" w:orient="portrait"/>
          <w:cols w:equalWidth="0" w:num="1">
            <w:col w:w="11240"/>
          </w:cols>
          <w:pgMar w:left="320" w:top="125" w:right="3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Amended Credit Agreement may be used for working capital, capital expenditures, acquisitions of businesses, share repurchases, and general corporate purposes.</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 addition, we have the right to permanently reduce or terminate the unused portion of the commitments provided under the Amended Credit Agreement at any time.</w:t>
      </w:r>
    </w:p>
    <w:p>
      <w:pPr>
        <w:spacing w:after="0" w:line="13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June 30, 2020 and December 31, 2019, we were in compliance with these financial covenants. Our Consolidated Leverage Ratio as of June 30, 2020 was 2.60 to 1.00, compared to 1.64 to 1.00 as of December 31, 2019. Our Consolidated Interest Coverage Ratio as of June 30, 2020 was 14.07 to 1.00, compared to 15.29 to 1.00 as of December 31, 2019. The increase in our Consolidated Leverage Ratio as of June 30, 2020 compared to December 31, 2019 was driven by increased borrowings under the Amended Credit Agreement to maintain excess cash and support liquidity during the period of uncertainty created by the COVID-19 pandemic and to fund our annual performance bonus payment in the first quarter of 2020. As a result of these borrowings, cash and cash equivalents increased $71.6 million to $83.2 million at June 30, 2020 from $11.6 million at December 31, 2019.</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Amended Credit Agreement contains restricted payment provisions, including a potential limit on the amount of dividends we may pay. Pursuant to the terms of the Amended Credit Agreement, if our Consolidated Leverage Ratio is greater than 3.25, the amount of dividends and other Restricted Payments (as defined in the Amended Credit Agreement) we may pay is limited to an amount up to $25 million.</w:t>
      </w:r>
    </w:p>
    <w:p>
      <w:pPr>
        <w:spacing w:after="0" w:line="130"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Principal borrowings outstanding under the Amended Credit Agreement at June 30, 2020 and December 31, 2019 totaled $328.0 million and $205.0 million, respectively. These borrowings carried a weighted average interest rate of 2.7% at June 30, 2020 and 3.0% at December 31, 2019 including the impact of the interest rate swaps described in Note 9 “Derivative Instruments and Hedging Activity” within the notes to the consolidated financial statements. The borrowing capacity under the revolving credit facility is reduced by any outstanding borrowings under the revolving credit facility and outstanding letters of credit. At June 30, 2020, we had outstanding letters of credit totaling $1.7 million, which are primarily used as security deposits for our office facilities. As of June 30, 2020, the unused borrowing capacity under the revolving credit facility was $270.3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7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June 30, 2020, the outstanding principal amount of the promissory note was $3.6 million, and the aircraft had a carrying amount of $4.8 million. At December 31, 2019, the outstanding principal amount of the promissory note was $3.9 million, and the aircraft had a carrying amount of $5.1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7 “Financing Arrangements” within the notes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Financing Needs</w:t>
      </w:r>
    </w:p>
    <w:p>
      <w:pPr>
        <w:spacing w:after="0" w:line="17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current primary financing need is to support our operations during the COVID-19 pandemic which has created significant volatility and uncertainty in the economy, could limit our access to capital resources, and could increase borrowing costs. In order to support our liquidity during the pandemic, we took proactive measures to increase available cash on hand, including, but not limited to, borrowing under our senior secured credit facility in the first quarter of 2020 and reducing discretionary operating and capital expenses. To further support our liquidity, we elected to defer the deposit of our employer portion of social security taxes beginning in April 2020 and through the end of the year, which we expect to pay in equal installments in the fourth quarters of 2021 and 2022, as provided for under the CARES Act. Our long-term financing need has been to fund our</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and the borrowing capacity available under our revolving credit facility will be adequate to support our current financing needs and long-term growth strategy. Our ability to secure additional financing, if needed, in the future will depend on several factors, including our future profitability, the quality of our accounts receivable and unbilled services, our relative levels of debt and equity, and the overall condition of the credit markets.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2019. As of June 30, 2020, borrowings outstanding under our senior secured credit facility totaled $328.0 million compared to $205.0 million at December 31, 2019. See the "Liquidity and Capital Resources" section above and Note 7 "Financing Arrangements" within the notes to our consolidated financial statements for additional information on our outstanding borrowings as of June 30, 2020. There have been no other material changes to our contractual obligations since December 31,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Management’s discussion and analysis of financial condition and results of operations are based upon our consolidated financial statements, which have been prepared in accordance with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there are five accounting policies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2019. Below is an update to our critical accounting policy related to the carrying value of goodwill and other intangible assets. There have been no material changes to our other critical accounting policies during the first six months of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Carrying Values of Goodwill and 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2020 Goodwill Impairment Analysis</w:t>
      </w:r>
    </w:p>
    <w:p>
      <w:pPr>
        <w:spacing w:after="0" w:line="17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worldwide spread of coronavirus (COVID-19) in the first quarter of 2020 created significant volatility, uncertainty and disruption to the global economy. We are closely monitoring the impact of the COVID-19 pandemic on all aspects of our business, including how we expect it will continue to negatively impact our clients, employees and business partners. While the COVID-19 pandemic did not have a significant impact on our consolidated revenues in the first quarter of 2020, we expected it to have an unfavorable impact on sales, increase uncertainty in the backlog and negatively impact full year 2020 results. The services provided by our Strategy and Innovation and Life Sciences reporting units within our Business Advisory segment focus on strategic solutions for healthy, well-capitalized companies to identify new growth opportunities, which may be considered by our clients to be more discretionary in nature, and the duration of the projects within these practices are typically short-term. Therefore, due to the uncertainty caused by the COVID-19 pandemic, we are cautious about near-term results for these two reporting units. Based on our internal projections and the preparation of our financial statements for the quarter ended March 31, 2020, and considering the expected decrease in demand due to the COVID-19 pandemic, during the first quarter of 2020 we believed that the fair value of these two reporting units no longer exceeded their carrying values and performed an interim impairment test on both reporting units as of March 31, 2020.</w:t>
      </w:r>
    </w:p>
    <w:p>
      <w:pPr>
        <w:spacing w:after="0" w:line="12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on the estimated fair values of the Strategy and Innovation and Life Sciences reporting units described below, we recorded non-cash pretax goodwill impairment charges of $49.9 million and $9.9 million, respectively, in the first quarter of 2020. The $49.9 million non-cash pretax charge related to the Strategy and Innovation reporting unit reduced the goodwill balance of the reporting unit to $37.5 million. The $9.9 million non-cash pretax charge related to the Life Sciences reporting unit reduced the goodwill balance of the reporting unit to zero.</w:t>
      </w:r>
    </w:p>
    <w:p>
      <w:pPr>
        <w:spacing w:after="0" w:line="13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Our goodwill impairment test was performed by comparing the fair value of each of the Strategy and Innovation and Life Sciences reporting units with its respective carrying value and recognizing an impairment charge for the amount by which the carrying value exceeded the fair value. To estimate the fair value of each reporting unit, we relied on a combination of the income approach and the market approach, with a fifty-fifty weighting.</w:t>
      </w:r>
    </w:p>
    <w:p>
      <w:pPr>
        <w:sectPr>
          <w:pgSz w:w="11900" w:h="16838" w:orient="portrait"/>
          <w:cols w:equalWidth="0" w:num="1">
            <w:col w:w="11240"/>
          </w:cols>
          <w:pgMar w:left="320" w:top="125" w:right="339"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the income approach, we utilized a discounted cash flow analysis, which involved estimating the expected after-tax cash flows that will be generated by each reporting unit and then discounting those cash flows to present value, reflecting the relevant risks associated with each reporting unit and the time value of money. This approach requires the use of significant estimates and assumptions, including long-term projections of future cash flows, market conditions, and discount rates that reflect the risk inherent in the future cash flows. In estimating future cash flows, we relied on internally generated seven-year forecasts. For periods after the seven-year forecast, we assumed a long-term annual revenue growth rate of 3.0% for both the Strategy and Innovation and Life Sciences reporting units and a long-term EBITDA margin of 24.8% and 6.7%, respectively. Our forecasts are based on historical experience, current backlog, expected market demand, and other industry information. Our discounted cash flow analysis assumed weighted average cost of capital discount rates of 16.0% and 10.5% for the Strategy and Innovation and Life Sciences reporting units, respectively.</w:t>
      </w:r>
    </w:p>
    <w:p>
      <w:pPr>
        <w:spacing w:after="0" w:line="1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These multiples were evaluated and adjusted based on specific characteristics of the Strategy and Innovation and Life Sciences reporting units relative to the selected guideline companies and applied to the reporting units' operating data to arrive at an indication of value. The range of revenue multiples used in the valuation of the Strategy and Innovation and Life Sciences reporting units was 1.20x to 1.70x and 0.30x to 0.40x, respectively.</w:t>
      </w:r>
    </w:p>
    <w:p>
      <w:pPr>
        <w:spacing w:after="0" w:line="138"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Determining the fair value of any reporting unit requires us to make significant judgments, estimates, and assumptions. While we believe that the estimates and assumptions underlying our valuation methodology are reasonable, these estimates and assumptions could have a significant impact on whether or not a non-cash impairment charge is recognized and also the magnitude of any such charge. The results of an impairment analysis are as of a point in time.</w:t>
      </w:r>
    </w:p>
    <w:p>
      <w:pPr>
        <w:spacing w:after="0" w:line="2"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There is no assurance that the actual future earnings or cash flows of our reporting units will be consistent with our projections. We will continue to monitor any changes to our assumptions and will evaluate goodwill as deemed warranted during future periods. Any significant decline in our operations compared to our internal forecasts could result in additional non-cash goodwill impairment charges, which could be material.</w:t>
      </w:r>
    </w:p>
    <w:p>
      <w:pPr>
        <w:spacing w:after="0" w:line="1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Concurrently with the goodwill impairment tests performed over the Strategy and Innovation and Life Sciences reporting units, we evaluated whether any indicators exist that would lead us to believe that the fair values of our Healthcare, Education, and Business Advisory reporting units may not exceed their carrying values. Based on our internal projections, consideration of the impact of the COVID-19 pandemic on these reporting units, and review of the amounts by which the fair values of these reporting units exceeded their carrying values in the most recent quantitative goodwill impairment analysis performed, we did not identify any indicators that would lead us to believe that the fair values of these reporting units may not exceed their carrying values as of March 31, 2020. Additionally, in the second quarter of 2020, we did not identify any indicators that would lead us to believe that the fair values of any of our reporting units may not exceed their carrying values. We will monitor any changes to our assumptions and will evaluate goodwill as deemed warranted during future periods.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gridSpan w:val="2"/>
          </w:tcPr>
          <w:p>
            <w:pPr>
              <w:spacing w:after="0"/>
              <w:rPr>
                <w:sz w:val="20"/>
                <w:szCs w:val="20"/>
                <w:color w:val="auto"/>
              </w:rPr>
            </w:pPr>
            <w:r>
              <w:rPr>
                <w:rFonts w:ascii="Arial" w:cs="Arial" w:eastAsia="Arial" w:hAnsi="Arial"/>
                <w:sz w:val="18"/>
                <w:szCs w:val="18"/>
                <w:color w:val="auto"/>
              </w:rPr>
              <w:t>The carrying values of goodwill for each of our reporting units as of June 30, 2020 are as follows (in thousands):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60"/>
        </w:trPr>
        <w:tc>
          <w:tcPr>
            <w:tcW w:w="9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Carrying Value</w:t>
            </w:r>
          </w:p>
        </w:tc>
      </w:tr>
      <w:tr>
        <w:trPr>
          <w:trHeight w:val="234"/>
        </w:trPr>
        <w:tc>
          <w:tcPr>
            <w:tcW w:w="9680" w:type="dxa"/>
            <w:vAlign w:val="bottom"/>
            <w:gridSpan w:val="2"/>
          </w:tcPr>
          <w:p>
            <w:pPr>
              <w:ind w:left="40"/>
              <w:spacing w:after="0"/>
              <w:rPr>
                <w:sz w:val="20"/>
                <w:szCs w:val="20"/>
                <w:color w:val="auto"/>
              </w:rPr>
            </w:pPr>
            <w:r>
              <w:rPr>
                <w:rFonts w:ascii="Arial" w:cs="Arial" w:eastAsia="Arial" w:hAnsi="Arial"/>
                <w:sz w:val="18"/>
                <w:szCs w:val="18"/>
                <w:b w:val="1"/>
                <w:bCs w:val="1"/>
                <w:color w:val="auto"/>
              </w:rPr>
              <w:t>Reporting Unit</w:t>
            </w:r>
          </w:p>
        </w:tc>
        <w:tc>
          <w:tcPr>
            <w:tcW w:w="140" w:type="dxa"/>
            <w:vAlign w:val="bottom"/>
          </w:tcPr>
          <w:p>
            <w:pPr>
              <w:spacing w:after="0"/>
              <w:rPr>
                <w:sz w:val="20"/>
                <w:szCs w:val="20"/>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b w:val="1"/>
                <w:bCs w:val="1"/>
                <w:color w:val="auto"/>
              </w:rPr>
              <w:t>of Goodwill</w:t>
            </w:r>
          </w:p>
        </w:tc>
      </w:tr>
      <w:tr>
        <w:trPr>
          <w:trHeight w:val="27"/>
        </w:trPr>
        <w:tc>
          <w:tcPr>
            <w:tcW w:w="9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428,729</w:t>
            </w:r>
          </w:p>
        </w:tc>
      </w:tr>
      <w:tr>
        <w:trPr>
          <w:trHeight w:val="243"/>
        </w:trPr>
        <w:tc>
          <w:tcPr>
            <w:tcW w:w="968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103,889</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16,094</w:t>
            </w:r>
          </w:p>
        </w:tc>
      </w:tr>
      <w:tr>
        <w:trPr>
          <w:trHeight w:val="243"/>
        </w:trPr>
        <w:tc>
          <w:tcPr>
            <w:tcW w:w="9680" w:type="dxa"/>
            <w:vAlign w:val="bottom"/>
            <w:gridSpan w:val="2"/>
          </w:tcPr>
          <w:p>
            <w:pPr>
              <w:ind w:left="40"/>
              <w:spacing w:after="0"/>
              <w:rPr>
                <w:sz w:val="20"/>
                <w:szCs w:val="20"/>
                <w:color w:val="auto"/>
              </w:rPr>
            </w:pPr>
            <w:r>
              <w:rPr>
                <w:rFonts w:ascii="Arial" w:cs="Arial" w:eastAsia="Arial" w:hAnsi="Arial"/>
                <w:sz w:val="18"/>
                <w:szCs w:val="18"/>
                <w:color w:val="auto"/>
              </w:rPr>
              <w:t>Strategy and Innovation</w:t>
            </w: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37,523</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Life Sciences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680" w:type="dxa"/>
            <w:vAlign w:val="bottom"/>
            <w:gridSpan w:val="2"/>
          </w:tcPr>
          <w:p>
            <w:pPr>
              <w:ind w:left="40"/>
              <w:spacing w:after="0"/>
              <w:rPr>
                <w:sz w:val="20"/>
                <w:szCs w:val="20"/>
                <w:color w:val="auto"/>
              </w:rPr>
            </w:pPr>
            <w:r>
              <w:rPr>
                <w:rFonts w:ascii="Arial" w:cs="Arial" w:eastAsia="Arial" w:hAnsi="Arial"/>
                <w:sz w:val="18"/>
                <w:szCs w:val="18"/>
                <w:color w:val="auto"/>
              </w:rPr>
              <w:t>Enterprise Solutions and Analytics</w:t>
            </w: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9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586,235</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Intangible assets represent purchased assets that lack physical substance but can be distinguished from goodwill. Our intangible assets, net of accumulated amortization, totaled $24.9 million at June 30, 2020 and primarily consist of customer relationships, trade names, technology and software, non-competition agreements, and customer contracts, all of which were acquired through business combinations. We evaluate our intangible assets for impairment whenever events or changes in circumstances indicate that the carrying amount of the assets may not be recoverable. In connection with the goodwill impairment tests performed for the Strategy and Innovation and Life Sciences reporting units in the first quarter of 2020, which resulted in non-cash goodwill impairment charges, we performed impairment tests on the long-lived assets allocated to the asset groups of the Strategy and Innovation and Life Sciences reporting units. Based on the impairment tests performed, we concluded that the long-lived assets allocated to the asset groups were not impaired as of March 31, 2020. We did not identify any indicators that would lead us to believe that the carrying values of the long-lived assets allocated to our other asset groups may not be recoverable as of March 31, 2020 and June 30, 2020.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Refer to Note 3 "New Accounting Pronouncements" within the notes to the consolidated financial statements for information on new accounting pronouncements.</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Interest Rate Risk</w:t>
      </w:r>
    </w:p>
    <w:p>
      <w:pPr>
        <w:spacing w:after="0" w:line="17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exposure to changes in interest rates associated with borrowings under our bank credit facility, which has variable interest rates tied to LIBOR or an alternate base rate, at our option. At June 30, 2020, we had borrowings outstanding under the credit facility totaling $328.0 million that carried a weighted average interest rate of 2.7%, including the impact of the interest rate swaps described below. A hypothetical 100 basis point change in the interest rate would have a $1.3 million effect on our pretax income on an annualized basis, including the effect of the interest rate swaps outstanding at June 30, 2020. At December 31, 2019, we had borrowings outstanding under the credit facility totaling $205.0 million that carried a weighted average interest rate of 3.0% including the impact of the interest rate swap outstanding at December 31, 2019. A hypothetical 100 basis point change in the interest rate would have had a $1.6 million effect on our pretax income on an annualized basis, including the effect of the interest rate swap.</w:t>
      </w:r>
    </w:p>
    <w:p>
      <w:pPr>
        <w:spacing w:after="0" w:line="1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January 30, 2020, we entered into a forward interest rate swap agreement effective December 31, 2019 and ending December 31, 2024, with a notional amount of $50.0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1.500%.</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March 16, 2020, we entered into a forward interest rate swap agreement effective February 28, 2020 and ending February 28, 2025, with a notional amount of $100.0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0.885%.</w:t>
      </w:r>
    </w:p>
    <w:p>
      <w:pPr>
        <w:spacing w:after="0" w:line="133"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also have exposure to changes in interest rates associated with the promissory note assumed on June 30, 2017 in connection with our purchase of an aircraft, which has variable interest rates tied to LIBOR. At June 30, 2020, the outstanding principal amount of the promissory note was $3.6 million and carried an interest rate of 2.2%. A hypothetical 100 basis point change in this interest rate would not have a material effect on our pretax income. At December 31, 2019, the outstanding principal amount of the promissory note was $3.9 million and carried an interest rate of 3.7%. A hypothetical 100 basis point change in the interest rate as of December 31, 2019 would not have had a material effect on our pretax income.</w:t>
      </w:r>
    </w:p>
    <w:p>
      <w:pPr>
        <w:spacing w:after="0" w:line="10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13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have an investment in the form of 1.69% convertible debt in Shorelight Holdings, LLC, a privately-held company, which we account for as an available-for-sale debt security. As such, the investment is carried at fair value with unrealized holding gains and losses excluded from earnings and reported in other comprehensive income. As of June 30, 2020, the fair value of the investment was $54.5 million, with a total cost basis of $40.9 million. At December 31, 2019, the fair value of the investment was $49.5 million, with a total cost basis of $27.9 million.</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a preferred stock investment in Medically Home Group, Inc., a privately-held company, which we account for as an equity security without a readily determinable fair value using the measurement alternative. As such, the investment is carried at cost minus impairment, if any, plus or minus changes resulting from observable price changes in orderly transactions for the identical or similar investment. Any unrealized holding gains and losses resulting from observable price changes are recorded in our consolidated statement of operations. As of June 30, 2020, the carrying value of the investment was $5.0 million. Following our purchase, there has been no impairment, nor any observable price changes to our investment. See Note 10 “Fair Value of Financial Instruments” for further information on our long-term investments in Shorelight Holdings, LLC and Medically Home Group, Inc.</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125" w:right="3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June 30, 2020. Based on this evaluation, our Chief Executive Officer and Chief Financial Officer have concluded that, as of June 30, 2020,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June 30, 2020 that has materially affected, or is reasonably likely to materially affect, our internal control over financial reporting.</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306"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Note 13 "Commitments, Contingencies and Guarantees" included in Part I, Item 1 of this Quarterly Report on Form 10-Q.</w:t>
      </w:r>
    </w:p>
    <w:p>
      <w:pPr>
        <w:spacing w:after="0" w:line="1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91"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following information updates, and should be read in conjunction with, the information disclosed in Part 1, Item 1A, “Risk Factors” in our Annual Report on Form 10-K for the fiscal year ended December 31, 2019 (the “2019 Annual Report”), which was filed with the Securities and Exchange Commission on February 26, 2020.</w:t>
      </w:r>
    </w:p>
    <w:p>
      <w:pPr>
        <w:spacing w:after="0" w:line="12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results of operations have been adversely affected and, in the future, could be materially adversely impacted by the coronavirus (COVID-19) pandemic.</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worldwide spread of coronavirus (COVID-19) has created significant volatility, uncertainty and disruption to the global economy. The pandemic is adversely impacting and, in the future, could materially adversely impact our business, operations and financial results. The extent to which the COVID-19 pandemic impacts our business, operations and financial results will depend on numerous evolving factors that we may not be able to accurately predict, including:</w:t>
      </w:r>
    </w:p>
    <w:p>
      <w:pPr>
        <w:spacing w:after="0" w:line="13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duration and scope of the pandemic;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the development and distribution of an effective vaccine or treatments for COVID-19;</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governmental, business and individuals’ actions that have been and continue to be taken in response to the pandemic, including quarantines, social distancing and other risk mitigating measures taken to prevent the spread of COVID-19;</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on our clients and client demand for our services and solutions, including the effect on the healthcare and higher education industries which are areas of significant focus for our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on our key third-party vendors;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on the businesses in which we have invested;</w:t>
      </w:r>
    </w:p>
    <w:p>
      <w:pPr>
        <w:spacing w:after="0" w:line="171"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sell and provide our services and solutions and maintain adequate utilization levels, including as a result of travel restrictions, shelter-in-place and quarantine orders and people working from home;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clients to pay for our services and solutions;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right="3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disruption to the Internet and related systems, which may impact our ability to provide our services and solutions remotely, and increased vulnerability to hackers or third parties seeking to disrupt operations;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closures of our clients’ offices and facilities.</w:t>
      </w:r>
    </w:p>
    <w:p>
      <w:pPr>
        <w:spacing w:after="0" w:line="171"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Additionally, in some instances, clients have slowed down decision making, delayed planned work or are seeking to reduce the scope of current engagements or terminate existing agreements, which may continue. Any of these events could cause or contribute to the risks and uncertainties enumerated in our 2019 Annual Report and could materially adversely affect our business, financial condition, results of operations and/or stock price.</w:t>
      </w:r>
    </w:p>
    <w:p>
      <w:pPr>
        <w:spacing w:after="0" w:line="91" w:lineRule="exact"/>
        <w:rPr>
          <w:sz w:val="20"/>
          <w:szCs w:val="20"/>
          <w:color w:val="auto"/>
        </w:rPr>
      </w:pPr>
    </w:p>
    <w:p>
      <w:pPr>
        <w:ind w:right="520"/>
        <w:spacing w:after="0" w:line="312" w:lineRule="auto"/>
        <w:rPr>
          <w:sz w:val="20"/>
          <w:szCs w:val="20"/>
          <w:color w:val="auto"/>
        </w:rPr>
      </w:pPr>
      <w:r>
        <w:rPr>
          <w:rFonts w:ascii="Arial" w:cs="Arial" w:eastAsia="Arial" w:hAnsi="Arial"/>
          <w:sz w:val="17"/>
          <w:szCs w:val="17"/>
          <w:b w:val="1"/>
          <w:bCs w:val="1"/>
          <w:color w:val="auto"/>
        </w:rPr>
        <w:t>Our goodwill and other intangible assets represent a substantial amount of our total assets, and we may be required to recognize a non-cash impairment charge for these assets if the performance of one or more of our reporting units falls below our expectations.</w:t>
      </w:r>
    </w:p>
    <w:p>
      <w:pPr>
        <w:spacing w:after="0" w:line="9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total assets reflect a substantial amount of intangible assets, primarily goodwill. At December 31, 2019, goodwill and other intangible assets totaled $678.3 million, or 61%, of our total assets. During the first quarter of 2020, we incurred non-cash pretax goodwill impairment charges totaling $59.8 million related to our Strategy and Innovation and Life Sciences reporting units within our Business Advisory segment, as discussed below. At June 30, 2020, goodwill and other intangible assets totaled $611.2 million, or 54%, of our total assets as of June 30, 2020. The goodwill results from our acquisitions, representing the excess of the fair value of consideration transferred over the fair value of the net assets acquired. We test goodwill for impairment at the reporting unit level, annually and whenever events or circumstances make it more likely than not that an impairment may have occurred.</w:t>
      </w:r>
    </w:p>
    <w:p>
      <w:pPr>
        <w:spacing w:after="0" w:line="1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worldwide spread of coronavirus (COVID-19) in the first quarter of 2020 created significant volatility, uncertainty and disruption to the global economy. We are closely monitoring the impact of the COVID-19 pandemic on all aspects of our business, including how we expect it will continue to negatively impact our clients, employees and business partners. While the COVID-19 pandemic did not have a significant impact on our consolidated revenues in the first quarter of 2020, we expected it to have an unfavorable impact on sales, increase uncertainty in the backlog and negatively impact full year 2020 results. The services provided by our Strategy and Innovation and Life Sciences reporting units within our Business Advisory segment focus on strategic solutions for healthy, well-capitalized companies to identify new growth opportunities, which may be considered by our clients to be more discretionary in nature, and the duration of the projects within these practices are typically short-term. Therefore, due to the uncertainty caused by the COVID-19 pandemic, we are cautious about near-term results for these two reporting units. Based on our internal projections and the preparation of our financial statements for the quarter ended March 31, 2020, and considering the expected decrease in demand due to the COVID-19 pandemic, during the first quarter of 2020 we believed that the fair value of these two reporting units no longer exceeded their carrying values and performed an interim impairment test on both reporting units as of March 31, 2020. Based on the estimated fair values of the Strategy and Innovation and Life Sciences reporting units described below, we recorded non-cash pretax goodwill impairment charges of $49.9 million and $9.9 million, respectively, in the first quarter of 2020. The $49.9 million non-cash pretax charge related to the Strategy and Innovation reporting unit reduced the goodwill balance of the reporting unit to $37.5 million. The $9.9 million non-cash pretax charge related to the Life Sciences reporting unit reduced the goodwill balance of the reporting unit to zero.</w:t>
      </w:r>
    </w:p>
    <w:p>
      <w:pPr>
        <w:spacing w:after="0" w:line="128"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Determining the fair value of any reporting unit requires us to make significant judgments, estimates, and assumptions. While we believe that the estimates and assumptions underlying our valuation methodology are reasonable, these estimates and assumptions could have a significant impact on whether or not a non-cash impairment charge is recognized and also the magnitude of any such charge. The results of an impairment analysis are as of a point in time.</w:t>
      </w:r>
    </w:p>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There is no assurance that the actual future earnings or cash flows of our reporting units will be consistent with our projections. We continue to monitor any changes to our assumptions and will evaluate goodwill as deemed warranted during future periods. Any significant decline in our operations could result in additional non-cash goodwill impairment charges or impairment charges with respect to our other intangible assets, which could be material.</w:t>
      </w:r>
    </w:p>
    <w:p>
      <w:pPr>
        <w:spacing w:after="0" w:line="10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Refer to “Critical Accounting Policies” within Part I - Item 2. “Management’s Discussion and Analysis of Financial Condition and Results of Operations” and Note 4 “Goodwill and Intangible Assets” within the notes to our consolidated financial statements for further discussion of our goodwill, intangible assets, and impairment tests performed in 2020.</w:t>
      </w:r>
    </w:p>
    <w:p>
      <w:pPr>
        <w:spacing w:after="0" w:line="288"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June 30, 2020, we reacquired 1,806 shares of common stock with a weighted average fair market value of $46.55 as a result of such tax withholdings.</w:t>
      </w:r>
    </w:p>
    <w:p>
      <w:pPr>
        <w:spacing w:after="0" w:line="13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currently have a share repurchase program permitting us to repurchase up to $125 million of our common stock through October 31, 2020 (the "Share Repurchase Program"). The amount and timing of the repurchases will be determined by management and will depend on a variety of factors, including the trading price of our common stock, capacity under our line of credit, general market and business conditions, and applicable legal requirements.</w:t>
      </w:r>
    </w:p>
    <w:p>
      <w:pPr>
        <w:sectPr>
          <w:pgSz w:w="11900" w:h="16838" w:orient="portrait"/>
          <w:cols w:equalWidth="0" w:num="1">
            <w:col w:w="11220"/>
          </w:cols>
          <w:pgMar w:left="320" w:top="125" w:right="359" w:bottom="1440" w:gutter="0" w:footer="0" w:header="0"/>
        </w:sectPr>
      </w:pP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20"/>
          </w:cols>
          <w:pgMar w:left="320" w:top="125" w:right="35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common stock during the quarter ended June 30,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Dollar Value of Shares</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as Part of Publicly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that may yet be</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 Price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Purchased under the</w:t>
            </w:r>
          </w:p>
        </w:tc>
      </w:tr>
      <w:tr>
        <w:trPr>
          <w:trHeight w:val="261"/>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xml:space="preserve">Shares Purchased </w:t>
            </w:r>
            <w:r>
              <w:rPr>
                <w:rFonts w:ascii="Arial" w:cs="Arial" w:eastAsia="Arial" w:hAnsi="Arial"/>
                <w:sz w:val="21"/>
                <w:szCs w:val="21"/>
                <w:b w:val="1"/>
                <w:bCs w:val="1"/>
                <w:color w:val="auto"/>
                <w:w w:val="85"/>
                <w:vertAlign w:val="superscript"/>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Paid per Share</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 xml:space="preserve">Plans or Programs </w:t>
            </w:r>
            <w:r>
              <w:rPr>
                <w:rFonts w:ascii="Arial" w:cs="Arial" w:eastAsia="Arial" w:hAnsi="Arial"/>
                <w:sz w:val="21"/>
                <w:szCs w:val="21"/>
                <w:b w:val="1"/>
                <w:bCs w:val="1"/>
                <w:color w:val="auto"/>
                <w:w w:val="87"/>
                <w:vertAlign w:val="superscript"/>
              </w:rPr>
              <w:t>(2)</w:t>
            </w:r>
          </w:p>
        </w:tc>
      </w:tr>
      <w:tr>
        <w:trPr>
          <w:trHeight w:val="243"/>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2020 - April 30, 2020</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45.36</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43,572</w:t>
            </w:r>
          </w:p>
        </w:tc>
      </w:tr>
      <w:tr>
        <w:trPr>
          <w:trHeight w:val="243"/>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May 1, 2020 - May 31, 2020</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46.26</w:t>
            </w:r>
          </w:p>
        </w:tc>
        <w:tc>
          <w:tcPr>
            <w:tcW w:w="100" w:type="dxa"/>
            <w:vAlign w:val="bottom"/>
          </w:tcPr>
          <w:p>
            <w:pPr>
              <w:spacing w:after="0"/>
              <w:rPr>
                <w:sz w:val="21"/>
                <w:szCs w:val="21"/>
                <w:color w:val="auto"/>
              </w:rPr>
            </w:pPr>
          </w:p>
        </w:tc>
        <w:tc>
          <w:tcPr>
            <w:tcW w:w="1800" w:type="dxa"/>
            <w:vAlign w:val="bottom"/>
          </w:tcPr>
          <w:p>
            <w:pPr>
              <w:ind w:left="15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43,572</w:t>
            </w: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2020 - June 30, 2020</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47.02</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43,572</w:t>
            </w:r>
          </w:p>
        </w:tc>
      </w:tr>
      <w:tr>
        <w:trPr>
          <w:trHeight w:val="257"/>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1,806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46.55</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40" w:lineRule="exact"/>
        <w:rPr>
          <w:sz w:val="20"/>
          <w:szCs w:val="20"/>
          <w:color w:val="auto"/>
        </w:rPr>
      </w:pPr>
    </w:p>
    <w:p>
      <w:pPr>
        <w:ind w:left="980" w:right="60" w:hanging="972"/>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repurchased each period represent shares to satisfy employee tax withholding requirements. These shares do not reduce the repurchase authority under the Share Repurchase Program.</w:t>
      </w:r>
    </w:p>
    <w:p>
      <w:pPr>
        <w:spacing w:after="0" w:line="8" w:lineRule="exact"/>
        <w:rPr>
          <w:rFonts w:ascii="Arial" w:cs="Arial" w:eastAsia="Arial" w:hAnsi="Arial"/>
          <w:sz w:val="18"/>
          <w:szCs w:val="18"/>
          <w:color w:val="auto"/>
        </w:rPr>
      </w:pPr>
    </w:p>
    <w:p>
      <w:pPr>
        <w:ind w:left="980" w:hanging="97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275"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8"/>
              </w:rPr>
              <w:t>Incorporated by Reference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520" w:type="dxa"/>
            <w:vAlign w:val="bottom"/>
            <w:gridSpan w:val="6"/>
            <w:vMerge w:val="restart"/>
          </w:tcPr>
          <w:p>
            <w:pPr>
              <w:ind w:left="52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3"/>
                <w:szCs w:val="13"/>
                <w:color w:val="auto"/>
              </w:rPr>
            </w:pPr>
          </w:p>
        </w:tc>
        <w:tc>
          <w:tcPr>
            <w:tcW w:w="8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Filed</w:t>
            </w:r>
          </w:p>
        </w:tc>
        <w:tc>
          <w:tcPr>
            <w:tcW w:w="10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Furnished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3"/>
                <w:szCs w:val="13"/>
                <w:color w:val="auto"/>
              </w:rPr>
            </w:pPr>
          </w:p>
        </w:tc>
        <w:tc>
          <w:tcPr>
            <w:tcW w:w="7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Period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vMerge w:val="restart"/>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92"/>
        </w:trPr>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6"/>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9"/>
        </w:trPr>
        <w:tc>
          <w:tcPr>
            <w:tcW w:w="660" w:type="dxa"/>
            <w:vAlign w:val="bottom"/>
          </w:tcPr>
          <w:p>
            <w:pPr>
              <w:ind w:left="4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00" w:type="dxa"/>
            <w:vAlign w:val="bottom"/>
            <w:gridSpan w:val="9"/>
          </w:tcPr>
          <w:p>
            <w:pPr>
              <w:spacing w:after="0"/>
              <w:rPr>
                <w:rFonts w:ascii="Arial" w:cs="Arial" w:eastAsia="Arial" w:hAnsi="Arial"/>
                <w:sz w:val="16"/>
                <w:szCs w:val="16"/>
                <w:color w:val="0000FF"/>
                <w:w w:val="95"/>
              </w:rPr>
            </w:pPr>
            <w:hyperlink r:id="rId26">
              <w:r>
                <w:rPr>
                  <w:rFonts w:ascii="Arial" w:cs="Arial" w:eastAsia="Arial" w:hAnsi="Arial"/>
                  <w:sz w:val="16"/>
                  <w:szCs w:val="16"/>
                  <w:color w:val="0000FF"/>
                  <w:w w:val="95"/>
                </w:rPr>
                <w:t>Amendment to the Huron Consulting Group Inc. Amended and Restated</w:t>
              </w:r>
            </w:hyperlink>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DEF 14A</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Appendix A</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3/26/2020</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00" w:type="dxa"/>
            <w:vAlign w:val="bottom"/>
            <w:tcBorders>
              <w:top w:val="single" w:sz="8" w:color="0000FF"/>
            </w:tcBorders>
            <w:gridSpan w:val="7"/>
          </w:tcPr>
          <w:p>
            <w:pPr>
              <w:spacing w:after="0" w:line="183" w:lineRule="exact"/>
              <w:rPr>
                <w:rFonts w:ascii="Arial" w:cs="Arial" w:eastAsia="Arial" w:hAnsi="Arial"/>
                <w:sz w:val="16"/>
                <w:szCs w:val="16"/>
                <w:color w:val="0000FF"/>
              </w:rPr>
            </w:pPr>
            <w:hyperlink r:id="rId26">
              <w:r>
                <w:rPr>
                  <w:rFonts w:ascii="Arial" w:cs="Arial" w:eastAsia="Arial" w:hAnsi="Arial"/>
                  <w:sz w:val="16"/>
                  <w:szCs w:val="16"/>
                  <w:color w:val="0000FF"/>
                </w:rPr>
                <w:t>2012 Omnibus Incentive Plan, effective May 8, 2020.</w:t>
              </w:r>
            </w:hyperlink>
          </w:p>
        </w:tc>
        <w:tc>
          <w:tcPr>
            <w:tcW w:w="20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00" w:type="dxa"/>
            <w:vAlign w:val="bottom"/>
            <w:gridSpan w:val="9"/>
          </w:tcPr>
          <w:p>
            <w:pPr>
              <w:spacing w:after="0"/>
              <w:rPr>
                <w:rFonts w:ascii="Arial" w:cs="Arial" w:eastAsia="Arial" w:hAnsi="Arial"/>
                <w:sz w:val="16"/>
                <w:szCs w:val="16"/>
                <w:color w:val="0000FF"/>
              </w:rPr>
            </w:pPr>
            <w:hyperlink w:anchor="page51">
              <w:r>
                <w:rPr>
                  <w:rFonts w:ascii="Arial" w:cs="Arial" w:eastAsia="Arial" w:hAnsi="Arial"/>
                  <w:sz w:val="16"/>
                  <w:szCs w:val="16"/>
                  <w:color w:val="0000FF"/>
                </w:rPr>
                <w:t>Certification of the Chief Executive Officer, pursuant to Rule 13a-</w:t>
              </w:r>
            </w:hyperlink>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9"/>
          </w:tcPr>
          <w:p>
            <w:pPr>
              <w:spacing w:after="0" w:line="183" w:lineRule="exact"/>
              <w:rPr>
                <w:rFonts w:ascii="Arial" w:cs="Arial" w:eastAsia="Arial" w:hAnsi="Arial"/>
                <w:sz w:val="16"/>
                <w:szCs w:val="16"/>
                <w:color w:val="0000FF"/>
                <w:w w:val="98"/>
              </w:rPr>
            </w:pPr>
            <w:hyperlink w:anchor="page51">
              <w:r>
                <w:rPr>
                  <w:rFonts w:ascii="Arial" w:cs="Arial" w:eastAsia="Arial" w:hAnsi="Arial"/>
                  <w:sz w:val="16"/>
                  <w:szCs w:val="16"/>
                  <w:color w:val="0000FF"/>
                  <w:w w:val="98"/>
                </w:rPr>
                <w:t>14(a)/15d-14(a), as adopted pursuant to Section 302 of the Sarbanes-</w:t>
              </w:r>
            </w:hyperlink>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4"/>
              </w:rPr>
            </w:pPr>
            <w:hyperlink w:anchor="page51">
              <w:r>
                <w:rPr>
                  <w:rFonts w:ascii="Arial" w:cs="Arial" w:eastAsia="Arial" w:hAnsi="Arial"/>
                  <w:sz w:val="16"/>
                  <w:szCs w:val="16"/>
                  <w:color w:val="0000FF"/>
                  <w:w w:val="94"/>
                </w:rPr>
                <w:t>Oxley Act of 2002.</w:t>
              </w:r>
            </w:hyperlink>
          </w:p>
        </w:tc>
        <w:tc>
          <w:tcPr>
            <w:tcW w:w="3200" w:type="dxa"/>
            <w:vAlign w:val="bottom"/>
            <w:tcBorders>
              <w:top w:val="single" w:sz="8" w:color="0000FF"/>
            </w:tcBorders>
            <w:gridSpan w:val="3"/>
          </w:tcPr>
          <w:p>
            <w:pPr>
              <w:spacing w:after="0"/>
              <w:rPr>
                <w:sz w:val="15"/>
                <w:szCs w:val="15"/>
                <w:color w:val="auto"/>
              </w:rPr>
            </w:pPr>
          </w:p>
        </w:tc>
        <w:tc>
          <w:tcPr>
            <w:tcW w:w="440" w:type="dxa"/>
            <w:vAlign w:val="bottom"/>
            <w:gridSpan w:val="4"/>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60" w:type="dxa"/>
            <w:vAlign w:val="bottom"/>
          </w:tcPr>
          <w:p>
            <w:pPr>
              <w:ind w:left="4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tcBorders>
              <w:bottom w:val="single" w:sz="8" w:color="0000FF"/>
            </w:tcBorders>
            <w:gridSpan w:val="4"/>
          </w:tcPr>
          <w:p>
            <w:pPr>
              <w:spacing w:after="0"/>
              <w:rPr>
                <w:rFonts w:ascii="Arial" w:cs="Arial" w:eastAsia="Arial" w:hAnsi="Arial"/>
                <w:sz w:val="16"/>
                <w:szCs w:val="16"/>
                <w:color w:val="0000FF"/>
                <w:w w:val="93"/>
              </w:rPr>
            </w:pPr>
            <w:hyperlink w:anchor="page52">
              <w:r>
                <w:rPr>
                  <w:rFonts w:ascii="Arial" w:cs="Arial" w:eastAsia="Arial" w:hAnsi="Arial"/>
                  <w:sz w:val="16"/>
                  <w:szCs w:val="16"/>
                  <w:color w:val="0000FF"/>
                  <w:w w:val="93"/>
                </w:rPr>
                <w:t>Certification of the Chief Financial Officer, pursuant to Rule 13a-</w:t>
              </w:r>
            </w:hyperlink>
          </w:p>
        </w:tc>
        <w:tc>
          <w:tcPr>
            <w:tcW w:w="640" w:type="dxa"/>
            <w:vAlign w:val="bottom"/>
            <w:gridSpan w:val="5"/>
          </w:tcPr>
          <w:p>
            <w:pPr>
              <w:spacing w:after="0"/>
              <w:rPr>
                <w:sz w:val="20"/>
                <w:szCs w:val="2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9"/>
          </w:tcPr>
          <w:p>
            <w:pPr>
              <w:spacing w:after="0" w:line="183" w:lineRule="exact"/>
              <w:rPr>
                <w:rFonts w:ascii="Arial" w:cs="Arial" w:eastAsia="Arial" w:hAnsi="Arial"/>
                <w:sz w:val="16"/>
                <w:szCs w:val="16"/>
                <w:color w:val="0000FF"/>
                <w:w w:val="98"/>
              </w:rPr>
            </w:pPr>
            <w:hyperlink w:anchor="page52">
              <w:r>
                <w:rPr>
                  <w:rFonts w:ascii="Arial" w:cs="Arial" w:eastAsia="Arial" w:hAnsi="Arial"/>
                  <w:sz w:val="16"/>
                  <w:szCs w:val="16"/>
                  <w:color w:val="0000FF"/>
                  <w:w w:val="98"/>
                </w:rPr>
                <w:t>14(a)/15d-14(a), as adopted pursuant to Section 302 of the Sarbanes-</w:t>
              </w:r>
            </w:hyperlink>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4"/>
              </w:rPr>
            </w:pPr>
            <w:hyperlink w:anchor="page52">
              <w:r>
                <w:rPr>
                  <w:rFonts w:ascii="Arial" w:cs="Arial" w:eastAsia="Arial" w:hAnsi="Arial"/>
                  <w:sz w:val="16"/>
                  <w:szCs w:val="16"/>
                  <w:color w:val="0000FF"/>
                  <w:w w:val="94"/>
                </w:rPr>
                <w:t>Oxley Act of 2002.</w:t>
              </w:r>
            </w:hyperlink>
          </w:p>
        </w:tc>
        <w:tc>
          <w:tcPr>
            <w:tcW w:w="3200" w:type="dxa"/>
            <w:vAlign w:val="bottom"/>
            <w:tcBorders>
              <w:top w:val="single" w:sz="8" w:color="0000FF"/>
            </w:tcBorders>
            <w:gridSpan w:val="3"/>
          </w:tcPr>
          <w:p>
            <w:pPr>
              <w:spacing w:after="0"/>
              <w:rPr>
                <w:sz w:val="15"/>
                <w:szCs w:val="15"/>
                <w:color w:val="auto"/>
              </w:rPr>
            </w:pPr>
          </w:p>
        </w:tc>
        <w:tc>
          <w:tcPr>
            <w:tcW w:w="440" w:type="dxa"/>
            <w:vAlign w:val="bottom"/>
            <w:gridSpan w:val="4"/>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00" w:type="dxa"/>
            <w:vAlign w:val="bottom"/>
            <w:gridSpan w:val="9"/>
          </w:tcPr>
          <w:p>
            <w:pPr>
              <w:spacing w:after="0"/>
              <w:rPr>
                <w:rFonts w:ascii="Arial" w:cs="Arial" w:eastAsia="Arial" w:hAnsi="Arial"/>
                <w:sz w:val="16"/>
                <w:szCs w:val="16"/>
                <w:color w:val="0000FF"/>
              </w:rPr>
            </w:pPr>
            <w:hyperlink w:anchor="page53">
              <w:r>
                <w:rPr>
                  <w:rFonts w:ascii="Arial" w:cs="Arial" w:eastAsia="Arial" w:hAnsi="Arial"/>
                  <w:sz w:val="16"/>
                  <w:szCs w:val="16"/>
                  <w:color w:val="0000FF"/>
                </w:rPr>
                <w:t>Certification of the Chief Executive Officer, pursuant to 18 U.S.C.</w:t>
              </w:r>
            </w:hyperlink>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9"/>
          </w:tcPr>
          <w:p>
            <w:pPr>
              <w:spacing w:after="0" w:line="183" w:lineRule="exact"/>
              <w:rPr>
                <w:rFonts w:ascii="Arial" w:cs="Arial" w:eastAsia="Arial" w:hAnsi="Arial"/>
                <w:sz w:val="16"/>
                <w:szCs w:val="16"/>
                <w:color w:val="0000FF"/>
                <w:w w:val="94"/>
              </w:rPr>
            </w:pPr>
            <w:hyperlink w:anchor="page53">
              <w:r>
                <w:rPr>
                  <w:rFonts w:ascii="Arial" w:cs="Arial" w:eastAsia="Arial" w:hAnsi="Arial"/>
                  <w:sz w:val="16"/>
                  <w:szCs w:val="16"/>
                  <w:color w:val="0000FF"/>
                  <w:w w:val="94"/>
                </w:rPr>
                <w:t>Section 1350, as adopted pursuant to Section 906 of the Sarbanes-Oxley</w:t>
              </w:r>
            </w:hyperlink>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93"/>
              </w:rPr>
            </w:pPr>
            <w:hyperlink w:anchor="page53">
              <w:r>
                <w:rPr>
                  <w:rFonts w:ascii="Arial" w:cs="Arial" w:eastAsia="Arial" w:hAnsi="Arial"/>
                  <w:sz w:val="16"/>
                  <w:szCs w:val="16"/>
                  <w:color w:val="0000FF"/>
                  <w:w w:val="93"/>
                </w:rPr>
                <w:t>Act of 2002.</w:t>
              </w:r>
            </w:hyperlink>
          </w:p>
        </w:tc>
        <w:tc>
          <w:tcPr>
            <w:tcW w:w="3860" w:type="dxa"/>
            <w:vAlign w:val="bottom"/>
            <w:tcBorders>
              <w:top w:val="single" w:sz="8" w:color="0000FF"/>
            </w:tcBorders>
            <w:gridSpan w:val="5"/>
          </w:tcPr>
          <w:p>
            <w:pPr>
              <w:spacing w:after="0"/>
              <w:rPr>
                <w:sz w:val="15"/>
                <w:szCs w:val="15"/>
                <w:color w:val="auto"/>
              </w:rPr>
            </w:pPr>
          </w:p>
        </w:tc>
        <w:tc>
          <w:tcPr>
            <w:tcW w:w="220" w:type="dxa"/>
            <w:vAlign w:val="bottom"/>
            <w:gridSpan w:val="3"/>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00" w:type="dxa"/>
            <w:vAlign w:val="bottom"/>
            <w:gridSpan w:val="9"/>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Certification of the Chief Financial Officer, pursuant to 18 U.S.C.</w:t>
              </w:r>
            </w:hyperlink>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9"/>
          </w:tcPr>
          <w:p>
            <w:pPr>
              <w:spacing w:after="0" w:line="183" w:lineRule="exact"/>
              <w:rPr>
                <w:rFonts w:ascii="Arial" w:cs="Arial" w:eastAsia="Arial" w:hAnsi="Arial"/>
                <w:sz w:val="16"/>
                <w:szCs w:val="16"/>
                <w:color w:val="0000FF"/>
                <w:w w:val="94"/>
              </w:rPr>
            </w:pPr>
            <w:hyperlink w:anchor="page54">
              <w:r>
                <w:rPr>
                  <w:rFonts w:ascii="Arial" w:cs="Arial" w:eastAsia="Arial" w:hAnsi="Arial"/>
                  <w:sz w:val="16"/>
                  <w:szCs w:val="16"/>
                  <w:color w:val="0000FF"/>
                  <w:w w:val="94"/>
                </w:rPr>
                <w:t>Section 1350, as adopted pursuant to Section 906 of the Sarbanes-Oxley</w:t>
              </w:r>
            </w:hyperlink>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93"/>
              </w:rPr>
            </w:pPr>
            <w:hyperlink w:anchor="page54">
              <w:r>
                <w:rPr>
                  <w:rFonts w:ascii="Arial" w:cs="Arial" w:eastAsia="Arial" w:hAnsi="Arial"/>
                  <w:sz w:val="16"/>
                  <w:szCs w:val="16"/>
                  <w:color w:val="0000FF"/>
                  <w:w w:val="93"/>
                </w:rPr>
                <w:t>Act of 2002.</w:t>
              </w:r>
            </w:hyperlink>
          </w:p>
        </w:tc>
        <w:tc>
          <w:tcPr>
            <w:tcW w:w="3860" w:type="dxa"/>
            <w:vAlign w:val="bottom"/>
            <w:tcBorders>
              <w:top w:val="single" w:sz="8" w:color="0000FF"/>
            </w:tcBorders>
            <w:gridSpan w:val="5"/>
          </w:tcPr>
          <w:p>
            <w:pPr>
              <w:spacing w:after="0"/>
              <w:rPr>
                <w:sz w:val="15"/>
                <w:szCs w:val="15"/>
                <w:color w:val="auto"/>
              </w:rPr>
            </w:pPr>
          </w:p>
        </w:tc>
        <w:tc>
          <w:tcPr>
            <w:tcW w:w="220" w:type="dxa"/>
            <w:vAlign w:val="bottom"/>
            <w:gridSpan w:val="3"/>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23"/>
                <w:szCs w:val="23"/>
                <w:color w:val="auto"/>
              </w:rPr>
            </w:pPr>
          </w:p>
        </w:tc>
        <w:tc>
          <w:tcPr>
            <w:tcW w:w="4900" w:type="dxa"/>
            <w:vAlign w:val="bottom"/>
            <w:gridSpan w:val="9"/>
          </w:tcPr>
          <w:p>
            <w:pPr>
              <w:spacing w:after="0"/>
              <w:rPr>
                <w:sz w:val="20"/>
                <w:szCs w:val="20"/>
                <w:color w:val="auto"/>
              </w:rPr>
            </w:pPr>
            <w:r>
              <w:rPr>
                <w:rFonts w:ascii="Arial" w:cs="Arial" w:eastAsia="Arial" w:hAnsi="Arial"/>
                <w:sz w:val="16"/>
                <w:szCs w:val="16"/>
                <w:color w:val="auto"/>
              </w:rPr>
              <w:t>Inline XBRL Instance Document - the instance document does not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gridSpan w:val="9"/>
          </w:tcPr>
          <w:p>
            <w:pPr>
              <w:spacing w:after="0"/>
              <w:rPr>
                <w:sz w:val="20"/>
                <w:szCs w:val="20"/>
                <w:color w:val="auto"/>
              </w:rPr>
            </w:pPr>
            <w:r>
              <w:rPr>
                <w:rFonts w:ascii="Arial" w:cs="Arial" w:eastAsia="Arial" w:hAnsi="Arial"/>
                <w:sz w:val="16"/>
                <w:szCs w:val="16"/>
                <w:color w:val="auto"/>
                <w:w w:val="94"/>
              </w:rPr>
              <w:t>appear in the Interactive Data File because its XBRL tags are embedded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gridSpan w:val="9"/>
          </w:tcPr>
          <w:p>
            <w:pPr>
              <w:spacing w:after="0"/>
              <w:rPr>
                <w:sz w:val="20"/>
                <w:szCs w:val="20"/>
                <w:color w:val="auto"/>
              </w:rPr>
            </w:pPr>
            <w:r>
              <w:rPr>
                <w:rFonts w:ascii="Arial" w:cs="Arial" w:eastAsia="Arial" w:hAnsi="Arial"/>
                <w:sz w:val="16"/>
                <w:szCs w:val="16"/>
                <w:color w:val="auto"/>
              </w:rPr>
              <w:t>within the Inline XBRL document.</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22"/>
                <w:szCs w:val="22"/>
                <w:color w:val="auto"/>
              </w:rPr>
            </w:pPr>
          </w:p>
        </w:tc>
        <w:tc>
          <w:tcPr>
            <w:tcW w:w="490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Document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23"/>
                <w:szCs w:val="23"/>
                <w:color w:val="auto"/>
              </w:rPr>
            </w:pPr>
          </w:p>
        </w:tc>
        <w:tc>
          <w:tcPr>
            <w:tcW w:w="4900" w:type="dxa"/>
            <w:vAlign w:val="bottom"/>
            <w:gridSpan w:val="9"/>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23"/>
                <w:szCs w:val="23"/>
                <w:color w:val="auto"/>
              </w:rPr>
            </w:pPr>
          </w:p>
        </w:tc>
        <w:tc>
          <w:tcPr>
            <w:tcW w:w="4900" w:type="dxa"/>
            <w:vAlign w:val="bottom"/>
            <w:gridSpan w:val="9"/>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3"/>
                <w:szCs w:val="23"/>
                <w:color w:val="auto"/>
              </w:rPr>
            </w:pPr>
          </w:p>
        </w:tc>
        <w:tc>
          <w:tcPr>
            <w:tcW w:w="4900" w:type="dxa"/>
            <w:vAlign w:val="bottom"/>
            <w:gridSpan w:val="9"/>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23"/>
                <w:szCs w:val="23"/>
                <w:color w:val="auto"/>
              </w:rPr>
            </w:pPr>
          </w:p>
        </w:tc>
        <w:tc>
          <w:tcPr>
            <w:tcW w:w="4900" w:type="dxa"/>
            <w:vAlign w:val="bottom"/>
            <w:gridSpan w:val="9"/>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60" w:type="dxa"/>
            <w:vAlign w:val="bottom"/>
          </w:tcPr>
          <w:p>
            <w:pPr>
              <w:ind w:left="4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900" w:type="dxa"/>
            <w:vAlign w:val="bottom"/>
            <w:gridSpan w:val="9"/>
          </w:tcPr>
          <w:p>
            <w:pPr>
              <w:spacing w:after="0"/>
              <w:rPr>
                <w:sz w:val="20"/>
                <w:szCs w:val="20"/>
                <w:color w:val="auto"/>
              </w:rPr>
            </w:pPr>
            <w:r>
              <w:rPr>
                <w:rFonts w:ascii="Arial" w:cs="Arial" w:eastAsia="Arial" w:hAnsi="Arial"/>
                <w:sz w:val="16"/>
                <w:szCs w:val="16"/>
                <w:color w:val="auto"/>
              </w:rPr>
              <w:t>Cover Page Interactive Data File (formatted as inline XBRL and</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gridSpan w:val="9"/>
          </w:tcPr>
          <w:p>
            <w:pPr>
              <w:spacing w:after="0"/>
              <w:rPr>
                <w:sz w:val="20"/>
                <w:szCs w:val="20"/>
                <w:color w:val="auto"/>
              </w:rPr>
            </w:pPr>
            <w:r>
              <w:rPr>
                <w:rFonts w:ascii="Arial" w:cs="Arial" w:eastAsia="Arial" w:hAnsi="Arial"/>
                <w:sz w:val="16"/>
                <w:szCs w:val="16"/>
                <w:color w:val="auto"/>
              </w:rPr>
              <w:t>contained in Exhibit 101)</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1260" w:val="left"/>
          <w:tab w:leader="none" w:pos="7900" w:val="left"/>
          <w:tab w:leader="none" w:pos="8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30, 2020</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27469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31750</wp:posOffset>
            </wp:positionV>
            <wp:extent cx="14998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57"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320" w:top="125" w:right="37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340" w:right="264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340" w:right="400" w:hanging="332"/>
        <w:spacing w:after="0" w:line="29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2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660" w:right="860" w:hanging="328"/>
        <w:spacing w:after="0" w:line="316"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340" w:right="320" w:hanging="332"/>
        <w:spacing w:after="0" w:line="29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8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1620" w:val="left"/>
          <w:tab w:leader="none" w:pos="7040" w:val="left"/>
          <w:tab w:leader="none" w:pos="8480" w:val="left"/>
          <w:tab w:leader="none" w:pos="8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31750</wp:posOffset>
            </wp:positionV>
            <wp:extent cx="24085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4085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31750</wp:posOffset>
            </wp:positionV>
            <wp:extent cx="12001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57" w:lineRule="exact"/>
        <w:rPr>
          <w:sz w:val="20"/>
          <w:szCs w:val="20"/>
          <w:color w:val="auto"/>
        </w:rPr>
      </w:pPr>
    </w:p>
    <w:p>
      <w:pPr>
        <w:jc w:val="center"/>
        <w:ind w:left="742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4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553"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340" w:right="264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340" w:right="400" w:hanging="332"/>
        <w:spacing w:after="0" w:line="29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2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660" w:right="860" w:hanging="328"/>
        <w:spacing w:after="0" w:line="316"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340" w:right="320" w:hanging="332"/>
        <w:spacing w:after="0" w:line="29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8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1620" w:val="left"/>
          <w:tab w:leader="none" w:pos="7040" w:val="left"/>
          <w:tab w:leader="none" w:pos="8480" w:val="left"/>
          <w:tab w:leader="none" w:pos="8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D.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31750</wp:posOffset>
            </wp:positionV>
            <wp:extent cx="24085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4085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31750</wp:posOffset>
            </wp:positionV>
            <wp:extent cx="1200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57"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40"/>
          </w:cols>
          <w:pgMar w:left="320" w:top="553"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26" w:lineRule="exact"/>
        <w:rPr>
          <w:sz w:val="20"/>
          <w:szCs w:val="20"/>
          <w:color w:val="auto"/>
        </w:rPr>
      </w:pPr>
    </w:p>
    <w:p>
      <w:pPr>
        <w:ind w:right="220" w:firstLine="486"/>
        <w:spacing w:after="0" w:line="286" w:lineRule="auto"/>
        <w:rPr>
          <w:sz w:val="20"/>
          <w:szCs w:val="20"/>
          <w:color w:val="auto"/>
        </w:rPr>
      </w:pPr>
      <w:r>
        <w:rPr>
          <w:rFonts w:ascii="Arial" w:cs="Arial" w:eastAsia="Arial" w:hAnsi="Arial"/>
          <w:sz w:val="17"/>
          <w:szCs w:val="17"/>
          <w:color w:val="auto"/>
        </w:rPr>
        <w:t>In connection with the Quarterly Report of Huron Consulting Group Inc. (the "Company") on Form 10-Q for the quarter ended June 30, 2020 as filed with the Securities and Exchange Commission on the date hereof (the "Report"), I, James H. Roth, Chief Executive Officer of the Company, hereby certify, pursuant to 18 U.S.C. Section 1350, as adopted pursuant to Section 906 of the Sarbanes-Oxley Act of 2002, that:</w:t>
      </w:r>
    </w:p>
    <w:p>
      <w:pPr>
        <w:spacing w:after="0" w:line="111"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620" w:val="left"/>
          <w:tab w:leader="none" w:pos="7020" w:val="left"/>
          <w:tab w:leader="none" w:pos="8560" w:val="left"/>
          <w:tab w:leader="none" w:pos="8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H. R</w:t>
      </w:r>
      <w:r>
        <w:rPr>
          <w:rFonts w:ascii="Arial" w:cs="Arial" w:eastAsia="Arial" w:hAnsi="Arial"/>
          <w:sz w:val="13"/>
          <w:szCs w:val="13"/>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31750</wp:posOffset>
            </wp:positionV>
            <wp:extent cx="24174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241744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084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57" w:lineRule="exact"/>
        <w:rPr>
          <w:sz w:val="20"/>
          <w:szCs w:val="20"/>
          <w:color w:val="auto"/>
        </w:rPr>
      </w:pPr>
    </w:p>
    <w:p>
      <w:pPr>
        <w:jc w:val="center"/>
        <w:ind w:left="742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42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82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240"/>
          </w:cols>
          <w:pgMar w:left="320" w:top="553"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26"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June 30, 2020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133"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620" w:val="left"/>
          <w:tab w:leader="none" w:pos="7040" w:val="left"/>
          <w:tab w:leader="none" w:pos="8580" w:val="left"/>
          <w:tab w:leader="none" w:pos="8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31750</wp:posOffset>
            </wp:positionV>
            <wp:extent cx="24085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240855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084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57"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Chief Financial Officer and Treasurer</w:t>
      </w:r>
    </w:p>
    <w:p>
      <w:pPr>
        <w:spacing w:after="0" w:line="184"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82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26" Type="http://schemas.openxmlformats.org/officeDocument/2006/relationships/hyperlink" Target="http://www.sec.gov/Archives/edgar/data/1289848/000119312520086543/d867233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2020-07-31T05:29:47Z</dcterms:created>
  <dcterms:modified xsi:type="dcterms:W3CDTF">2020-07-31T05:29:47Z</dcterms:modified>
</cp:coreProperties>
</file>