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469265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x ANNUAL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2015</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 TRANSITION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000-50976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1820" w:type="dxa"/>
        <w:tblCellMar>
          <w:top w:w="0" w:type="dxa"/>
          <w:left w:w="0" w:type="dxa"/>
          <w:bottom w:w="0" w:type="dxa"/>
          <w:right w:w="0" w:type="dxa"/>
        </w:tblCellMar>
      </w:tblPr>
      <w:tr>
        <w:trPr>
          <w:trHeight w:val="221"/>
        </w:trPr>
        <w:tc>
          <w:tcPr>
            <w:tcW w:w="4060" w:type="dxa"/>
            <w:vAlign w:val="bottom"/>
          </w:tcPr>
          <w:p>
            <w:pPr>
              <w:jc w:val="center"/>
              <w:ind w:right="2016"/>
              <w:spacing w:after="0"/>
              <w:rPr>
                <w:sz w:val="20"/>
                <w:szCs w:val="20"/>
                <w:color w:val="auto"/>
              </w:rPr>
            </w:pPr>
            <w:r>
              <w:rPr>
                <w:rFonts w:ascii="Arial" w:cs="Arial" w:eastAsia="Arial" w:hAnsi="Arial"/>
                <w:sz w:val="18"/>
                <w:szCs w:val="18"/>
                <w:color w:val="auto"/>
                <w:w w:val="89"/>
              </w:rPr>
              <w:t>Delaware</w:t>
            </w:r>
          </w:p>
        </w:tc>
        <w:tc>
          <w:tcPr>
            <w:tcW w:w="3580" w:type="dxa"/>
            <w:vAlign w:val="bottom"/>
          </w:tcPr>
          <w:p>
            <w:pPr>
              <w:jc w:val="center"/>
              <w:ind w:left="2016"/>
              <w:spacing w:after="0"/>
              <w:rPr>
                <w:sz w:val="20"/>
                <w:szCs w:val="20"/>
                <w:color w:val="auto"/>
              </w:rPr>
            </w:pPr>
            <w:r>
              <w:rPr>
                <w:rFonts w:ascii="Arial" w:cs="Arial" w:eastAsia="Arial" w:hAnsi="Arial"/>
                <w:sz w:val="18"/>
                <w:szCs w:val="18"/>
                <w:color w:val="auto"/>
                <w:w w:val="91"/>
              </w:rPr>
              <w:t>01-0666114</w:t>
            </w:r>
          </w:p>
        </w:tc>
      </w:tr>
      <w:tr>
        <w:trPr>
          <w:trHeight w:val="203"/>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3"/>
              </w:rPr>
              <w:t>(State or other jurisdiction of</w:t>
            </w:r>
          </w:p>
        </w:tc>
        <w:tc>
          <w:tcPr>
            <w:tcW w:w="3580" w:type="dxa"/>
            <w:vAlign w:val="bottom"/>
          </w:tcPr>
          <w:p>
            <w:pPr>
              <w:jc w:val="center"/>
              <w:ind w:left="2016"/>
              <w:spacing w:after="0"/>
              <w:rPr>
                <w:sz w:val="20"/>
                <w:szCs w:val="20"/>
                <w:color w:val="auto"/>
              </w:rPr>
            </w:pPr>
            <w:r>
              <w:rPr>
                <w:rFonts w:ascii="Arial" w:cs="Arial" w:eastAsia="Arial" w:hAnsi="Arial"/>
                <w:sz w:val="16"/>
                <w:szCs w:val="16"/>
                <w:color w:val="auto"/>
                <w:w w:val="95"/>
              </w:rPr>
              <w:t>(I.R.S. Employer</w:t>
            </w:r>
          </w:p>
        </w:tc>
      </w:tr>
      <w:tr>
        <w:trPr>
          <w:trHeight w:val="206"/>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left="1996"/>
              <w:spacing w:after="0"/>
              <w:rPr>
                <w:sz w:val="20"/>
                <w:szCs w:val="20"/>
                <w:color w:val="auto"/>
              </w:rPr>
            </w:pPr>
            <w:r>
              <w:rPr>
                <w:rFonts w:ascii="Arial" w:cs="Arial" w:eastAsia="Arial" w:hAnsi="Arial"/>
                <w:sz w:val="16"/>
                <w:szCs w:val="16"/>
                <w:color w:val="auto"/>
                <w:w w:val="95"/>
              </w:rPr>
              <w:t>Identification Number)</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550 West Van Buren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Chicago, Illinois 60607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(312) 583-8700</w:t>
      </w:r>
    </w:p>
    <w:p>
      <w:pPr>
        <w:spacing w:after="0" w:line="41"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(Registrant’s telephone number, including area code)</w:t>
      </w:r>
    </w:p>
    <w:p>
      <w:pPr>
        <w:spacing w:after="0" w:line="28"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5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gridSpan w:val="2"/>
          </w:tcPr>
          <w:p>
            <w:pPr>
              <w:spacing w:after="0"/>
              <w:rPr>
                <w:sz w:val="2"/>
                <w:szCs w:val="2"/>
                <w:color w:val="auto"/>
              </w:rPr>
            </w:pPr>
          </w:p>
        </w:tc>
      </w:tr>
      <w:tr>
        <w:trPr>
          <w:trHeight w:val="237"/>
        </w:trPr>
        <w:tc>
          <w:tcPr>
            <w:tcW w:w="6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Common Stock, par value $0.01 per share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70"/>
        </w:trPr>
        <w:tc>
          <w:tcPr>
            <w:tcW w:w="9140" w:type="dxa"/>
            <w:vAlign w:val="bottom"/>
            <w:gridSpan w:val="3"/>
          </w:tcPr>
          <w:p>
            <w:pPr>
              <w:ind w:left="32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260" w:type="dxa"/>
            <w:vAlign w:val="bottom"/>
          </w:tcPr>
          <w:p>
            <w:pPr>
              <w:spacing w:after="0"/>
              <w:rPr>
                <w:sz w:val="23"/>
                <w:szCs w:val="23"/>
                <w:color w:val="auto"/>
              </w:rPr>
            </w:pPr>
          </w:p>
        </w:tc>
      </w:tr>
      <w:tr>
        <w:trPr>
          <w:trHeight w:val="243"/>
        </w:trPr>
        <w:tc>
          <w:tcPr>
            <w:tcW w:w="9140" w:type="dxa"/>
            <w:vAlign w:val="bottom"/>
            <w:gridSpan w:val="3"/>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 Yes x</w:t>
            </w:r>
          </w:p>
        </w:tc>
        <w:tc>
          <w:tcPr>
            <w:tcW w:w="2260" w:type="dxa"/>
            <w:vAlign w:val="bottom"/>
          </w:tcPr>
          <w:p>
            <w:pPr>
              <w:ind w:left="20"/>
              <w:spacing w:after="0"/>
              <w:rPr>
                <w:sz w:val="20"/>
                <w:szCs w:val="20"/>
                <w:color w:val="auto"/>
              </w:rPr>
            </w:pPr>
            <w:r>
              <w:rPr>
                <w:rFonts w:ascii="Arial" w:cs="Arial" w:eastAsia="Arial" w:hAnsi="Arial"/>
                <w:sz w:val="18"/>
                <w:szCs w:val="18"/>
                <w:color w:val="auto"/>
              </w:rPr>
              <w:t>No o</w:t>
            </w:r>
          </w:p>
        </w:tc>
      </w:tr>
      <w:tr>
        <w:trPr>
          <w:trHeight w:val="243"/>
        </w:trPr>
        <w:tc>
          <w:tcPr>
            <w:tcW w:w="914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2260" w:type="dxa"/>
            <w:vAlign w:val="bottom"/>
          </w:tcPr>
          <w:p>
            <w:pPr>
              <w:ind w:left="180"/>
              <w:spacing w:after="0"/>
              <w:rPr>
                <w:sz w:val="20"/>
                <w:szCs w:val="20"/>
                <w:color w:val="auto"/>
              </w:rPr>
            </w:pPr>
            <w:r>
              <w:rPr>
                <w:rFonts w:ascii="Arial" w:cs="Arial" w:eastAsia="Arial" w:hAnsi="Arial"/>
                <w:sz w:val="18"/>
                <w:szCs w:val="18"/>
                <w:color w:val="auto"/>
              </w:rPr>
              <w:t>No x</w:t>
            </w:r>
          </w:p>
        </w:tc>
      </w:tr>
    </w:tbl>
    <w:p>
      <w:pPr>
        <w:spacing w:after="0" w:line="13" w:lineRule="exact"/>
        <w:rPr>
          <w:sz w:val="24"/>
          <w:szCs w:val="24"/>
          <w:color w:val="auto"/>
        </w:rPr>
      </w:pPr>
    </w:p>
    <w:p>
      <w:pPr>
        <w:ind w:right="460"/>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 w:lineRule="exact"/>
        <w:rPr>
          <w:sz w:val="24"/>
          <w:szCs w:val="24"/>
          <w:color w:val="auto"/>
        </w:rPr>
      </w:pPr>
    </w:p>
    <w:p>
      <w:pPr>
        <w:jc w:val="both"/>
        <w:ind w:right="40"/>
        <w:spacing w:after="0" w:line="26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x No o</w:t>
      </w:r>
    </w:p>
    <w:p>
      <w:pPr>
        <w:spacing w:after="0" w:line="3"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3"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0" w:lineRule="exact"/>
        <w:rPr>
          <w:sz w:val="24"/>
          <w:szCs w:val="24"/>
          <w:color w:val="auto"/>
        </w:rPr>
      </w:pPr>
    </w:p>
    <w:p>
      <w:pPr>
        <w:ind w:right="880" w:firstLine="27"/>
        <w:spacing w:after="0" w:line="297" w:lineRule="auto"/>
        <w:rPr>
          <w:sz w:val="20"/>
          <w:szCs w:val="20"/>
          <w:color w:val="auto"/>
        </w:rPr>
      </w:pPr>
      <w:r>
        <w:rPr>
          <w:rFonts w:ascii="Arial" w:cs="Arial" w:eastAsia="Arial" w:hAnsi="Arial"/>
          <w:sz w:val="18"/>
          <w:szCs w:val="18"/>
          <w:color w:val="auto"/>
        </w:rPr>
        <w:t>Large accelerated filer x Accelerated filer o Non-accelerated filer o Smaller reporting company o Indicate by check mark whether the registrant is a shell company (as defined in Rule 12b-2 of the Exchange Act). Yes o No x</w:t>
      </w:r>
    </w:p>
    <w:p>
      <w:pPr>
        <w:spacing w:after="0" w:line="1"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color w:val="auto"/>
        </w:rPr>
        <w:t>The aggregate market value of the registrant’s common stock held by non-affiliates as of June 30, 2015 (the last business day of the registrant’s most recently completed second fiscal quarter) was approximately $1,579,300,000.</w:t>
      </w:r>
    </w:p>
    <w:p>
      <w:pPr>
        <w:spacing w:after="0"/>
        <w:rPr>
          <w:sz w:val="20"/>
          <w:szCs w:val="20"/>
          <w:color w:val="auto"/>
        </w:rPr>
      </w:pPr>
      <w:r>
        <w:rPr>
          <w:rFonts w:ascii="Arial" w:cs="Arial" w:eastAsia="Arial" w:hAnsi="Arial"/>
          <w:sz w:val="18"/>
          <w:szCs w:val="18"/>
          <w:color w:val="auto"/>
        </w:rPr>
        <w:t>As of February 16, 2016, 21,554,771 shares of the registrant’s common stock, par value $0.01 per share, were outstanding.</w:t>
      </w:r>
    </w:p>
    <w:p>
      <w:pPr>
        <w:spacing w:after="0" w:line="36"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Documents Incorporated By Reference</w:t>
      </w:r>
    </w:p>
    <w:p>
      <w:pPr>
        <w:spacing w:after="0" w:line="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60"/>
              <w:spacing w:after="0"/>
              <w:rPr>
                <w:sz w:val="20"/>
                <w:szCs w:val="20"/>
                <w:color w:val="auto"/>
              </w:rPr>
            </w:pPr>
            <w:r>
              <w:rPr>
                <w:rFonts w:ascii="Arial" w:cs="Arial" w:eastAsia="Arial" w:hAnsi="Arial"/>
                <w:sz w:val="20"/>
                <w:szCs w:val="20"/>
                <w:color w:val="auto"/>
                <w:w w:val="94"/>
              </w:rPr>
              <w:t>HURON CONSULTING GROUP INC.</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20"/>
                <w:szCs w:val="20"/>
                <w:color w:val="auto"/>
                <w:w w:val="95"/>
              </w:rPr>
              <w:t>ANNUAL REPORT ON FORM 10-K</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80"/>
              <w:spacing w:after="0"/>
              <w:rPr>
                <w:sz w:val="20"/>
                <w:szCs w:val="20"/>
                <w:color w:val="auto"/>
              </w:rPr>
            </w:pPr>
            <w:r>
              <w:rPr>
                <w:rFonts w:ascii="Arial" w:cs="Arial" w:eastAsia="Arial" w:hAnsi="Arial"/>
                <w:sz w:val="20"/>
                <w:szCs w:val="20"/>
                <w:color w:val="auto"/>
                <w:w w:val="94"/>
              </w:rPr>
              <w:t>FOR FISCAL YEAR ENDED DECEMBER 31, 2015</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Arial" w:cs="Arial" w:eastAsia="Arial" w:hAnsi="Arial"/>
                <w:sz w:val="20"/>
                <w:szCs w:val="20"/>
                <w:color w:val="auto"/>
                <w:w w:val="94"/>
              </w:rPr>
              <w:t>TABLE OF CONTENTS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5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72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17"/>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160" w:type="dxa"/>
            <w:vAlign w:val="bottom"/>
            <w:gridSpan w:val="15"/>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7020" w:type="dxa"/>
            <w:vAlign w:val="bottom"/>
            <w:gridSpan w:val="10"/>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16</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2.</w:t>
            </w:r>
          </w:p>
        </w:tc>
        <w:tc>
          <w:tcPr>
            <w:tcW w:w="906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10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3.</w:t>
            </w:r>
          </w:p>
        </w:tc>
        <w:tc>
          <w:tcPr>
            <w:tcW w:w="906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0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4.</w:t>
            </w:r>
          </w:p>
        </w:tc>
        <w:tc>
          <w:tcPr>
            <w:tcW w:w="906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04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5.</w:t>
            </w:r>
          </w:p>
        </w:tc>
        <w:tc>
          <w:tcPr>
            <w:tcW w:w="90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000" w:type="dxa"/>
            <w:vAlign w:val="bottom"/>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4700" w:type="dxa"/>
            <w:vAlign w:val="bottom"/>
            <w:gridSpan w:val="5"/>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8.</w:t>
            </w:r>
          </w:p>
        </w:tc>
        <w:tc>
          <w:tcPr>
            <w:tcW w:w="90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104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w:t>
            </w:r>
          </w:p>
        </w:tc>
        <w:tc>
          <w:tcPr>
            <w:tcW w:w="90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2600" w:type="dxa"/>
            <w:vAlign w:val="bottom"/>
            <w:gridSpan w:val="3"/>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300" w:type="dxa"/>
            <w:vAlign w:val="bottom"/>
            <w:gridSpan w:val="12"/>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37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PART III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10.</w:t>
            </w:r>
          </w:p>
        </w:tc>
        <w:tc>
          <w:tcPr>
            <w:tcW w:w="906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104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12.</w:t>
            </w:r>
          </w:p>
        </w:tc>
        <w:tc>
          <w:tcPr>
            <w:tcW w:w="906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3620" w:type="dxa"/>
            <w:vAlign w:val="bottom"/>
            <w:gridSpan w:val="4"/>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372"/>
        </w:trPr>
        <w:tc>
          <w:tcPr>
            <w:tcW w:w="12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15.</w:t>
            </w:r>
          </w:p>
        </w:tc>
        <w:tc>
          <w:tcPr>
            <w:tcW w:w="906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104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16"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Huron is a global professional services firm focused on assisting clients with their most complex business issues by delivering high-value, quality solutions to support their long-term strategic objectives. Huron specializes in serving clients in the healthcare, higher education, life sciences, and commercial sectors as these organizations face significant transformational change and regulatory or economic pressures in dynamic market environments. With its deep industry and technical expertise, Huron provides advisory, consulting, technology, and analytic solutions to deliver sustainable and measurable results.</w:t>
      </w:r>
    </w:p>
    <w:p>
      <w:pPr>
        <w:spacing w:after="0" w:line="10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Since our founding in 2002, we have grown significantly; we have increased the number of full-time employees from 249 in 2002 to 2,671 as of December 31, 2015, through hiring and acquisitions of complementary and strategic businesses. Our recent acquisitions include Studer Group, Rittman Mead India, and Cloud62 in 2015; Threshold Consulting, Vonlay, and The Frankel Group in 2014; and Blue Stone International in 2013.</w:t>
      </w:r>
    </w:p>
    <w:p>
      <w:pPr>
        <w:spacing w:after="0" w:line="111"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We have hired experienced professionals, many of whom are recognized as experts in their fields, from such organizations as the four largest public accounting firms, referred to as the Big Four, and other consulting firms. As of December 31, 2015, we had 124 client-serving managing directors. These individuals have an average of 26 years of business experience.</w:t>
      </w:r>
    </w:p>
    <w:p>
      <w:pPr>
        <w:spacing w:after="0" w:line="12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headquarters are located in Chicago, Illinois; other domestic and international offices include Atlanta, Georgia; Boston, Massachusetts; Buffalo, New York; Dallas, Texas; Detroit, Michigan; Houston, Texas; Madison, Wisconsin; New York City, New York; Pensacola, Florida; Portland, Oregon; San Francisco, California; Washington, D.C.; Bangalore, India; and Toronto, Canada.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Studer Group</w:t>
      </w:r>
    </w:p>
    <w:p>
      <w:pPr>
        <w:spacing w:after="0" w:line="117"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On February 12, 2015, we completed our acquisition of Studer Holdings, Inc. ("Studer Group"), a premier professional services firm that assists healthcare providers achieve cultural transformation to deliver and sustain improvement in clinical outcomes and financial results. The acquisition leverages the Huron Healthcare segment’s performance improvement and clinical transformation capabilities with Studer Group’s Evidence-Based Leadership</w:t>
      </w:r>
      <w:r>
        <w:rPr>
          <w:rFonts w:ascii="Arial" w:cs="Arial" w:eastAsia="Arial" w:hAnsi="Arial"/>
          <w:sz w:val="21"/>
          <w:szCs w:val="21"/>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 We completed the acquisition in exchange for consideration with a fair value of approximately $325.2 million, consisting of $323.2 million in cash and $2.2 million in Huron common stock, less the receipt of a net working capital adjustment payment of $0.2 million. The results of operations of Studer Group have been included in our consolidated financial statements and the segment operating results of Huron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Healthcare from the date of acquisition. See Note 4 “Acquisitions” within our consolidated financial statements for further information regarding the Studer Group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Rittman Mead India</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Effective July 1, 2015, we completed our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The results of operations of Rittman Mead India have been included in our consolidated financial statements and the segment operating results of Huron Business Advisory from the date of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Cloud62</w:t>
      </w:r>
    </w:p>
    <w:p>
      <w:pPr>
        <w:spacing w:after="0" w:line="11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October 1, 2015, we completed our acquisition of Cloud62, Inc., a Buffalo, New York-based provider of business consulting services specializing in Salesforce.com implementations and related cloud-based applications. The results of operations of Cloud62 have been included in our consolidated financial statements and the segment operating results of Huron Business Advisory from the date of acquisition.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"Acquisitions" within our consolidated financial statements for further information regarding our recent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Huron Legal</w:t>
      </w:r>
    </w:p>
    <w:p>
      <w:pPr>
        <w:spacing w:after="0" w:line="117"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On December 31, 2015, we completed our divestiture of the Huron Legal segment to Consilio, Inc. for net proceeds of $110.1 million. Huron Legal provides eDiscovery services, consulting services and contract management services related to law department management, information governance and compliance, legal discovery, litigation management, and legal analytics to legal departments, law firms and companies in connection with their eDiscovery, law department operations and contract and litigation management needs. All of the operations of our Huron Legal segment have been reclassified as discontinued operations in our consolidated financial statements for the years ended December 31, 2015, 2014 and 2013 and as of December 31, 2015 and 2014, and unless indicated otherwise, the information included within this Annual Report on Form 10-K relates to our continuing operations. See Note 3 “Discontinued Operations” within our consolidated financial statements for further information regarding the Huron Legal divestiture.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provide professional services through four operating segments: Huron Healthcare, Huron Education and Life Sciences, Huron Business Advisory and All Other. For the year ended December 31, 2015, we derived 64%, 24%, and 12% of our revenues from Huron Healthcare, Huron Education and Life Sciences, and Huron Business Advisory, respectively.</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further financial information on our segment results, see Part II—Item 7. "Management’s Discussion and Analysis of Financial Condition and Results of Operations” and Note 18 “Segment Information” within the notes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right="40" w:hanging="328"/>
        <w:spacing w:after="0" w:line="298"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cycle solutions. </w:t>
      </w:r>
      <w:r>
        <w:rPr>
          <w:rFonts w:ascii="Arial" w:cs="Arial" w:eastAsia="Arial" w:hAnsi="Arial"/>
          <w:sz w:val="16"/>
          <w:szCs w:val="16"/>
          <w:color w:val="auto"/>
        </w:rPr>
        <w:t>Our revenue cycle solutions are designed to optimize performance and deliver sustainable revenue cycle improvement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 predictable revenue stream, while increasing patient, physician, and staff satisfaction. We work with our clients to improve clinical documentation so that it fully and accurately reflects the severity of illness, complexity of care, and resources consumed. Improved physician documentation results in greater coding specificity, improved case mix index, and appropriate reimbursement for utilized resources. Our technology-enabled solutions help clients optimize investments in financial and support systems, and integrate information with work flow to enable high performance organizations.</w:t>
      </w:r>
    </w:p>
    <w:p>
      <w:pPr>
        <w:spacing w:after="0" w:line="100" w:lineRule="exact"/>
        <w:rPr>
          <w:rFonts w:ascii="Arial" w:cs="Arial" w:eastAsia="Arial" w:hAnsi="Arial"/>
          <w:sz w:val="16"/>
          <w:szCs w:val="16"/>
          <w:b w:val="1"/>
          <w:bCs w:val="1"/>
          <w:color w:val="auto"/>
        </w:rPr>
      </w:pPr>
    </w:p>
    <w:p>
      <w:pPr>
        <w:ind w:left="660" w:right="2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Cost and clinical solutions. </w:t>
      </w:r>
      <w:r>
        <w:rPr>
          <w:rFonts w:ascii="Arial" w:cs="Arial" w:eastAsia="Arial" w:hAnsi="Arial"/>
          <w:sz w:val="18"/>
          <w:szCs w:val="18"/>
          <w:color w:val="auto"/>
        </w:rPr>
        <w:t>Our cost and clinical solutions focus on providing a systematic and comprehensive approach to help clients reduce costs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enterprise while optimizing clinical performance, improving quality and outcomes, and achieving staff alignment across the continuum of care. We help clients improve clinical and administrative operations across inpatient, perioperative, emergency, and outpatient settings as well as physician practices through strategic advisory, consulting, and technology-enabled services. We help clients establish operational and data-enabled clinical transformation, scale and integration improvements, and operational excellence. By fully aligning goals and incentives, we help clients drive efficiency and quality across the clinical and administrative enterprises to improve quality outcomes, reduce costs, and improve patient and staff satisfaction.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80" w:hanging="328"/>
        <w:spacing w:after="0" w:line="28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Studer Group. </w:t>
      </w:r>
      <w:r>
        <w:rPr>
          <w:rFonts w:ascii="Arial" w:cs="Arial" w:eastAsia="Arial" w:hAnsi="Arial"/>
          <w:sz w:val="16"/>
          <w:szCs w:val="16"/>
          <w:color w:val="auto"/>
        </w:rPr>
        <w:t>Studer Group</w:t>
      </w:r>
      <w:r>
        <w:rPr>
          <w:rFonts w:ascii="Arial" w:cs="Arial" w:eastAsia="Arial" w:hAnsi="Arial"/>
          <w:sz w:val="19"/>
          <w:szCs w:val="19"/>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works with healthcare organizations primarily in the United States and Canada to build a sustainable culture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promotes accountability and fosters innovation. Through the use of coaching partnerships, software accelerators, and leadership conferences, Studer Group partners with organizations to help them achieve and sustain exceptional improvement in clinical outcomes and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hanging="328"/>
        <w:spacing w:after="0" w:line="29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Higher Education. </w:t>
      </w:r>
      <w:r>
        <w:rPr>
          <w:rFonts w:ascii="Arial" w:cs="Arial" w:eastAsia="Arial" w:hAnsi="Arial"/>
          <w:sz w:val="16"/>
          <w:szCs w:val="16"/>
          <w:color w:val="auto"/>
        </w:rPr>
        <w:t>Our higher education professionals have extensive experience working with colleges and universities on complex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operational, and technology issues. Our strategy and operations solutions assist institutions of higher education align their missions and strategic priorities with their operations to improve quality and reduce costs across the organization. Our strategy and operations solutions include enrollment management, student lifecycle management, financial management, and performance improvement services. To support an institution's technology, data, and analytics strategy, our technology professionals provide services in enterprise systems planning, design and implementation, IT strategy, and governance and research software products and implementation services. Our research solutions, including operational, compliance, and cost reimbursement, assist our clients as they face immense regulatory and cost and reimbursement pressure in their research organizations.</w:t>
      </w:r>
    </w:p>
    <w:p>
      <w:pPr>
        <w:spacing w:after="0" w:line="107" w:lineRule="exact"/>
        <w:rPr>
          <w:rFonts w:ascii="Arial" w:cs="Arial" w:eastAsia="Arial" w:hAnsi="Arial"/>
          <w:sz w:val="16"/>
          <w:szCs w:val="16"/>
          <w:b w:val="1"/>
          <w:bCs w:val="1"/>
          <w:color w:val="auto"/>
        </w:rPr>
      </w:pPr>
    </w:p>
    <w:p>
      <w:pPr>
        <w:ind w:left="660" w:right="160" w:hanging="328"/>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Life Sciences. </w:t>
      </w:r>
      <w:r>
        <w:rPr>
          <w:rFonts w:ascii="Arial" w:cs="Arial" w:eastAsia="Arial" w:hAnsi="Arial"/>
          <w:sz w:val="18"/>
          <w:szCs w:val="18"/>
          <w:color w:val="auto"/>
        </w:rPr>
        <w:t>Our Life Sciences practice brings together a highly skilled team of professionals focused on helping companies, from large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to newly formed biotechs, to drive measurable value and comply with government regulations. We provide clients with integrated solutions across the life sciences value chain in the areas of corporate and financial strategy, compliance and operations, reimbursement and access strategy, commercial segmentation, lifecycle management and R&amp;D and product strategy. We assist companies in complying with government regulations including fair market value analysis, litigation and investigations, and auditing and monitoring. In addition, we advise companies on commercial contracting strategies, government pricing and transparency reporting, data strategy and analytics, and overall business process improvement.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right="20" w:hanging="328"/>
        <w:spacing w:after="0" w:line="25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Advisory. </w:t>
      </w:r>
      <w:r>
        <w:rPr>
          <w:rFonts w:ascii="Arial" w:cs="Arial" w:eastAsia="Arial" w:hAnsi="Arial"/>
          <w:sz w:val="18"/>
          <w:szCs w:val="18"/>
          <w:color w:val="auto"/>
        </w:rPr>
        <w:t>Our Business Advisory practice resolves complex business issues and enhances client enterprise value through a suite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including capital advisory, transaction advisory, operational improvement, restructuring and turnaround, valuation, and dispute advisory. We improve operations or capital structures for businesses performing at less than optimal levels, assess the short-term and long-term prospects of potential acquisition and divestiture opportunities, and provide independent valuation and consulting services to assist clients in making informed decisions for transaction, tax, or litigation purposes. Securities transactions are provided by our registered broker-dealer Huron Transaction Advisory LLC, a member of FINRA.</w:t>
      </w:r>
    </w:p>
    <w:p>
      <w:pPr>
        <w:spacing w:after="0" w:line="133" w:lineRule="exact"/>
        <w:rPr>
          <w:rFonts w:ascii="Arial" w:cs="Arial" w:eastAsia="Arial" w:hAnsi="Arial"/>
          <w:sz w:val="18"/>
          <w:szCs w:val="18"/>
          <w:b w:val="1"/>
          <w:bCs w:val="1"/>
          <w:color w:val="auto"/>
        </w:rPr>
      </w:pPr>
    </w:p>
    <w:p>
      <w:pPr>
        <w:ind w:left="660" w:right="40" w:hanging="328"/>
        <w:spacing w:after="0" w:line="295"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Enterprise Performance Management and Analytics. </w:t>
      </w:r>
      <w:r>
        <w:rPr>
          <w:rFonts w:ascii="Arial" w:cs="Arial" w:eastAsia="Arial" w:hAnsi="Arial"/>
          <w:sz w:val="16"/>
          <w:szCs w:val="16"/>
          <w:color w:val="auto"/>
        </w:rPr>
        <w:t>Our Enterprise Performance Management and Analytics professionals deliver solutions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 Our comprehensive offerings include organizational improvements and technology consulting, leveraging both cloud and on-premise configurations. Huron is a Platinum level member of the Oracle PartnerNetwork (OPN) and a Silver level partner of the Salesforce.com partner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All Other segment consists of any line of business not managed by our other three operating segments. These businesses include our public sector consulting practice and our foreign consulting operations based in the Middle East, both of which we wound down in 2015.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75"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We provide consulting services to a wide variety of both financially sound and distressed organizations, including healthcare organizations, leading academic institutions, Fortune 500 companies, and governmental entities. We have worked with more than 450 health systems, hospitals, and academic medical centers and more than 400 universities and research institutions. In 2015, we served over 800 clients, including over 200 new clients. Our top ten clients represented approximately 29.9%, 31.5%, and 36.7% of our revenues in the years ended December 31, 2015, 2014, and 2013, respectively, with no single client accounting for more than 10% of our revenues during those years.</w:t>
      </w:r>
    </w:p>
    <w:p>
      <w:pPr>
        <w:spacing w:after="0" w:line="11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clients are in a broad array of industries, including healthcare, education, professional services, pharmaceutical, technology, transportation services, telecommunications, financial services, electronics, consumer products, governmental, retail, mining, oil and gas, energy and utilities, and industrial manufacturing.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success depends on our ability to attract, retain, and develop highly talented professionals by creating a work environment where both employees and teams thrive and individuals are rewarded not only for their own contributions but also for the success of our organization as a whole. To accomplish these goals and recognize high performance, we have developed comprehensive employee programs incorporating training and development opportunities, competitive compensation, performance management, benefits and wellness, as well as corporate social responsibility, facilitated through our Huron Helping Hands program and the diversity and inclusion council.</w:t>
      </w:r>
    </w:p>
    <w:p>
      <w:pPr>
        <w:spacing w:after="0" w:line="13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employee population is divided into two groups; client-serving and service and support. As of December 31, 2015, we had 2,671 full-time employees, including 124 client-serving managing directors. Our client-serving employees serve our clients as critical business advisors in support of transforming their business. Our managing directors are the key drivers of our business. They work externally to serve clients as advisors and engagement team leaders, originate revenue by developing new and existing client relationships, and enhance our reputation. Internally they create our intellectual capital and develop our people. Our senior directors, directors, and managers manage day-to-day client relationships and oversee the delivery and quality of our work product. Our associates and analysts gather and organize data, conduct detailed analyses, and prepare presentations that synthesize and distill information to support recommendations we deliver to clients. Our service and support employees include our senior management team as well as professionals who provide sales support, methodology creation, software development, and corporate functions consisting of our facilities, finance and accounting, human resources, information technology, legal, and marketing teams. These employees provide strategic direction and support that enables the success of our client-serving employees. At December 31, 2015, this population contained 18 managing directors, executives, and corporate vice presidents.</w:t>
      </w:r>
    </w:p>
    <w:p>
      <w:pPr>
        <w:spacing w:after="0" w:line="11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to our full-time employees, we engage contractors who supplement our full-time client-serving employees on an as-needed basis by providing highly unique skill sets that are not required to be staffed on a full-time basis.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Supporting our employees’ career progression is critical to our retention success. We provide this support through established training and development programs. We provide structured orientation and training programs for new campus hires and experienced employees to enable a more effective assimilation into the Company. “Milestone” programs are development programs offered to recently promoted employees to support their transition to a new role with greater responsibility. In addition to these milestone programs, we offer a variety of leadership development programs for those we deem capable of taking on broader roles in the organization at the senior director and managing director level. We also provide a variety of continuing education opportunities to all our employees, including formal classroom environments, on-line courses, and webinars to further develop employees’ technical knowledge and ability to work cooperatively and coach others. We encourage our employees to enhance their professional skills through outside courses that certify their technical skills and to pursue certain advanced degrees. Employees are assigned internal performance coaches to help them establish expectations that are reviewed quarterly, including identifying opportunities for professional development, formal training, and technical skill certifications.</w:t>
      </w:r>
    </w:p>
    <w:p>
      <w:pPr>
        <w:spacing w:after="0" w:line="11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compensation philosophy focuses on rewarding and retaining our high performing employees. To accomplish this, we offer employees a competitive base salary, performance incentives, and competitive benefits.</w:t>
      </w:r>
    </w:p>
    <w:p>
      <w:pPr>
        <w:spacing w:after="0" w:line="11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properly recognize and retain our top performers. We take both practice and Company financial performance into consideration in the determination of bonus pool funding. At the practice level, the annual bonus pool is funded based on achievement of its annual financial goals. The board of directors then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enabling us to retain them and continue to provide our clients with exceptional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service. The incentive compensation plan for our named executive officers is funded based on a blend of achievement of financial goals and strategic initiatives.</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the organization. As the key drivers of the organization’s success, their compensation is designed to include equity awards as a core component. The use of equity is intended to encourage retention, align the interests of our managing directors with shareholders, and help managing directors build wealth over their career at Huron through annual grants as well as stock price appreciation.</w:t>
      </w:r>
    </w:p>
    <w:p>
      <w:pPr>
        <w:spacing w:after="0" w:line="1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benefit and wellness programs are designed to be both comprehensive and tailored to our employee population. One specific benefit we have created is a travel reward to recognize the significant travel commitment of our workforce. Our wellness benefits are aimed at supporting our employees in maintaining a healthy lifestyle which is beneficial to the employee and the Company, given the demanding nature of the work. Through these unique benefits, as well as our health and welfare plans, retirement benefits, stock purchase plan, and other standard benefit programs, we provide a core sense of security to our employees.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and inclusion council supports the needs of our growing employee population through employee resource groups and corporate-wide educational efforts to ensure we are fostering a welcoming and nurturing environment for all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business development and marketing activities are aimed at cultivating relationships, driving demand, generating leads and building a strong brand reputation with hospital, health system, and university administrators, and the offices of the C-suite of middle market and large corporate organizations. We believe that excellent service delivery to clients is critical to building and maintaining relationships and our brand reputation, and we emphasize the importance of client service to all of our employees.</w:t>
      </w:r>
    </w:p>
    <w:p>
      <w:pPr>
        <w:spacing w:after="0" w:line="13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Currently, we generate most of our new business opportunities through relationships that our managing directors have with individuals working in hospitals and health systems, academic institutions, and corporations. We also view cross-selling as a key component in building our business. Often, the client relationship of a managing director in one area leads to opportunities in another area. All of our managing directors understand their role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The consulting services industry is extremely competitive, highly fragmented, and subject to rapid change. The industry includes a large number of participants with a variety of skills and industry expertise, including other strategy, business operations, technology,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and technology providers in all of our segments. Our competitors often vary, depending on the particular practice area. We expect to continue to face competition from new entrants.</w:t>
      </w:r>
    </w:p>
    <w:p>
      <w:pPr>
        <w:spacing w:after="0" w:line="10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and the capacity to manage engagements effectively to drive high value to clients. There is also competition on price, although to a lesser extent due to the criticality of the issues that many of our services address. Our competitors may have a greater geographic footprint, a broader international presence, and more resources than we do, but we believe that our industry experience and reputation, ability to deliver meaningful client results, and balanced portfolio of services enable us to compete favorably in the consulting marketplace.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Our Annual Report on Form 10-K, Quarterly Reports on Form 10-Q, Current Reports on Form 8-K, and amendments to those reports filed or furnished pursuant to Section 13(a) or 15(d) of the Exchange Act are available free of charge on our website, </w:t>
      </w:r>
      <w:r>
        <w:rPr>
          <w:rFonts w:ascii="Arial" w:cs="Arial" w:eastAsia="Arial" w:hAnsi="Arial"/>
          <w:sz w:val="17"/>
          <w:szCs w:val="17"/>
          <w:u w:val="single" w:color="auto"/>
          <w:color w:val="auto"/>
        </w:rPr>
        <w:t>www.huronconsultinggroup.com</w:t>
      </w:r>
      <w:r>
        <w:rPr>
          <w:rFonts w:ascii="Arial" w:cs="Arial" w:eastAsia="Arial" w:hAnsi="Arial"/>
          <w:sz w:val="17"/>
          <w:szCs w:val="17"/>
          <w:color w:val="auto"/>
        </w:rPr>
        <w:t>, as soon as reasonably practicable after we electronically file such material with, or furnish it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7"/>
          <w:szCs w:val="17"/>
          <w:u w:val="single" w:color="auto"/>
          <w:color w:val="auto"/>
        </w:rPr>
        <w:t>http://www.sec.gov</w:t>
      </w:r>
      <w:r>
        <w:rPr>
          <w:rFonts w:ascii="Arial" w:cs="Arial" w:eastAsia="Arial" w:hAnsi="Arial"/>
          <w:sz w:val="17"/>
          <w:szCs w:val="17"/>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retain our senior management team and other managing directors would be detrimental to the success of our business.</w:t>
      </w:r>
    </w:p>
    <w:p>
      <w:pPr>
        <w:spacing w:after="0" w:line="18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1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1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25"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management’s time, attention, and resources from managing and marketing our Company;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retain key acquired personnel or existing personnel who may view the acquisition unfavorably;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clients of acquired businesses;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to compensate new employees while they wait for their restrictive covenants with other institutions to expire;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right="6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to improve, coordinate, or integrate managerial, operational, financial, and administrative systems;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assumption of liabilities of an acquired business;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attain the expected synergies with an acquired business;</w:t>
      </w:r>
    </w:p>
    <w:p>
      <w:pPr>
        <w:spacing w:after="0" w:line="171" w:lineRule="exact"/>
        <w:rPr>
          <w:rFonts w:ascii="Arial" w:cs="Arial" w:eastAsia="Arial" w:hAnsi="Arial"/>
          <w:sz w:val="18"/>
          <w:szCs w:val="18"/>
          <w:color w:val="auto"/>
        </w:rPr>
      </w:pPr>
    </w:p>
    <w:p>
      <w:pPr>
        <w:ind w:left="820" w:right="26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usage of earn-outs based on the future performance of our business acquisitions may deter the acquired company from fully integrating into our existing business;</w:t>
      </w:r>
    </w:p>
    <w:p>
      <w:pPr>
        <w:spacing w:after="0" w:line="116" w:lineRule="exact"/>
        <w:rPr>
          <w:rFonts w:ascii="Arial" w:cs="Arial" w:eastAsia="Arial" w:hAnsi="Arial"/>
          <w:sz w:val="18"/>
          <w:szCs w:val="18"/>
          <w:color w:val="auto"/>
        </w:rPr>
      </w:pPr>
    </w:p>
    <w:p>
      <w:pPr>
        <w:ind w:left="820" w:right="20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perception of inequalities if different groups of employees are eligible for different benefits and incentives or are subject to different policies and programs; and</w:t>
      </w:r>
    </w:p>
    <w:p>
      <w:pPr>
        <w:spacing w:after="0" w:line="116" w:lineRule="exact"/>
        <w:rPr>
          <w:rFonts w:ascii="Arial" w:cs="Arial" w:eastAsia="Arial" w:hAnsi="Arial"/>
          <w:sz w:val="18"/>
          <w:szCs w:val="18"/>
          <w:color w:val="auto"/>
        </w:rPr>
      </w:pPr>
    </w:p>
    <w:p>
      <w:pPr>
        <w:ind w:left="820" w:right="50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All of our prior acquisitions were accounted for as purchases, some of which involved purchase prices well in excess of tangible asset values, resulting in the creation of a significant amount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an impairment charge in our statement of operations. If, as a result of acquisitions or otherwise, the amount of intangible assets being amortized increases, so will our amortization charges in future periods.</w:t>
      </w:r>
    </w:p>
    <w:p>
      <w:pPr>
        <w:spacing w:after="0" w:line="1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Also, 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 For example, in connection with the sale of our Huron Legal segment to Consilio, Inc., which was completed on December 31, 2015, we have contractually agreed to indemnify the buyer against certain liabilities. If we fail to successfully address these risks, our ability to compete may be impaired and our results of operations may be adversely affected.</w:t>
      </w:r>
    </w:p>
    <w:p>
      <w:pPr>
        <w:spacing w:after="0" w:line="18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U.S. and global economies;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regulatory and business environment could have on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grown significantly since we commenced operations and have increased the number of our full-time professionals from 249 in 2002 to 2,671 as of December 31, 2015.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93"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integrate, retain, and motivate highly qualified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and maintain adequate utilization and suitable billing rates for our revenue-generating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existing relationships with our clients and identify new clients in need of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resell engagements and secure new engagements every year;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and enhance our brand recognition;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adapt quickly to meet changes in our markets, our business mix, the economic environment, the credit markets, and competitive developments.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could suffer if we are unable to achieve or maintain adequate utilization and suitable billing rates for our consultants.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16"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171" w:lineRule="exact"/>
        <w:rPr>
          <w:rFonts w:ascii="Arial" w:cs="Arial" w:eastAsia="Arial" w:hAnsi="Arial"/>
          <w:sz w:val="18"/>
          <w:szCs w:val="18"/>
          <w:color w:val="auto"/>
        </w:rPr>
      </w:pPr>
    </w:p>
    <w:p>
      <w:pPr>
        <w:ind w:left="820" w:right="560" w:hanging="812"/>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number of clients in the government sector;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6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1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1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Certain of our contracts provide that some portion or all of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9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Other fluctuations in our quarterly results of operations may be due to a number of other factors, some of which are not within our control, including:</w:t>
      </w:r>
    </w:p>
    <w:p>
      <w:pPr>
        <w:spacing w:after="0" w:line="183" w:lineRule="exact"/>
        <w:rPr>
          <w:sz w:val="20"/>
          <w:szCs w:val="20"/>
          <w:color w:val="auto"/>
        </w:rPr>
      </w:pPr>
    </w:p>
    <w:p>
      <w:pPr>
        <w:ind w:left="820" w:right="840" w:hanging="812"/>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other settlement gains or losses.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our performance-based engagements are difficult to predict, and the timing and extent of recovery of our costs is uncertain.</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2015, 2014, and 2013, was 8.7%, 17.2%, and 19.6%,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98"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2015, 2014, and 2013, fixed-fee engagements represented 58.0%, 50.3%, and 48.5% of our revenues, respectively.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A portion of our business, in which we provide implementation and consulting services for third-party software technology, has grown over the last few years. If third-party software technology that is important to our business does not continue to be available or utilized within the marketplace, certain services that we provide to clients may no longer be relevant in the marketplace, which may harm our financial condition and operating results. Our future success depends on our ability to adapt our services and infrastructure while continuing to improve the performance, features, and reliability of our services in response to the evolving demands of the marketplace.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1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2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 Directive on Data Protection.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12"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w:t>
      </w:r>
    </w:p>
    <w:p>
      <w:pPr>
        <w:spacing w:after="0" w:line="1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27" w:lineRule="exact"/>
        <w:rPr>
          <w:sz w:val="20"/>
          <w:szCs w:val="20"/>
          <w:color w:val="auto"/>
        </w:rPr>
      </w:pPr>
    </w:p>
    <w:p>
      <w:pPr>
        <w:ind w:left="5620" w:right="2760" w:hanging="5531"/>
        <w:spacing w:after="0" w:line="559" w:lineRule="auto"/>
        <w:tabs>
          <w:tab w:leader="none" w:pos="8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related to start-up costs, lack of revenue, higher costs due to low utilization, and delays in purchase decisions by prospective clients;</w:t>
      </w:r>
    </w:p>
    <w:p>
      <w:pPr>
        <w:spacing w:after="0" w:line="182" w:lineRule="exact"/>
        <w:rPr>
          <w:rFonts w:ascii="Arial" w:cs="Arial" w:eastAsia="Arial" w:hAnsi="Arial"/>
          <w:sz w:val="17"/>
          <w:szCs w:val="17"/>
          <w:color w:val="auto"/>
        </w:rPr>
      </w:pPr>
    </w:p>
    <w:p>
      <w:pPr>
        <w:ind w:left="820" w:hanging="731"/>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currency fluctuations between the U.S. dollar and foreign currencies, which are harder to predict in the current adverse global economic climate;</w:t>
      </w:r>
    </w:p>
    <w:p>
      <w:pPr>
        <w:spacing w:after="0" w:line="194" w:lineRule="exact"/>
        <w:rPr>
          <w:rFonts w:ascii="Arial" w:cs="Arial" w:eastAsia="Arial" w:hAnsi="Arial"/>
          <w:sz w:val="16"/>
          <w:szCs w:val="16"/>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 failure to comply with applicable regulations could result in regulatory enforcement actions as well as substantial civil and criminal penalties assessed against us and our employees.</w:t>
      </w:r>
    </w:p>
    <w:p>
      <w:pPr>
        <w:spacing w:after="0" w:line="17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2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March 31, 2015, 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20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1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December 31, 2015, we had outstanding indebtedness totaling $312.0 million, including $250 million principal amount of our 1.25% convertible senior notes. Our ability to make scheduled payments of the principal of, to pay interest on,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1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16" w:lineRule="exact"/>
        <w:rPr>
          <w:sz w:val="20"/>
          <w:szCs w:val="20"/>
          <w:color w:val="auto"/>
        </w:rPr>
      </w:pPr>
    </w:p>
    <w:p>
      <w:pPr>
        <w:ind w:left="5620" w:right="2800" w:hanging="5612"/>
        <w:spacing w:after="0" w:line="559" w:lineRule="auto"/>
        <w:tabs>
          <w:tab w:leader="none" w:pos="8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because some of our borrowings are at variable interest rates; 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right="140" w:hanging="81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obtain additional financing and flexibility in planning for, or reacting to, changes in our business and our industry;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or have better access to capital resources; and</w:t>
      </w:r>
    </w:p>
    <w:p>
      <w:pPr>
        <w:spacing w:after="0" w:line="171" w:lineRule="exact"/>
        <w:rPr>
          <w:rFonts w:ascii="Arial" w:cs="Arial" w:eastAsia="Arial" w:hAnsi="Arial"/>
          <w:sz w:val="18"/>
          <w:szCs w:val="18"/>
          <w:color w:val="auto"/>
        </w:rPr>
      </w:pPr>
    </w:p>
    <w:p>
      <w:pPr>
        <w:ind w:left="820" w:right="100" w:hanging="81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9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1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13"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 addition, if the conditional conversion feature of our convertible notes is triggered, even if holders do not elect to convert their convertible notes, we could be required under applicable accounting rules to reclassify all of the outstanding principal of our convertible notes as a current, rather than long-term, liability, which would result in a material reduction of our net working capital.</w:t>
      </w:r>
    </w:p>
    <w:p>
      <w:pPr>
        <w:spacing w:after="0" w:line="20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 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itself could also lead to a default under agreements governing our other indebtedness, which in turn may result in the acceleration of such other indebtedness we may then have outstanding. If the repayment of the other indebtedness were to be accelerated, we may not have sufficient funds to repay that indebtedness and to repurchase our convertible notes or to pay the amount of cash (if any) due upon conversion.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convertible note hedge transactions and the warrant transactions may affect the value of our convertible notes and our common stock.</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3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14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1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may choose to develop new service offerings, open new offices, or eliminate service offerings because of market opportunities or client demands.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57"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lack of market understanding;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w:t>
      </w:r>
    </w:p>
    <w:p>
      <w:pPr>
        <w:spacing w:after="0" w:line="17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7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1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Due to the significant implementation issues arising under these laws, it is unclear what long-term effects they will have on the healthcare industry and in turn on our business, financial condition, and results of operations. Our failure to accurately anticipate the application of these laws and regulations, or our failure to comply with such laws and regulations, could create liability for us, result in adverse publicity and negatively affect our business.</w:t>
      </w:r>
    </w:p>
    <w:p>
      <w:pPr>
        <w:spacing w:after="0" w:line="1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21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1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8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2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a consulting firm, we have derived, and expect to continue to derive, a significant portion of our revenues from a limited number of clients. Our ten largest clients accounted for approximately 29.9%, 31.5%, and 36.7% of our revenues for the years ended December 31, 2015, 2014, and 2013, respectively. No single client accounted for more than 10% of our revenues in 2015, 2014, or 2013.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elect not to approve claims against fees earned by us prior to or after the bankruptcy filing.</w:t>
      </w:r>
    </w:p>
    <w:p>
      <w:pPr>
        <w:spacing w:after="0" w:line="13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7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our clients’ competitors or adversaries. As we adjust the size of our operations and the complement of consulting services, the number of conflict situations may continue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As of December 31, 2015, our principal executive offices in Chicago, Illinois, consisted of approximately 140,000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each of our practices. Additionally, we occupy leased facilities for our other domestic and international offices, including those located in the following cities: Atlanta, Georgia; Boston, Massachusetts; Buffalo, New York; Dallas, Texas; Detroit, Michigan; Houston, Texas; Madison, Wisconsin; New York City, New York; Pensacola, Florida; Portland, Oregon; San Francisco, California; Washington, D.C.; Bangalore, India; and Toronto, Canada. We do not own any real property. We believe that our leased facilities are adequate to meet our current needs and that additional facilities are available for lease to meet future needs.</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Tamalluk Business Development LLC v. Huron Consulting Services LLC (Abu Dhabi Court of First Instance)</w:t>
      </w:r>
    </w:p>
    <w:p>
      <w:pPr>
        <w:spacing w:after="0" w:line="2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alleged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alleged they were entitled to $50 million for damage to reputation and defamation and another $50 million for breach of contract. Huron submitted its written response on September 25, 2013. The response stated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did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On October 13, 2015, the appellate court ruled in Huron's favor and denied Tamalluk's claims for damage to reputation and defamation. Tamalluk did not appeal to the Court of Cassation in the time period prescribed by law, and therefore the litigation is concluded.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Physiotherapy Associates</w:t>
      </w:r>
    </w:p>
    <w:p>
      <w:pPr>
        <w:spacing w:after="0" w:line="2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provided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3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established and funded a Litigation Trust to pursue certain claims on behalf of certain beneficiaries. The Plan disclosed a lengthy list of potential defendants and witnesses regarding these claims, including but not limited to the debtors’ officers, directors, certain employees, former owners, investment bankers, auditors, and various consultants. This list of potential defendants and witnesses included Huron, as well as three of Huron’s current or former employees.</w:t>
      </w:r>
    </w:p>
    <w:p>
      <w:pPr>
        <w:spacing w:after="0" w:line="1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Plan suggested that Huron, among others, was involved in “actively marketing PA” for sale and provided opinions to unnamed parties “defending the quality of PA’s earnings.” While we believe that we have meritorious defenses, to avoid the time and expense of protracted litigation, in September 2015 we reached an agreement with the Litigation Trust to settle the matter for $3.6 million. As a result, in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third quarter of 2015 we increased our accrued liability from $1.3 million to $3.6 million, and increased our insurance receivable from $0.5 million to $2.8 million. The settlement agreement has been finalized and approved by the Bankruptcy Court.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fourth quarter of 2015, we settled two lawsuits brought by Huron, resulting in a gain of $10.0 million being recorded. We collected the $10.0 million in January 2016.</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left="1080" w:right="1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59.27</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59.67</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58.13</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As of February 16, 2016, there were 758 registered holders of record of Huron’s common stock. A number of the Company’s stockholders hold their shares in street name; therefore, the Company believes that there are substantially more beneficial owners of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February 12, 2015, as partial consideration for our acquisition of Studer Group, we issued 28,486 shares of the Company’s common stock, par value $0.01 per share, with an aggregate value of $2.2 million. The issuance was exempt from registration under Section 4(a)(2) of the Securities Act of 1933, as amended, as a transaction by an issuer not involving a public offering.</w:t>
      </w:r>
    </w:p>
    <w:p>
      <w:pPr>
        <w:spacing w:after="0" w:line="12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Stock Ownership Participation Program, 2012 Omnibus Incentive Plan (as amended and restated), and our 2004 Omnibus Stock Plan, which was replaced by the 2012 Omnibus Incentive Plan on a prospective basis, permit the netting of common stock upon vesting of restricted stock awards to satisfy individual tax withholding requirements. During the quarter ended December 31, 2015, we reacquired 33,297 shares of common stock with a weighted average fair market value of $58.87 as a result of such tax withholdings.</w:t>
      </w:r>
    </w:p>
    <w:p>
      <w:pPr>
        <w:spacing w:after="0" w:line="133"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In October 2014, our board of directors authorized a share repurchase program pursuant to which we may, from time to time, repurchase up to $50 million of our common stock through October 31, 2015 (the “October 2014 Share Repurchase Program”). In October</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2015, our board of directors authorized an extension of the October 2014 Share Repurchase Program through October 31, 2016, and in December 2015, our board of directors authorized an increase to the October 2014 Share Repurchase Program to $125 million. The amount and timing of the repurchases will be determined by management and will depend on a variety of factors, including the trading price of our common stock, general market and business conditions, and applicable legal requirements.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w:t>
            </w: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89"/>
              </w:rPr>
              <w:t>Shares Purchased as Part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Be Purchased</w:t>
            </w: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 Price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under the Plans or</w:t>
            </w:r>
          </w:p>
        </w:tc>
      </w:tr>
      <w:tr>
        <w:trPr>
          <w:trHeight w:val="176"/>
        </w:trPr>
        <w:tc>
          <w:tcPr>
            <w:tcW w:w="40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Period</w:t>
            </w:r>
          </w:p>
        </w:tc>
        <w:tc>
          <w:tcPr>
            <w:tcW w:w="1600" w:type="dxa"/>
            <w:vAlign w:val="bottom"/>
            <w:gridSpan w:val="2"/>
          </w:tcPr>
          <w:p>
            <w:pPr>
              <w:jc w:val="center"/>
              <w:ind w:right="120"/>
              <w:spacing w:after="0" w:line="176" w:lineRule="exact"/>
              <w:rPr>
                <w:sz w:val="20"/>
                <w:szCs w:val="20"/>
                <w:color w:val="auto"/>
              </w:rPr>
            </w:pPr>
            <w:r>
              <w:rPr>
                <w:rFonts w:ascii="Arial" w:cs="Arial" w:eastAsia="Arial" w:hAnsi="Arial"/>
                <w:sz w:val="15"/>
                <w:szCs w:val="15"/>
                <w:b w:val="1"/>
                <w:bCs w:val="1"/>
                <w:color w:val="auto"/>
                <w:w w:val="92"/>
              </w:rPr>
              <w:t xml:space="preserve">Shares Purchased </w:t>
            </w:r>
            <w:r>
              <w:rPr>
                <w:rFonts w:ascii="Arial" w:cs="Arial" w:eastAsia="Arial" w:hAnsi="Arial"/>
                <w:sz w:val="20"/>
                <w:szCs w:val="20"/>
                <w:b w:val="1"/>
                <w:bCs w:val="1"/>
                <w:color w:val="auto"/>
                <w:w w:val="92"/>
                <w:vertAlign w:val="superscript"/>
              </w:rPr>
              <w:t>(1)</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Paid Per Share</w:t>
            </w:r>
          </w:p>
        </w:tc>
        <w:tc>
          <w:tcPr>
            <w:tcW w:w="2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59"/>
              <w:spacing w:after="0" w:line="176" w:lineRule="exact"/>
              <w:rPr>
                <w:sz w:val="20"/>
                <w:szCs w:val="20"/>
                <w:color w:val="auto"/>
              </w:rPr>
            </w:pPr>
            <w:r>
              <w:rPr>
                <w:rFonts w:ascii="Arial" w:cs="Arial" w:eastAsia="Arial" w:hAnsi="Arial"/>
                <w:sz w:val="15"/>
                <w:szCs w:val="15"/>
                <w:b w:val="1"/>
                <w:bCs w:val="1"/>
                <w:color w:val="auto"/>
                <w:w w:val="94"/>
              </w:rPr>
              <w:t xml:space="preserve">Programs </w:t>
            </w:r>
            <w:r>
              <w:rPr>
                <w:rFonts w:ascii="Arial" w:cs="Arial" w:eastAsia="Arial" w:hAnsi="Arial"/>
                <w:sz w:val="20"/>
                <w:szCs w:val="20"/>
                <w:b w:val="1"/>
                <w:bCs w:val="1"/>
                <w:color w:val="auto"/>
                <w:w w:val="94"/>
                <w:vertAlign w:val="superscript"/>
              </w:rPr>
              <w:t>(2)</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35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October 1, 2015 – October 31, 2015</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62.53</w:t>
            </w:r>
          </w:p>
        </w:tc>
        <w:tc>
          <w:tcPr>
            <w:tcW w:w="10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36,501,715</w:t>
            </w:r>
          </w:p>
        </w:tc>
      </w:tr>
      <w:tr>
        <w:trPr>
          <w:trHeight w:val="237"/>
        </w:trPr>
        <w:tc>
          <w:tcPr>
            <w:tcW w:w="4060" w:type="dxa"/>
            <w:vAlign w:val="bottom"/>
            <w:gridSpan w:val="3"/>
          </w:tcPr>
          <w:p>
            <w:pPr>
              <w:ind w:left="40"/>
              <w:spacing w:after="0"/>
              <w:rPr>
                <w:sz w:val="20"/>
                <w:szCs w:val="20"/>
                <w:color w:val="auto"/>
              </w:rPr>
            </w:pPr>
            <w:r>
              <w:rPr>
                <w:rFonts w:ascii="Arial" w:cs="Arial" w:eastAsia="Arial" w:hAnsi="Arial"/>
                <w:sz w:val="16"/>
                <w:szCs w:val="16"/>
                <w:color w:val="auto"/>
              </w:rPr>
              <w:t>November 1, 2015 – November 30, 2015</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36,501,715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1, 2015 – December 31, 2015</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399,823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366,601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90,408,840</w:t>
            </w:r>
          </w:p>
        </w:tc>
      </w:tr>
      <w:tr>
        <w:trPr>
          <w:trHeight w:val="244"/>
        </w:trPr>
        <w:tc>
          <w:tcPr>
            <w:tcW w:w="406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399,898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57.62</w:t>
            </w:r>
          </w:p>
        </w:tc>
        <w:tc>
          <w:tcPr>
            <w:tcW w:w="100" w:type="dxa"/>
            <w:vAlign w:val="bottom"/>
          </w:tcPr>
          <w:p>
            <w:pPr>
              <w:spacing w:after="0"/>
              <w:rPr>
                <w:sz w:val="21"/>
                <w:szCs w:val="21"/>
                <w:color w:val="auto"/>
              </w:rPr>
            </w:pPr>
          </w:p>
        </w:tc>
        <w:tc>
          <w:tcPr>
            <w:tcW w:w="2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366,601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80" w:hanging="812"/>
        <w:spacing w:after="0" w:line="274"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shares purchased includes 75 shares in October 2015 and 33,222 shares in December 2015 to satisfy employee tax withholding requirements. These shares do not reduce the repurchase authority under the October 2014 Share Repurchase Program.</w:t>
      </w: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have derived the following selected consolidated financial data as of and for the years ended December 31, 2011 through 2015 from our consolidated financial statements. The following data reflects the business acquisitions that we have completed through December 31, 2015. The results of operations for acquired businesses have been included in our results of operations since the date of their acquisitions. The following data also reflects the classification of discontinued operations as of December 31, 2015. Amounts previously reported on our Consolidated Statements of Operations and Consolidated Balance Sheets for the years 2011 through 2014 have been reclassified to adhere to the discontinued operations presentation. See Note 3 "Discontinued Operations" within the notes to our consolidated financial statements for additional information on our discontinued operations.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ectPr>
          <w:pgSz w:w="11900" w:h="16838" w:orient="portrait"/>
          <w:cols w:equalWidth="0" w:num="1">
            <w:col w:w="11420"/>
          </w:cols>
          <w:pgMar w:left="240" w:top="125" w:right="239" w:bottom="1440" w:gutter="0" w:footer="0" w:header="0"/>
        </w:sectPr>
      </w:pPr>
    </w:p>
    <w:p>
      <w:pPr>
        <w:spacing w:after="0" w:line="180" w:lineRule="exact"/>
        <w:rPr>
          <w:sz w:val="20"/>
          <w:szCs w:val="20"/>
          <w:color w:val="auto"/>
        </w:rPr>
      </w:pPr>
    </w:p>
    <w:p>
      <w:pPr>
        <w:ind w:left="40" w:right="1300"/>
        <w:spacing w:after="0" w:line="317" w:lineRule="auto"/>
        <w:rPr>
          <w:sz w:val="20"/>
          <w:szCs w:val="20"/>
          <w:color w:val="auto"/>
        </w:rPr>
      </w:pPr>
      <w:r>
        <w:rPr>
          <w:rFonts w:ascii="Arial" w:cs="Arial" w:eastAsia="Arial" w:hAnsi="Arial"/>
          <w:sz w:val="16"/>
          <w:szCs w:val="16"/>
          <w:color w:val="auto"/>
        </w:rPr>
        <w:t xml:space="preserve">Consolidated Statements of Operations Data </w:t>
      </w:r>
      <w:r>
        <w:rPr>
          <w:rFonts w:ascii="Arial" w:cs="Arial" w:eastAsia="Arial" w:hAnsi="Arial"/>
          <w:sz w:val="16"/>
          <w:szCs w:val="16"/>
          <w:u w:val="single" w:color="auto"/>
          <w:color w:val="auto"/>
        </w:rPr>
        <w:t>(in thousands, except per share data):</w:t>
      </w:r>
    </w:p>
    <w:p>
      <w:pPr>
        <w:ind w:left="40"/>
        <w:spacing w:after="0"/>
        <w:rPr>
          <w:sz w:val="20"/>
          <w:szCs w:val="20"/>
          <w:color w:val="auto"/>
        </w:rPr>
      </w:pPr>
      <w:r>
        <w:rPr>
          <w:rFonts w:ascii="Arial" w:cs="Arial" w:eastAsia="Arial" w:hAnsi="Arial"/>
          <w:sz w:val="18"/>
          <w:szCs w:val="18"/>
          <w:color w:val="auto"/>
        </w:rPr>
        <w:t>Revenues and reimbursable expenses: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Reimbursable expenses</w:t>
      </w:r>
    </w:p>
    <w:p>
      <w:pPr>
        <w:spacing w:after="0" w:line="63" w:lineRule="exact"/>
        <w:rPr>
          <w:sz w:val="20"/>
          <w:szCs w:val="20"/>
          <w:color w:val="auto"/>
        </w:rPr>
      </w:pPr>
    </w:p>
    <w:p>
      <w:pPr>
        <w:jc w:val="right"/>
        <w:ind w:right="1120"/>
        <w:spacing w:after="0"/>
        <w:rPr>
          <w:sz w:val="20"/>
          <w:szCs w:val="20"/>
          <w:color w:val="auto"/>
        </w:rPr>
      </w:pPr>
      <w:r>
        <w:rPr>
          <w:rFonts w:ascii="Arial" w:cs="Arial" w:eastAsia="Arial" w:hAnsi="Arial"/>
          <w:sz w:val="17"/>
          <w:szCs w:val="17"/>
          <w:color w:val="auto"/>
        </w:rPr>
        <w:t>Total revenues and reimbursable expenses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699,010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627,686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538,128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441,043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433,959</w:t>
            </w:r>
          </w:p>
        </w:tc>
      </w:tr>
      <w:tr>
        <w:trPr>
          <w:trHeight w:val="270"/>
        </w:trPr>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70,013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73,847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64,623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52,354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48,959</w:t>
            </w:r>
          </w:p>
        </w:tc>
      </w:tr>
      <w:tr>
        <w:trPr>
          <w:trHeight w:val="27"/>
        </w:trPr>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769,023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701,533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602,751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493,397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-505460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-162560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540" w:space="720"/>
            <w:col w:w="61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Direct costs and reimbursable expenses (exclusive of depreciation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401,915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384,277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323,398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261,092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259,284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9"/>
              </w:rPr>
              <w:t>Amortization of intangible assets and software development costs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5,349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49,070</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488,635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462,722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390,723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317,087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313,703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and other operating gains: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157,902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132,799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105,642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Restatement related expenses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4,579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and other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25,135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13,019</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21,973</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operating expenses and other operating gains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150,471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122,129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137,331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150,107</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83,777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79,051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66,433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20,519</w:t>
            </w: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7"/>
            <w:vMerge w:val="restart"/>
          </w:tcPr>
          <w:p>
            <w:pPr>
              <w:jc w:val="center"/>
              <w:ind w:left="39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60" w:type="dxa"/>
            <w:vAlign w:val="bottom"/>
            <w:gridSpan w:val="5"/>
            <w:vMerge w:val="restart"/>
          </w:tcPr>
          <w:p>
            <w:pPr>
              <w:ind w:left="40"/>
              <w:spacing w:after="0"/>
              <w:rPr>
                <w:sz w:val="20"/>
                <w:szCs w:val="20"/>
                <w:color w:val="auto"/>
              </w:rPr>
            </w:pPr>
            <w:r>
              <w:rPr>
                <w:rFonts w:ascii="Arial" w:cs="Arial" w:eastAsia="Arial" w:hAnsi="Arial"/>
                <w:sz w:val="18"/>
                <w:szCs w:val="18"/>
                <w:color w:val="auto"/>
              </w:rPr>
              <w:t>Consolidated Statements of Operations Data</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7"/>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gridSpan w:val="5"/>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(in thousands, except per share data):</w:t>
            </w:r>
          </w:p>
        </w:tc>
        <w:tc>
          <w:tcPr>
            <w:tcW w:w="28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60" w:type="dxa"/>
            <w:vAlign w:val="bottom"/>
            <w:gridSpan w:val="5"/>
            <w:vMerge w:val="restart"/>
          </w:tcPr>
          <w:p>
            <w:pPr>
              <w:ind w:left="40"/>
              <w:spacing w:after="0"/>
              <w:rPr>
                <w:sz w:val="20"/>
                <w:szCs w:val="20"/>
                <w:color w:val="auto"/>
              </w:rPr>
            </w:pPr>
            <w:r>
              <w:rPr>
                <w:rFonts w:ascii="Arial" w:cs="Arial" w:eastAsia="Arial" w:hAnsi="Arial"/>
                <w:sz w:val="18"/>
                <w:szCs w:val="18"/>
                <w:color w:val="auto"/>
              </w:rPr>
              <w:t>Net earnings per basic share:</w:t>
            </w: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6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4"/>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Net earnings per diluted share: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4"/>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w w:val="93"/>
              </w:rPr>
              <w:t>Weighted average shares used in calculating net earnings per share: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4"/>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22,777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8"/>
              </w:rPr>
              <w:t>As of December 31,</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Consolidated Balance Sheet Data (in thousands):</w:t>
            </w:r>
          </w:p>
        </w:tc>
        <w:tc>
          <w:tcPr>
            <w:tcW w:w="28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98,168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309,783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83,647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1,164,160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1,155,914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885,600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786,644</w:t>
            </w:r>
          </w:p>
        </w:tc>
        <w:tc>
          <w:tcPr>
            <w:tcW w:w="0" w:type="dxa"/>
            <w:vAlign w:val="bottom"/>
          </w:tcPr>
          <w:p>
            <w:pPr>
              <w:spacing w:after="0"/>
              <w:rPr>
                <w:sz w:val="1"/>
                <w:szCs w:val="1"/>
                <w:color w:val="auto"/>
              </w:rPr>
            </w:pPr>
          </w:p>
        </w:tc>
      </w:tr>
      <w:tr>
        <w:trPr>
          <w:trHeight w:val="270"/>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1"/>
                <w:szCs w:val="21"/>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311,993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327,852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143,798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192,500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193,500</w:t>
            </w:r>
          </w:p>
        </w:tc>
        <w:tc>
          <w:tcPr>
            <w:tcW w:w="0" w:type="dxa"/>
            <w:vAlign w:val="bottom"/>
          </w:tcPr>
          <w:p>
            <w:pPr>
              <w:spacing w:after="0"/>
              <w:rPr>
                <w:sz w:val="1"/>
                <w:szCs w:val="1"/>
                <w:color w:val="auto"/>
              </w:rPr>
            </w:pPr>
          </w:p>
        </w:tc>
      </w:tr>
      <w:tr>
        <w:trPr>
          <w:trHeight w:val="270"/>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652,325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530,264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445,321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396,789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100" w:hanging="812"/>
        <w:spacing w:after="0" w:line="256"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Intangible assets amortization relating to customer contracts, certain client relationships, and software and amortization of software development costs are presented as a component of total direct costs. Depreciation and intangible assets amortization not classified as direct costs are presented as a component of operating expenses.</w:t>
      </w: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bank borrowings, convertible senior notes, and capital lease obligations, net of current portions.</w:t>
      </w:r>
    </w:p>
    <w:p>
      <w:pPr>
        <w:spacing w:after="0" w:line="9" w:lineRule="exact"/>
        <w:rPr>
          <w:rFonts w:ascii="Arial" w:cs="Arial" w:eastAsia="Arial" w:hAnsi="Arial"/>
          <w:sz w:val="18"/>
          <w:szCs w:val="18"/>
          <w:color w:val="auto"/>
        </w:rPr>
      </w:pPr>
    </w:p>
    <w:p>
      <w:pPr>
        <w:ind w:left="820" w:right="500" w:hanging="812"/>
        <w:spacing w:after="0" w:line="261"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under Part II— Item 6. "Selected Financial Data,” and our historical audited Consolidated Financial Statements and related notes appearing under Part II—Item 8. "Financial Statements and Supplementary Data.” The following discussion and analysis of our financial condition and results of operations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are a global professional services firm focused on assisting clients with their most complex business issues by delivering high-value, quality solutions to support their long-term strategic objectives. Huron specializes in serving clients in the healthcare, higher education, life sciences, and commercial sectors as these organizations face significant transformational change and regulatory or economic pressures in dynamic market environments. With its deep industry and technical expertise, Huron provides advisory, consulting, technology, and analytic solutions to deliver sustainable and measurable results.</w:t>
      </w:r>
    </w:p>
    <w:p>
      <w:pPr>
        <w:spacing w:after="0" w:line="10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provide our services and manage our business under four operating segments: Huron Healthcare, Huron Education and Life Sciences, Huron Business Advisory, and All Other. See Part I—Item 1. "Business—Overview—Our Services” and Note 18 “Segment Information” within the notes to our consolidated financial statements for a detailed discussion of our four segments.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December 31, 2015, we completed our divestiture of the Huron Legal segment. See Note 3 "Discontinued Operations" under Part II—Item 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for information on our discontinued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 professionals include specialized finance and operational consultants, our cultural transformation consultants from our Studer Group solution, which include coaches and their support staff,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3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Fixed-fee engagements represented 58.0%, 50.3% and 48.5% of our revenues for the years ended December 31, 2015, 2014, and 2013, respectively.</w:t>
      </w:r>
    </w:p>
    <w:p>
      <w:pPr>
        <w:spacing w:after="0" w:line="19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billing arrangements as the related services or publications are provided. Time-and-expense engagements represented 28.7%, 28.3%, and 27.7% of our revenues in 2015, 2014, and 2013, respectively.</w:t>
      </w:r>
    </w:p>
    <w:p>
      <w:pPr>
        <w:spacing w:after="0" w:line="10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8.7%, 17.2%, and 19.6% of our revenues in 2015, 2014, and 2013, respectively. Performance-based fee engagements may cause significant variations in quarterly revenues and operating results depending on the timing of achieving the performance-based criteria.</w:t>
      </w:r>
    </w:p>
    <w:p>
      <w:pPr>
        <w:spacing w:after="0" w:line="11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4.6%, 4.2%, and 4.2% of our revenues in 2015, 2014, and 2013, respectively.</w:t>
      </w:r>
    </w:p>
    <w:p>
      <w:pPr>
        <w:spacing w:after="0" w:line="10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4"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those subcontractors who are billed to our clients at cost. We manage our business on the basis of revenues before reimbursable expenses. We believe this is the most accurate reflection of our services because it eliminates the effect of reimbursable expenses that we bill to our clients at cost.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most significant expenses are costs classified as total direct costs. These total direct costs primarily include salaries, performance bonuses, payroll taxes, and benefits for revenue-generating professionals, as well as technology costs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graded vesting attribution method or the straight-line attribution method, as appropriate, over the requisite service period, which is generally three to four years. As a result of the granting of restricted stock awards, performance-based share awards, and anticipated future awards, share-based compensation expense may increase in the future. Total direct costs also include amortization of intangible assets primarily relating to customer contracts, certain customer relationships, and technology and software, as well as internally developed software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operating expenses include selling, general and administrative expenses, which consist primarily of salaries, performance bonuses, payroll taxes, benefits, and share-based compensation for our support personnel. As a result of the granting of restricted stock awards and performance-based share awards and anticipated future awards, share-based compensation expense may increase in the future. Also included in this category are sales and marketing related expenses, rent and other office related expenses, professional fees, recruiting and training expenses, restructuring charges, and litigation and other gains and losses. Other operating expenses include depreciation and certain amortization expenses not included in total direct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corporate costs related to administrative functions that are performed in a centralized manner that are not attributable to a particular segment. These administrative function costs include corporate office support costs,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 All of the results of operations for the Huron Legal segment have been reclassified as discontinued operations for the periods presented. See Note 3 "Discontinued Operations" within the notes to our consolidated financial statements for additional information on the Huron Legal divestiture.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7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446,887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415,803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358,766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141,870</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167,933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145,962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143,609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35,966</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82,968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62,840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699,010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627,686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538,128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73,847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64,623</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769,023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701,533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602,751</w:t>
            </w:r>
          </w:p>
        </w:tc>
        <w:tc>
          <w:tcPr>
            <w:tcW w:w="0" w:type="dxa"/>
            <w:vAlign w:val="bottom"/>
          </w:tcPr>
          <w:p>
            <w:pPr>
              <w:spacing w:after="0"/>
              <w:rPr>
                <w:sz w:val="1"/>
                <w:szCs w:val="1"/>
                <w:color w:val="auto"/>
              </w:rPr>
            </w:pPr>
          </w:p>
        </w:tc>
      </w:tr>
      <w:tr>
        <w:trPr>
          <w:trHeight w:val="67"/>
        </w:trPr>
        <w:tc>
          <w:tcPr>
            <w:tcW w:w="7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231,321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206,715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183,791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Other operating expenses and gains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102,924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83,169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103,498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88,340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89,899</w:t>
            </w:r>
          </w:p>
        </w:tc>
        <w:tc>
          <w:tcPr>
            <w:tcW w:w="0" w:type="dxa"/>
            <w:vAlign w:val="bottom"/>
          </w:tcPr>
          <w:p>
            <w:pPr>
              <w:spacing w:after="0"/>
              <w:rPr>
                <w:sz w:val="1"/>
                <w:szCs w:val="1"/>
                <w:color w:val="auto"/>
              </w:rPr>
            </w:pPr>
          </w:p>
        </w:tc>
      </w:tr>
      <w:tr>
        <w:trPr>
          <w:trHeight w:val="67"/>
        </w:trPr>
        <w:tc>
          <w:tcPr>
            <w:tcW w:w="7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Huron Education and Life Sciences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722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Huron Business Advisory</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0"/>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Huron Education and Life Sciences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0"/>
        </w:trPr>
        <w:tc>
          <w:tcPr>
            <w:tcW w:w="7220" w:type="dxa"/>
            <w:vAlign w:val="bottom"/>
          </w:tcPr>
          <w:p>
            <w:pPr>
              <w:ind w:left="40"/>
              <w:spacing w:after="0"/>
              <w:rPr>
                <w:sz w:val="20"/>
                <w:szCs w:val="20"/>
                <w:color w:val="auto"/>
              </w:rPr>
            </w:pPr>
            <w:r>
              <w:rPr>
                <w:rFonts w:ascii="Arial" w:cs="Arial" w:eastAsia="Arial" w:hAnsi="Arial"/>
                <w:sz w:val="18"/>
                <w:szCs w:val="18"/>
                <w:color w:val="auto"/>
              </w:rPr>
              <w:t xml:space="preserve">Huron Business Advisory </w:t>
            </w:r>
            <w:r>
              <w:rPr>
                <w:rFonts w:ascii="Arial" w:cs="Arial" w:eastAsia="Arial" w:hAnsi="Arial"/>
                <w:sz w:val="21"/>
                <w:szCs w:val="21"/>
                <w:color w:val="auto"/>
                <w:vertAlign w:val="superscript"/>
              </w:rPr>
              <w:t>(4)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7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5" w:right="239" w:bottom="3"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Operating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Huron Business Advisory</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(5)</w:t>
            </w: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Huron Education and Life Sciences</w:t>
            </w: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Huron Business Advisory</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7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23"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540" w:right="220" w:hanging="532"/>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540" w:right="60" w:hanging="532"/>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Huron Business Advisory segment includes the operations of Rittman Mead India, a business we acquired effective July 1, 2015. Absent the impact of Rittman Mead India, the average billing rate per hour for Huron Business Advisory for the year ended December 31, 2015 would have been $256.</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consultants who work variable schedules as needed by our clients, including full-time employees who provide software support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-1367155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maintenance services to our clients, and cultural transformation consultants within our Studer Group solution, which include coaches and their support staff.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699,010</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627,686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538,128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61,895</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47,002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33,059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41,923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103,282</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Litigation and other gains,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139,274</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110,602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97,712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EBITDA as a percentage of revenues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tax (benefit) expense related to “check-the-box” elections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67,551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56,117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50,595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Litigation and other gains, net: </w:t>
      </w:r>
      <w:r>
        <w:rPr>
          <w:rFonts w:ascii="Arial" w:cs="Arial" w:eastAsia="Arial" w:hAnsi="Arial"/>
          <w:sz w:val="18"/>
          <w:szCs w:val="18"/>
          <w:color w:val="auto"/>
        </w:rPr>
        <w:t>We have excluded the effects of the net litigation gain and remeasurement gain related to a contingent acquisition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2015, the remeasurement gain related to a contingent acquisition liability recorded in 2014, and the net litigation gains recorded in 2013 to permit comparability with periods that were not impacted by these items.</w:t>
      </w:r>
    </w:p>
    <w:p>
      <w:pPr>
        <w:spacing w:after="0" w:line="12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 $250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principal amount of 1.25% convertible senior notes due 2019 (the “Convertible Notes”) that we issued in September 2014.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 from continuing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ectPr>
          <w:pgSz w:w="11900" w:h="16838" w:orient="portrait"/>
          <w:cols w:equalWidth="0" w:num="1">
            <w:col w:w="11420"/>
          </w:cols>
          <w:pgMar w:left="240" w:top="125" w:right="2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i w:val="1"/>
          <w:iCs w:val="1"/>
          <w:color w:val="auto"/>
        </w:rPr>
        <w:t xml:space="preserve">Net tax (benefit) expense related to “check-the-box” elections: </w:t>
      </w:r>
      <w:r>
        <w:rPr>
          <w:rFonts w:ascii="Arial" w:cs="Arial" w:eastAsia="Arial" w:hAnsi="Arial"/>
          <w:sz w:val="16"/>
          <w:szCs w:val="16"/>
          <w:color w:val="auto"/>
        </w:rPr>
        <w:t>We have excluded the effects of our “check-the-box” elections to treat two of our wholly-owned foreign subsidiaries in the fourth quarter of 2015 and one of our wholly-owned foreign subsidiaries in the first quarter of 2014 as disregarded entities for U.S. federal income tax purposes because their exclusion permits comparability with periods that were not impacted by this item.</w:t>
      </w:r>
    </w:p>
    <w:p>
      <w:pPr>
        <w:spacing w:after="0" w:line="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200" w:lineRule="exact"/>
        <w:rPr>
          <w:sz w:val="20"/>
          <w:szCs w:val="20"/>
          <w:color w:val="auto"/>
        </w:rPr>
      </w:pPr>
    </w:p>
    <w:p>
      <w:pPr>
        <w:spacing w:after="0" w:line="220"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2015 Compared to Year Ended December 31, 2014 Revenues</w:t>
      </w:r>
    </w:p>
    <w:p>
      <w:pPr>
        <w:spacing w:after="0" w:line="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Revenues increased $71.3 million, or 11.4%, to $699.0 million for the year ended December 31, 2015, from $627.7 million for the year ended December 31, 2014. Revenues for 2015 included $81.5 million from our acquisitions of Studer Group, Cloud62, and Rittman Mead India, which were completed in 2015, and $11.5 million of incremental revenues due to the full year impact in 2015 of our acquisitions of Vonlay and Threshold Consulting, which were completed in 2014.</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Of the overall $71.3 million increase in revenues, $79.4 million was attributable to an increase in revenue generated by our full-time equivalents, partially offset by an $8.1 million decrease in revenue from our full-time billable consultants.</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increase in revenue attributable to full-time equivalents primarily reflected the revenue generated by our healthcare coaches in the Huron Healthcare segment, which was the result of our acquisition of Studer Group during the first quarter of 2015.</w:t>
      </w:r>
    </w:p>
    <w:p>
      <w:pPr>
        <w:spacing w:after="0" w:line="11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decrease in full-time billable consultant revenues reflected a decrease in the average billing rate, partially offset by increases in the average number of billable consultants and consultant utilization rate. As discussed below in Segment Results, this decrease in revenue was primarily the result of lower revenues from full-time billable consultants in our Huron Healthcare segment, which was largely driven by lower performance-based fees, a decrease in revenue in our performance improvement solutions, and project timing, all compared to the prior year, partially offset by strengthened demand for our services in the Huron Education and Life Sciences and Huron Business Advisory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Our total direct costs increased $29.8 million, or 7.7%, to $418.7 million for the year ended December 31, 2015 from $388.9 million for the year ended December 31, 2014. Total direct costs for the year ended December 31, 2015 included $43.0 million from Studer Group. The overall increase primarily related to a $39.0 million increase in salaries and related expenses for our revenue-generating professionals, a $12.1 million increase in intangible asset amortization expense, and a $3.6 million increase in product and event costs, partially offset by a $23.7 million decrease in bonus expense for our revenue-generating professionals and a $3.3 million decrease in contractor expense during 2015 compared to 2014.</w:t>
      </w:r>
    </w:p>
    <w:p>
      <w:pPr>
        <w:spacing w:after="0" w:line="11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a percentage of revenues, our total direct costs decreased to 59.9% during 2015 compared to 62.0% during 2014, and primarily reflected the decrease in bonus expense for our revenue-generating professionals and the decrease in contractor expense. These decreases were partially offset by increases, as a percentage of revenues, in intangible asset amortization expense, salaries and related expenses for our revenue-generating professionals, and product and event costs, all of which were largely driven by the acquisition of Studer Group during 2015.</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Total direct costs for the year ended December 31, 2015 included $15.6 million of share-based compensation expense for our revenue-generating professionals compared to $14.0 million in 2014.</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Total direct costs for the year ended December 31, 2015 also included $16.8 million of amortization expense for intangible assets, primarily representing customer-related assets and software acquired in business combinations, and software development costs, compared to $4.6 million of amortization expense in 2014. The $12.2 million increase in amortization expense was primarily attributable to $13.9 million of amortization expense for intangible assets acquired in the Studer Group acquisition, partially offset by other intangible assets that became fully amortized during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Selling, general and administrative expenses increased $25.1 million, or 18.9%, to $157.9 million for the year ended December 31, 2015, compared to $132.8 million for the year ended December 31, 2014. Selling, general and administrative expenses for the year ended December 31, 2015 included $23.2 million from Studer Group. This overall increase was primarily related to a $12.4 million increase in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salaries and related expenses for our support personnel, a $3.1 million increase in facilities and other office related expenses, a $1.8 million increase in bonus expense, a $1.1 million increase in promotion and sponsorship expenses, and a $0.9 million increase in outside professional services expenses. As a percentage of revenues, selling, general and administrative expenses increased to 22.6% during 2015 compared to 21.2% during 2014, primarily due to the items described above. Also included in selling, general and administrative expenses is share-based compensation expense for our non-revenue-generating professionals, which totaled $3.6 million in 2015, compared to $4.7 million in 2014.</w:t>
      </w:r>
    </w:p>
    <w:p>
      <w:pPr>
        <w:spacing w:after="0" w:line="11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Restructuring charges for the year ended December 31, 2015 totaled $3.3 million, compared to $2.8 million for the year ended December 31, 2014. The charges in 2015 consisted of $2.8 million related to workforce reductions to better align our resources with market demand and $0.5 million related to office exit costs primarily related to updated assumptions for the lease accrual of the Washington, D.C. space vacated in the fourth quarter of 2014. Of the $3.3 million pretax charge, $1.2 million related to our Huron Healthcare segment, $1.1 million related to our All Other segment as we wound down our public sector consulting practice and our foreign consulting operations based in the Middle East, and $1.0 million related to our corporate operations. The $2.8 million charge in 2014 related to the consolidation of office spaces in Washington, D.C., Chicago, and New York, and the closure of our office in San Diego. The $2.8 million charge for office space reductions primarily includes $1.8 million related to the accrual of our remaining lease obligations at vacated spaces, net of estimated sublease income, and $0.9 million related to accelerated depreciation of assets disposed of as a result of the exit of space. The vacated locations in Chicago and New York were acquired as part of business acquisitions during 2013 and 2014. The $2.8 million total charge in 2014 related to our corporate operations. See Note 10 “Restructuring Charges” within the notes to our consolidated financial statements for further discussion of our restructuring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Litigation and other gains totaled $9.5 million for the year ended December 31, 2015, compared to $0.6 million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2014. The gain of $9.5 million in 2015 consisted of a $9.2 million net gain from litigation settlements and a $0.3 million remeasurement gain related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in the fair value of a contingent consideration liability incurred in connection with a business acquisition that was completed in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During the fourth quarter of 2015, we settled two lawsuits brought by Huron, resulting in a gain of $10.0 million being recorded. We collected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January 2016. During the second quarter of 2015, we recorded a net litigation accrual of $0.8 million related to the Physiotherapy Associates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 which is discussed in more detail in Note 17 "Commitments, Contingencies and Guarantees" within the notes to the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we recorded remeasurement gains totaling $0.6 million related to a decrease in the fair value of a contingent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liability incurred in connection with another business acquisition that was completed in the first quarter of 2014.</w:t>
      </w:r>
    </w:p>
    <w:p>
      <w:pPr>
        <w:spacing w:after="0" w:line="1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Depreciation and amortization expense increased $9.7 million, or 62.7%, to $25.1 million for the year ended December 31, 2015, from $15.5 million for the year ended December 31, 2014. The increase was primarily attributable to $7.3 million of amortization expense for intangible assets acquired in the Studer Group acquisition and $1.2 million of depreciation expense for fixed assets acquired in the Studer Group acquisition. Intangible asset amortization included within operating expenses relates to certain customer relationships, non-competition agreements, and trade names acquired in connection with our business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Operating income increased $15.2 million, or 17.2%, to $103.5 million for the year ended December 31, 2015, from $88.3 million for the year ended December 31, 2014. Operating margin, which is defined as operating income expressed as a percentage of revenues, increased to 14.8% in 2015 compared to 14.1% in 2014. The increase in operating margin was primarily attributable to the decrease in bonus expense for our revenue-generating professionals and the increase in litigation and other gains, largely offset by the increases, as a percentage of revenues, in intangible asset amortization expense and salaries and related expenses for both our revenue-generating professionals and support personnel.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Other expense, net increased $11.7 million to $19.9 million for the year ended December 31, 2015, from $8.3 million for the year ended December 31, 2014. The increase was primarily attributable to a $9.5 million increase in interest expense, net and a $1.5 million increase in foreign currency transaction losses. The increase in interest expense, net was due to our Convertible Notes issued in September 2014 and interest expense resulting from higher levels of borrowings under our credit facility. During 2015, cash interest expense related to the coupon of the Convertible Notes was $3.1 million and the non-cash interest expense related to the amortization of the debt discount and debt issuance costs totaled $8.3 million. During 2014, cash interest expense related to the coupon of the Convertible Notes was $1.0 million and the non-cash interest expense related to the amortization of the debt discount and debt issuance costs totaled $2.5 million. For the year ending December 31, 2016, we expect interest expense related to the coupon of the Convertible Notes to be $3.1 million and interest expense for the amortization of debt discount and debt issuance costs related to the Convertible Notes to be $8.7 million.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For the year ended December 31, 2015, we recognized income tax expense from continuing operations of $21.7 million on income from continuing operations of $83.6 million, for an effective tax rate of 25.9%. For the year ended December 31, 2014, we recognized income tax expense from continuing operations of $33.1 million on income from continuing operations of $80.1 million, for an effective tax rate of 41.3%. Our effective tax rate for 2015 was lower than the statutory rate, inclusive of state income taxes, primarily due to the impact of a tax election made in the fourth quarter of 2015 to classify two of our wholly-owned foreign subsidiaries as disregarded entities for U.S. federal income tax purposes (commonly referred to as a “check-the-box” election). As a result of this election, we expect to realize an income tax benefit of $13.0 million, of which $0.7 million is unrecognized, resulting in a net recognized tax benefit of $12.3 million. Our effective tax rate for 2014 was higher than the statutory rate, inclusive of state income taxes, primarily due to an increase in valuation allowance and foreign source losses with no tax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Net income from continuing operations was $61.9 million for the year ended December 31, 2015, compared to $47.0 million for the year ended December 31, 2014. The $14.9 million increase in net income from continuing operations was primarily due to the increase in operating income, as well as the decrease in income tax expense due to our check-the-box election, partially offset by the increase in interest expense, as discussed above. As a result of the increase in net income from continuing operations, diluted earnings per share from continuing operations for the year ended December 31, 2015 was $2.74 compared to $2.05 for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Net loss from discontinued operations was $2.8 million for the year ended December 31, 2015, compared to net income from discontinued operations of $32.0 million for the year ended December 31, 2014. See Note 3 "Discontinued Operations" within the notes to our consolidated financial statements for additional information about our discontinued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EBITDA increased $37.0 million, or 34.2%, to $145.4 million for the year ended December 31, 2015, from $108.4 million for the year ended December 31, 2014. Adjusted EBITDA increased $28.7 million, or 25.9%, to $139.3 million in 2015 from $110.6 million in 2014. The increase in EBITDA was primarily due to the increase in segment operating income, exclusive of the increase in amortization expense, as discussed below in Segment Results. The increase in Adjusted EBITDA was primarily due to the increase in segment operating income, exclusive of the increase in amortization expense, partially offset by an increase in corporate expenses, exclusive of litigation and other gains.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Adjusted net income from continuing operations increased $11.4 million, or 20.4%, to $67.6 million for the year ended December 31, 2015, compared to $56.1 million for the year ended December 31, 2014. The increase was primarily attributable to the increase in segment operating income, exclusive of the increase in amortization expense, partially offset by an increase in corporate expenses and interest and other expenses, exclusive of litigation and other gains. As a result of the increase in adjusted net income from continuing operations, adjusted diluted earnings per share from continuing operations for 2015 was $2.99, compared to $2.45 for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Huron Healthcare segment revenues increased $31.1 million, or 7.5%, to $446.9 million for the year ended December 31, 2015, from $415.8 million for the year ended December 31, 2014. Revenues for 2015 included $79.8 million from our acquisition of Studer Group completed in 2015, and $10.7 million of incremental revenues due to the full year impact in 2015 of our acquisition of Vonlay completed in 2014. Revenues for 2015 were negatively impacted by a $0.8 million charge related to the fair value adjustment of deferred revenue acquired in the Studer Group acquisition. We do not expect to incur any additional charges related to this adjustment as the $0.8 million charge reflects the total fair value adjustment.</w:t>
      </w:r>
    </w:p>
    <w:p>
      <w:pPr>
        <w:spacing w:after="0" w:line="11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2015, revenues from fixed-fee engagements, time-and-expense engagements, performance-based arrangements, and software support and maintenance arrangements represented 75.7%, 7.2%, 11.7%, and 5.4% of this segment’s revenues, respectively, compared to 65.0%, 5.4%, 24.8%, and 4.8%, respectively, in 2014.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Of the overall $31.1 million increase in revenues, $80.0 million was attributable to an increase in revenue from our full-time equivalents, partially offset by a $48.9 million decrease in revenue attributable to our full-time billable consultants.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increase in revenue attributable to our full-time equivalents reflected increases in both the average number of full-time equivalents and revenue per full-time equivalent in 2015 compared to 2014, and is primarily the result of our Studer Group acquisition.</w:t>
      </w:r>
    </w:p>
    <w:p>
      <w:pPr>
        <w:spacing w:after="0" w:line="11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decrease in revenue attributable to our full-time billable consultants reflected decreases in the average billing rate and consultant utilization rate, partially offset by an increase in the average number of full-time billable consultants. This decrease in revenue was largely driven by lower performance-based fees, a decrease in revenue in our performance improvement solutions, and project timing, all compared to the prior year. Performance-based fee revenue was $52.3 million during 2015 compared to $103.2 million during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Huron Healthcare segment operating income increased $10.5 million, or 6.6%, to $169.6 million for the year ended December 31, 2015, from $159.0 million for the year ended December 31, 2014. The Huron Healthcare segment operating margin, defined as segment operating income expressed as a percentage of segment revenues, decreased slightly to 37.9% in 2015 from 38.2% in 2014. The slight decrease in this segment’s operating margin was primarily attributable to increases, as a percentage of revenues, in salaries and related expenses for our revenue-generating professionals, salaries and related expenses and bonus expense for our support personnel, intangible asset amortization expense related to our acquisition of Studer Group, and product and event costs during 2015 compared to the prior year. The unfavorable impact of these items was largely offset by a decrease in bonus expense for our revenue-generating professionals, as well as a decrease in technology expense, during 2015 compared to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Huron Education and Life Sciences segment revenues increased $22.0 million, or 15.1%, to $167.9 million for the year ended December 31, 2015, from $146.0 million for the year ended December 31, 2014. Revenues from fixed-fee engagements, time-and-expense engagements, performance-based arrangements, and software support and maintenance arrangements represented 32.2%, 62.7%, 0.3%, and 4.8% of this segment’s revenues, respectively, during 2015. Revenues from fixed-fee engagements, time-and-expense engagements, and software support and maintenance arrangements represented 24.3%, 71.2%, and 4.5% of this segment's revenues, respectively, during 2014.</w:t>
      </w:r>
    </w:p>
    <w:p>
      <w:pPr>
        <w:spacing w:after="0" w:line="13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Of the overall $22.0 million increase in revenues, $21.8 million was attributable to an increase in revenue generated by our full-time billable consultants and $0.2 million was attributable to our full-time equivalents. The overall increase in revenues was driven by strong demand across all practices within this segment. The increase in revenues from our full-time billable consultants reflected increases in the average number of full-time billable consultants, consultant utilization rate, and average billing rate in 2015 compared to 2014. The increase in revenue from our full-time equivalents reflected an increase in revenue per full-time equivalent in 2015 compared to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Huron Education and Life Sciences segment operating income increased $8.1 million, or 22.4%, to $44.2 million for the year ended December 31, 2015, from $36.1 million for the year ended December 31, 2014. The Huron Education and Life Sciences segment operating margin increased to 26.3% for 2015 from 24.8% for 2014. The increase in this segment’s operating margin was primarily attributable to revenue growth that outpaced the increase in salaries and related expenses for both our revenue-generating professionals and support personnel, as well as a decrease in contractor expense, partially offset by an increase in bonus expense for our revenue-generating professionals and support personnel as a percentage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Huron Business Advisory segment revenues increased $20.1 million, or 32.0%, to $83.0 million for the year ended December 31, 2015, from $62.8 million for the year ended December 31, 2014. Revenues for 2015 included $1.6 million from our acquisitions of Cloud62 and Rittman Mead India, which were completed in 2015, and $0.8 million of incremental revenues due to the full year impact in 2015 of our acquisition of Threshold Consulting completed in 2014. Revenues from fixed-fee engagements, time-and-expense engagements, performance-based engagements, and software support and maintenance arrangements represented 14.7%, 75.3%, 9.6%, and 0.4% of this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segment’s revenues, respectively, during 2015. Revenues from fixed-fee engagements, time-and-expense engagements, and performance-based engagements represented 13.8%, 79.5%, and 6.7% of this segment’s revenues, respectively, in 2014. Performance-based fee revenue for the year ended December 31, 2015 was $8.0 million, of which $5.2 million was generated by Huron Transaction Advisory LLC, our registered broker-dealer. Performance-based fee revenue for the year ended December 31, 2014 was $4.2 million, of which $2.5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5"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$20.1 million increase in revenues was attributable to an increase in revenue generated by our full-time billable consultants. This revenue growth reflected increases in the average number of full-time billable consultants and consultant utilization rate, partially offset by a decrease in the average billing rate when comparing 2015 to 2014. The decrease in the average billing rate was largely the result of our acquisition of Rittman Mead India.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Huron Business Advisory segment operating income increased by $5.2 million, or 37.2%, to $19.3 million for the year ended December 31, 2015, compared to $14.0 million for the year ended December 31, 2014. Segment operating margin increased to 23.2% for 2015 from 22.3% for 2014. The increase in this segment’s operating margin was primarily attributable to revenue growth that outpaced increases in salaries and related expenses and bonus expense for our revenue-generating professionals and a decrease in contractor expense, partially offset by increases, as a percentage of revenues, in salaries and related expenses and bonus expense for our support personnel and practice administration and meetings expenses.</w:t>
      </w:r>
    </w:p>
    <w:p>
      <w:pPr>
        <w:spacing w:after="0" w:line="115" w:lineRule="exact"/>
        <w:rPr>
          <w:sz w:val="20"/>
          <w:szCs w:val="20"/>
          <w:color w:val="auto"/>
        </w:rPr>
      </w:pPr>
    </w:p>
    <w:p>
      <w:pPr>
        <w:ind w:right="5480"/>
        <w:spacing w:after="0" w:line="448" w:lineRule="auto"/>
        <w:rPr>
          <w:sz w:val="20"/>
          <w:szCs w:val="20"/>
          <w:color w:val="auto"/>
        </w:rPr>
      </w:pPr>
      <w:r>
        <w:rPr>
          <w:rFonts w:ascii="Arial" w:cs="Arial" w:eastAsia="Arial" w:hAnsi="Arial"/>
          <w:sz w:val="18"/>
          <w:szCs w:val="18"/>
          <w:b w:val="1"/>
          <w:bCs w:val="1"/>
          <w:color w:val="auto"/>
        </w:rPr>
        <w:t>Year Ended December 31, 2014 Compared to Year Ended December 31, 2013 Revenues</w:t>
      </w:r>
    </w:p>
    <w:p>
      <w:pPr>
        <w:spacing w:after="0" w:line="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Revenues increased $89.6 million, or 16.6%, to $627.7 million for the year ended December 31, 2014, from $538.1 million for the year ended December 31, 2013. Revenues for 2014 included $36.0 million from our acquisitions of Vonlay, The Frankel Group Associates, and Threshold Consulting, which were completed in 2014, and $21.6 million of incremental revenues due to the full year impact in 2014 of our acquisition of Blue Stone International completed in 2013.</w:t>
      </w:r>
    </w:p>
    <w:p>
      <w:pPr>
        <w:spacing w:after="0" w:line="13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Of the overall $89.6 million increase in revenues, $87.0 million was attributable to our full-time billable consultants, while $2.6 million was attributable to our full-time equivalents. The $87.0 million increase in full-time billable consultant revenues was driven by increases in the average number of billable consultants and the average billing rate, partially offset by a decrease in our consultant utilization rate. This increase primarily reflected strengthened demand for our services in the Huron Healthcare, Huron Business Advisory, and Huron Education and Life Sciences segments. Performance-based fee revenue was $107.9 million for the year ended December 31, 2014, compared to $105.5 million for the year ended December 31, 2013. The level of performance-based fees earned may vary based on our clients’ preferences and the mix of services we provide. Performance-based fee engagements may cause significant variations in revenues, operating results, and average billing rates due to our level of execution and the timing of achievement of the performance-based criteria.</w:t>
      </w:r>
    </w:p>
    <w:p>
      <w:pPr>
        <w:spacing w:after="0" w:line="138"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$2.6 million increase in full-time equivalent revenues was primarily driven by an increase in the average number of full-time equivalents, partially offset by a decrease in revenue per full-time equivalent. Revenue attributable to full-time equivalents reflected increased use of contractors in the Huron Healthcare and Huron Business Advisory segments, partially offset by a decreased use of contractors in the Huron Education and Life Sciences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89"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Our total direct costs increased $62.8 million, or 19.3%, to $388.9 million for the year ended December 31, 2014 from $326.1 million for the year ended December 31, 2013. The increase was primarily related to a $52.5 million increase in salaries and related expenses for our revenue-generating professionals, a $7.8 million increase in bonus expense for our revenue-generating professionals, and a $1.9 million increase in amortization expense for intangible assets and software development costs. As a percentage of revenues, our total direct costs increased to 62.0% during 2014 compared to 60.6% during 2013. This primarily reflected an increase in salaries and related expenses for our revenue-generating professionals as a percentage of revenues, largely offset by revenue growth that outpaced the increase in bonus expense for our revenue-generating professionals and a decrease in contractor expense. The increase in salaries and related expenses for our revenue-generating professionals as a percentage of revenues was largely driven by the businesses acquired during 2014 and the fourth quarter of 2013 within our Healthcare, Education and Life Sciences, and Business Advisory segments.</w:t>
      </w:r>
    </w:p>
    <w:p>
      <w:pPr>
        <w:spacing w:after="0" w:line="126" w:lineRule="exact"/>
        <w:rPr>
          <w:sz w:val="20"/>
          <w:szCs w:val="20"/>
          <w:color w:val="auto"/>
        </w:rPr>
      </w:pPr>
    </w:p>
    <w:p>
      <w:pPr>
        <w:ind w:right="180" w:firstLine="297"/>
        <w:spacing w:after="0" w:line="264" w:lineRule="auto"/>
        <w:rPr>
          <w:sz w:val="20"/>
          <w:szCs w:val="20"/>
          <w:color w:val="auto"/>
        </w:rPr>
      </w:pPr>
      <w:r>
        <w:rPr>
          <w:rFonts w:ascii="Arial" w:cs="Arial" w:eastAsia="Arial" w:hAnsi="Arial"/>
          <w:sz w:val="18"/>
          <w:szCs w:val="18"/>
          <w:color w:val="auto"/>
        </w:rPr>
        <w:t>Total direct costs for the year ended December 31, 2014 included $14.0 million of share-based compensation expense for our revenue-generating professionals compared to $12.1 million in 2013. The increase in share-based compensation expense was primarily attributable to an increase in the amount of restricted stock awards granted to employees in 2014 and an increase in the amount of performance-based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awards earned in 2014 based on 2014 performance compared to the amount of performance-based stock awards that were earned in 2013 based on 2013 performance.</w:t>
      </w:r>
    </w:p>
    <w:p>
      <w:pPr>
        <w:spacing w:after="0" w:line="130" w:lineRule="exact"/>
        <w:rPr>
          <w:sz w:val="20"/>
          <w:szCs w:val="20"/>
          <w:color w:val="auto"/>
        </w:rPr>
      </w:pPr>
    </w:p>
    <w:p>
      <w:pPr>
        <w:jc w:val="both"/>
        <w:ind w:right="60" w:firstLine="297"/>
        <w:spacing w:after="0" w:line="279" w:lineRule="auto"/>
        <w:rPr>
          <w:sz w:val="20"/>
          <w:szCs w:val="20"/>
          <w:color w:val="auto"/>
        </w:rPr>
      </w:pPr>
      <w:r>
        <w:rPr>
          <w:rFonts w:ascii="Arial" w:cs="Arial" w:eastAsia="Arial" w:hAnsi="Arial"/>
          <w:sz w:val="17"/>
          <w:szCs w:val="17"/>
          <w:color w:val="auto"/>
        </w:rPr>
        <w:t>Total direct costs for the year ended December 31, 2014 also included $4.6 million of amortization expense for intangible assets, primarily representing customer-related assets and software acquired in business combinations, and software development costs, compared to $2.7 million of amortization expense in 2013. The increase in amortization expense was primarily related to the amortization of intangible assets from businesses we acquired during 2014 and the fourth quarter of 2013, as well as an increase in amortization expense for certain software development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89" w:lineRule="exact"/>
        <w:rPr>
          <w:sz w:val="20"/>
          <w:szCs w:val="20"/>
          <w:color w:val="auto"/>
        </w:rPr>
      </w:pPr>
    </w:p>
    <w:p>
      <w:pPr>
        <w:ind w:right="60" w:firstLine="297"/>
        <w:spacing w:after="0" w:line="254" w:lineRule="auto"/>
        <w:rPr>
          <w:sz w:val="20"/>
          <w:szCs w:val="20"/>
          <w:color w:val="auto"/>
        </w:rPr>
      </w:pPr>
      <w:r>
        <w:rPr>
          <w:rFonts w:ascii="Arial" w:cs="Arial" w:eastAsia="Arial" w:hAnsi="Arial"/>
          <w:sz w:val="18"/>
          <w:szCs w:val="18"/>
          <w:color w:val="auto"/>
        </w:rPr>
        <w:t>Selling, general and administrative expenses increased $15.8 million, or 13.5%, to $132.8 million for the year ended December 31, 2014, compared to $117.0 million for the year ended December 31, 2013. This increase was primarily related to a $7.4 million increase in salaries and related expenses for our support personnel, a $2.6 million increase in facilities and other office related expenses, a $2.2 million increase in promotion and sponsorship expenses, a $1.4 million increase in outside professional service expenses, a $0.9 million increase in legal expenses, and a $0.9 million increase in accounting, tax, and audit fees. These increases were partially offset by a $1.5 million decrease in bonus expense. As a percentage of revenues, selling, general and administrative expenses decreased to 21.2% during 2014 from 21.7% during 2013, primarily due to the decrease in bonus expense. Also included in selling, general and administrative expenses is share-based compensation expense for our non-revenue-generating professionals, which totaled $4.7 million in 2014, compared to $4.0 million in 2013.</w:t>
      </w:r>
    </w:p>
    <w:p>
      <w:pPr>
        <w:spacing w:after="0" w:line="152" w:lineRule="exact"/>
        <w:rPr>
          <w:sz w:val="20"/>
          <w:szCs w:val="20"/>
          <w:color w:val="auto"/>
        </w:rPr>
      </w:pPr>
    </w:p>
    <w:p>
      <w:pPr>
        <w:ind w:firstLine="297"/>
        <w:spacing w:after="0" w:line="254" w:lineRule="auto"/>
        <w:rPr>
          <w:sz w:val="20"/>
          <w:szCs w:val="20"/>
          <w:color w:val="auto"/>
        </w:rPr>
      </w:pPr>
      <w:r>
        <w:rPr>
          <w:rFonts w:ascii="Arial" w:cs="Arial" w:eastAsia="Arial" w:hAnsi="Arial"/>
          <w:sz w:val="18"/>
          <w:szCs w:val="18"/>
          <w:color w:val="auto"/>
        </w:rPr>
        <w:t>Restructuring charges for the year ended December 31, 2014 totaled $2.8 million, compared to $0.3 million for the year ended December 31, 2013. The charges in 2014 primarily consisted of $2.8 million in pretax charges related to the consolidation of office spaces in Washington, D.C., Chicago, and New York, and closure of our office in San Diego. Of the total $2.8 million charge for office space reduction, $1.8 million is related to the accrual of our remaining lease obligations at vacated spaces, net of estimated sublease income, and $0.9 million is related to accelerated depreciation of assets disposed of as a result of the exit of space. The vacated locations in Chicago and New York were acquired as part of business acquisitions during 2013 and 2014. The restructuring expense in 2013 primarily consisted of the early termination of certain computer lease contracts related to the integration of our Blue Stone International, LLC acquisition. See Note 10 “Restructuring Charges” within the notes to our consolidated financial statements for further discussion of our restructuring expenses.</w:t>
      </w:r>
    </w:p>
    <w:p>
      <w:pPr>
        <w:spacing w:after="0" w:line="152" w:lineRule="exact"/>
        <w:rPr>
          <w:sz w:val="20"/>
          <w:szCs w:val="20"/>
          <w:color w:val="auto"/>
        </w:rPr>
      </w:pPr>
    </w:p>
    <w:p>
      <w:pPr>
        <w:ind w:right="240" w:firstLine="297"/>
        <w:spacing w:after="0" w:line="264" w:lineRule="auto"/>
        <w:rPr>
          <w:sz w:val="20"/>
          <w:szCs w:val="20"/>
          <w:color w:val="auto"/>
        </w:rPr>
      </w:pPr>
      <w:r>
        <w:rPr>
          <w:rFonts w:ascii="Arial" w:cs="Arial" w:eastAsia="Arial" w:hAnsi="Arial"/>
          <w:sz w:val="18"/>
          <w:szCs w:val="18"/>
          <w:color w:val="auto"/>
        </w:rPr>
        <w:t>During the year ended December 31, 2014, we recorded remeasurement gains totaling $0.6 million related to the contingent consideration liability incurred in connection with a business acquisition that was completed in the first quarter of 2014. The initial acquisition date fair value of this liability was $0.6 million. There was no remeasurement gain or loss for the comparable period last year.</w:t>
      </w:r>
    </w:p>
    <w:p>
      <w:pPr>
        <w:spacing w:after="0" w:line="141" w:lineRule="exact"/>
        <w:rPr>
          <w:sz w:val="20"/>
          <w:szCs w:val="20"/>
          <w:color w:val="auto"/>
        </w:rPr>
      </w:pPr>
    </w:p>
    <w:p>
      <w:pPr>
        <w:ind w:right="120" w:firstLine="297"/>
        <w:spacing w:after="0" w:line="277" w:lineRule="auto"/>
        <w:rPr>
          <w:sz w:val="20"/>
          <w:szCs w:val="20"/>
          <w:color w:val="auto"/>
        </w:rPr>
      </w:pPr>
      <w:r>
        <w:rPr>
          <w:rFonts w:ascii="Arial" w:cs="Arial" w:eastAsia="Arial" w:hAnsi="Arial"/>
          <w:sz w:val="18"/>
          <w:szCs w:val="18"/>
          <w:color w:val="auto"/>
        </w:rPr>
        <w:t>Net litigation and other gains totaled $5.9 million for the year ended December 31, 2013. These gains primarily consisted of a $5.3 million gain that was recorded as a result of reaching a settlement agreement to resolve a lawsuit brought by Huron.</w:t>
      </w:r>
    </w:p>
    <w:p>
      <w:pPr>
        <w:spacing w:after="0" w:line="130" w:lineRule="exact"/>
        <w:rPr>
          <w:sz w:val="20"/>
          <w:szCs w:val="20"/>
          <w:color w:val="auto"/>
        </w:rPr>
      </w:pPr>
    </w:p>
    <w:p>
      <w:pPr>
        <w:ind w:right="120" w:firstLine="297"/>
        <w:spacing w:after="0" w:line="257" w:lineRule="auto"/>
        <w:rPr>
          <w:sz w:val="20"/>
          <w:szCs w:val="20"/>
          <w:color w:val="auto"/>
        </w:rPr>
      </w:pPr>
      <w:r>
        <w:rPr>
          <w:rFonts w:ascii="Arial" w:cs="Arial" w:eastAsia="Arial" w:hAnsi="Arial"/>
          <w:sz w:val="18"/>
          <w:szCs w:val="18"/>
          <w:color w:val="auto"/>
        </w:rPr>
        <w:t>Depreciation and amortization expense increased $4.7 million, or 44.1%, to $15.5 million for the year ended December 31, 2014, from $10.7 million for the year ended December 31, 2013. The increase primarily related to the amortization of intangible assets from businesses acquired during 2014 and the fourth quarter of 2013, as well as the depreciation of network equipment and leasehold improvements that were placed into service during the second half of 2013 and first half of 2014. Intangible asset amortization included within operating expenses relates to customer relationships, non-competition agreements, trade names, and licenses acquired in connection with our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40" w:firstLine="297"/>
        <w:spacing w:after="0" w:line="297" w:lineRule="auto"/>
        <w:rPr>
          <w:sz w:val="20"/>
          <w:szCs w:val="20"/>
          <w:color w:val="auto"/>
        </w:rPr>
      </w:pPr>
      <w:r>
        <w:rPr>
          <w:rFonts w:ascii="Arial" w:cs="Arial" w:eastAsia="Arial" w:hAnsi="Arial"/>
          <w:sz w:val="16"/>
          <w:szCs w:val="16"/>
          <w:color w:val="auto"/>
        </w:rPr>
        <w:t>Operating income decreased $1.6 million, or 1.7%, to $88.3 million for the year ended December 31, 2014, from $89.9 million for the year ended December 31, 2013. Operating margin, which is defined as operating income expressed as a percentage of revenues, decreased to 14.1% in 2014 compared to 16.7% in 2013. The decrease in operating margin was primarily attributable to the increases in salaries and related expenses for our revenue-generating professionals and restructuring charges as a percentage of revenues and the decrease in litigation and other gains, partially offset by revenue growth that outpaced the increase in bonus expense for our revenue-generating professionals and the decrease in bonus expense for our support personnel.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89" w:lineRule="exact"/>
        <w:rPr>
          <w:sz w:val="20"/>
          <w:szCs w:val="20"/>
          <w:color w:val="auto"/>
        </w:rPr>
      </w:pPr>
    </w:p>
    <w:p>
      <w:pPr>
        <w:ind w:right="60" w:firstLine="297"/>
        <w:spacing w:after="0" w:line="259" w:lineRule="auto"/>
        <w:rPr>
          <w:sz w:val="20"/>
          <w:szCs w:val="20"/>
          <w:color w:val="auto"/>
        </w:rPr>
      </w:pPr>
      <w:r>
        <w:rPr>
          <w:rFonts w:ascii="Arial" w:cs="Arial" w:eastAsia="Arial" w:hAnsi="Arial"/>
          <w:sz w:val="18"/>
          <w:szCs w:val="18"/>
          <w:color w:val="auto"/>
        </w:rPr>
        <w:t>Total other expense, net increased $2.2 million, or 35.2%, to $8.3 million for the year ended December 31, 2014, from $6.1 million for the year ended December 31, 2013. This increase is primarily attributable to a $2.2 million increase in interest expense, which increased due to our Convertible Notes issued in September 2014, partially offset by a decrease in our borrowing levels under our senior secured credit facility. For 2014, interest expense related to the Convertible Notes totaled $3.5 million, consisting of $1.0 million for the stated coupon of the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and $2.5 million for the amortization of debt discount and debt issuance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81" w:lineRule="exact"/>
        <w:rPr>
          <w:sz w:val="20"/>
          <w:szCs w:val="20"/>
          <w:color w:val="auto"/>
        </w:rPr>
      </w:pPr>
    </w:p>
    <w:p>
      <w:pPr>
        <w:ind w:right="220" w:firstLine="297"/>
        <w:spacing w:after="0" w:line="293" w:lineRule="auto"/>
        <w:rPr>
          <w:sz w:val="20"/>
          <w:szCs w:val="20"/>
          <w:color w:val="auto"/>
        </w:rPr>
      </w:pPr>
      <w:r>
        <w:rPr>
          <w:rFonts w:ascii="Arial" w:cs="Arial" w:eastAsia="Arial" w:hAnsi="Arial"/>
          <w:sz w:val="16"/>
          <w:szCs w:val="16"/>
          <w:color w:val="auto"/>
        </w:rPr>
        <w:t>For the year ended December 31, 2014, we recognized income tax expense from continuing operations of $33.1 million on income from continuing operations of $80.1 million, for an effective tax rate of 41.3%. For the year ended December 31, 2013, we recognized income tax expense from continuing operations of $32.2 million on income from continuing operations of $83.8 million, for an effective tax rate of 38.4%. Our effective tax rate for 2014 was higher than the statutory rate, inclusive of state income taxes, primarily due to an increase in valuation allowance and foreign source losses with no tax benefits. Our effective tax rate for 2013 was lower than the statutory rate, inclusive of state income taxes, primarily due to the impact of tax credits and certain deductions, partially offset by the impact of no tax benefit for foreign losses and certain non-deductible business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89" w:lineRule="exact"/>
        <w:rPr>
          <w:sz w:val="20"/>
          <w:szCs w:val="20"/>
          <w:color w:val="auto"/>
        </w:rPr>
      </w:pPr>
    </w:p>
    <w:p>
      <w:pPr>
        <w:ind w:right="440" w:firstLine="297"/>
        <w:spacing w:after="0" w:line="279" w:lineRule="auto"/>
        <w:rPr>
          <w:sz w:val="20"/>
          <w:szCs w:val="20"/>
          <w:color w:val="auto"/>
        </w:rPr>
      </w:pPr>
      <w:r>
        <w:rPr>
          <w:rFonts w:ascii="Arial" w:cs="Arial" w:eastAsia="Arial" w:hAnsi="Arial"/>
          <w:sz w:val="17"/>
          <w:szCs w:val="17"/>
          <w:color w:val="auto"/>
        </w:rPr>
        <w:t>Net income from continuing operations was $47.0 million for the year ended December 31, 2014, compared to $51.6 million for the year ended December 31, 2013. The $4.6 million decrease in net income from continuing operations was primarily due to the decrease in operating income and the increase in interest expense, as discussed above. As a result of the decrease in net income from continuing operations, diluted earnings per share from continuing operations for the year ended December 31, 2014 was $2.05 compared to $2.26 for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Net income from discontinued operations was $32.0 million for the year ended December 31, 2014, compared to $14.9 million for the year ended December 31, 2013. This increase is primarily the result of a "check-the-box" election we made in the first quarter of 2014 to classify one of our wholly-owned foreign subsidiaries as a disregarded entity for U.S. federal income tax purposes. As a result of this election, we realized an income tax benefit of $13.8 million, of which $2.4 million is unrecognized, resulting in a net recognized tax benefit for discontinued operations of $11.4 million. See Note 3 "Discontinued Operations" within the notes to our consolidated financial statements for additional information about our discontinued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89" w:lineRule="exact"/>
        <w:rPr>
          <w:sz w:val="20"/>
          <w:szCs w:val="20"/>
          <w:color w:val="auto"/>
        </w:rPr>
      </w:pPr>
    </w:p>
    <w:p>
      <w:pPr>
        <w:ind w:firstLine="297"/>
        <w:spacing w:after="0" w:line="276" w:lineRule="auto"/>
        <w:rPr>
          <w:sz w:val="20"/>
          <w:szCs w:val="20"/>
          <w:color w:val="auto"/>
        </w:rPr>
      </w:pPr>
      <w:r>
        <w:rPr>
          <w:rFonts w:ascii="Arial" w:cs="Arial" w:eastAsia="Arial" w:hAnsi="Arial"/>
          <w:sz w:val="17"/>
          <w:szCs w:val="17"/>
          <w:color w:val="auto"/>
        </w:rPr>
        <w:t>EBITDA increased $5.1 million, or 4.9%, to $108.4 million for the year ended December 31, 2014, from $103.3 million for the year ended December 31, 2013. Adjusted EBITDA increased $12.9 million, or 13.2%, to $110.6 million in 2014 from $97.7 million in 2013. The increase in EBITDA was primarily due to the increase in segment operating income, as discussed below in Segment Results, partially offset by an increase in corporate expenses and a decrease in litigation and other gains. The increase in Adjusted EBITDA was primarily due to the increase in segment operating income, partially offset by an increase in corporate expenses, excluding the impact of the restructuring charges and litigation and other gains.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89" w:lineRule="exact"/>
        <w:rPr>
          <w:sz w:val="20"/>
          <w:szCs w:val="20"/>
          <w:color w:val="auto"/>
        </w:rPr>
      </w:pPr>
    </w:p>
    <w:p>
      <w:pPr>
        <w:ind w:right="80" w:firstLine="297"/>
        <w:spacing w:after="0" w:line="259" w:lineRule="auto"/>
        <w:rPr>
          <w:sz w:val="20"/>
          <w:szCs w:val="20"/>
          <w:color w:val="auto"/>
        </w:rPr>
      </w:pPr>
      <w:r>
        <w:rPr>
          <w:rFonts w:ascii="Arial" w:cs="Arial" w:eastAsia="Arial" w:hAnsi="Arial"/>
          <w:sz w:val="18"/>
          <w:szCs w:val="18"/>
          <w:color w:val="auto"/>
        </w:rPr>
        <w:t>Adjusted net income from continuing operations increased $5.5 million, or 10.9%, to $56.1 million for the year ended December 31, 2014, compared to $50.6 million for the year ended December 31, 2013. The increase was primarily attributable to the increase in segment operating income, partially offset by an increase in corporate expenses. As a result of the increase in adjusted net income from continuing operations, adjusted diluted earnings per share from continuing operations for 2014 was $2.45, compared to $2.22 for 2013.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firstLine="297"/>
        <w:spacing w:after="0" w:line="257" w:lineRule="auto"/>
        <w:rPr>
          <w:sz w:val="20"/>
          <w:szCs w:val="20"/>
          <w:color w:val="auto"/>
        </w:rPr>
      </w:pPr>
      <w:r>
        <w:rPr>
          <w:rFonts w:ascii="Arial" w:cs="Arial" w:eastAsia="Arial" w:hAnsi="Arial"/>
          <w:sz w:val="18"/>
          <w:szCs w:val="18"/>
          <w:color w:val="auto"/>
        </w:rPr>
        <w:t>Huron Healthcare segment revenues increased $57.0 million, or 15.9%, to $415.8 million for the year ended December 31, 2014, from $358.8 million for the year ended December 31, 2013. Revenues for 2014 included $20.0 million from our acquisition of Vonlay, which was completed in 2014. During 2014, revenues from fixed-fee engagements, time-and-expense engagements, performance-based arrangements, and software support and maintenance arrangements represented 65.0%, 5.4%, 24.8%, and 4.8% of this segment’s revenues, respectively, compared to 64.6%, 1.6%, 29.1%, and 4.7%, respectively, in 2013.</w:t>
      </w:r>
    </w:p>
    <w:p>
      <w:pPr>
        <w:spacing w:after="0" w:line="148" w:lineRule="exact"/>
        <w:rPr>
          <w:sz w:val="20"/>
          <w:szCs w:val="20"/>
          <w:color w:val="auto"/>
        </w:rPr>
      </w:pPr>
    </w:p>
    <w:p>
      <w:pPr>
        <w:jc w:val="both"/>
        <w:ind w:right="100" w:firstLine="297"/>
        <w:spacing w:after="0" w:line="264" w:lineRule="auto"/>
        <w:rPr>
          <w:sz w:val="20"/>
          <w:szCs w:val="20"/>
          <w:color w:val="auto"/>
        </w:rPr>
      </w:pPr>
      <w:r>
        <w:rPr>
          <w:rFonts w:ascii="Arial" w:cs="Arial" w:eastAsia="Arial" w:hAnsi="Arial"/>
          <w:sz w:val="18"/>
          <w:szCs w:val="18"/>
          <w:color w:val="auto"/>
        </w:rPr>
        <w:t>Of the overall $57.0 million increase in revenues, $53.2 million was attributable to our full-time billable consultants and $3.8 million was attributable to our full-time equivalents. The increase in demand for our services in the Huron Healthcare segment reflected the continued pressures our clients face as the result of evolving business models, rising costs, and declining reimbursements from government and</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commercial payers. The increase in full-time billable consultant revenues reflected increases in the average number of full-time billable consultants and the average billing rate, partially offset by a decrease in consultant utilization rate. Performance-based fee revenue was $103.2 million during 2014 compared to $104.5 million during 2013. The level of performance-based fees earned may vary based on our clients’ preferences and the mix of services we provide.</w:t>
      </w:r>
    </w:p>
    <w:p>
      <w:pPr>
        <w:ind w:right="20"/>
        <w:spacing w:after="0" w:line="254" w:lineRule="auto"/>
        <w:rPr>
          <w:sz w:val="20"/>
          <w:szCs w:val="20"/>
          <w:color w:val="auto"/>
        </w:rPr>
      </w:pPr>
      <w:r>
        <w:rPr>
          <w:rFonts w:ascii="Arial" w:cs="Arial" w:eastAsia="Arial" w:hAnsi="Arial"/>
          <w:sz w:val="18"/>
          <w:szCs w:val="18"/>
          <w:color w:val="auto"/>
        </w:rPr>
        <w:t>Performance-based fee arrangements may cause significant variations in revenues, operating results, and average billing rates due to our level of execution and the timing of achievement of the performance-based criteria. With regard to our full-time equivalents, the Huron Healthcare segment experienced increases in both the average number of full-time equivalents and revenue per full-time equivalent during the year ended December 31, 2014 compared to the same period last year.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Huron Healthcare segment operating income increased $17.1 million, or 12.1%, to $159.0 million for the year ended December 31, 2014,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$141.9 million for the year ended December 31, 2013. The Huron Healthcare segment operating margin, defined as segment operating income expressed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segment revenues, decreased to 38.2% in 2014 from 39.5% in 2013. The decrease in this segment’s operating margin was primarily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an increase in salaries and related expenses for our revenue-generating professionals as a percentage of revenues, as well as increases in contractor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intangible asset amortization expense as percentages of revenues, partially offset by revenue growth that outpaced the increase in bonus expense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revenue-generating professionals during 2014 compared to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40" w:firstLine="297"/>
        <w:spacing w:after="0" w:line="302" w:lineRule="auto"/>
        <w:rPr>
          <w:sz w:val="20"/>
          <w:szCs w:val="20"/>
          <w:color w:val="auto"/>
        </w:rPr>
      </w:pPr>
      <w:r>
        <w:rPr>
          <w:rFonts w:ascii="Arial" w:cs="Arial" w:eastAsia="Arial" w:hAnsi="Arial"/>
          <w:sz w:val="16"/>
          <w:szCs w:val="16"/>
          <w:color w:val="auto"/>
        </w:rPr>
        <w:t>Huron Education and Life Sciences segment revenues increased $2.4 million, or 1.6%, to $146.0 million for the year ended December 31, 2014, from $143.6 million for the year ended December 31, 2013. Revenues for 2014 included $15.5 million from our acquisition of The Frankel Group Associates, which was completed in 2014. Revenues from fixed-fee engagements, time-and-expense engagements, and software support and maintenance arrangements represented 24.3%, 71.2%, and 4.5% of this segment’s revenues, respectively, during 2014, compared to 15.0%, 81.0%, and 4.0%, respectively, in 2013.</w:t>
      </w:r>
    </w:p>
    <w:p>
      <w:pPr>
        <w:spacing w:after="0" w:line="114" w:lineRule="exact"/>
        <w:rPr>
          <w:sz w:val="20"/>
          <w:szCs w:val="20"/>
          <w:color w:val="auto"/>
        </w:rPr>
      </w:pPr>
    </w:p>
    <w:p>
      <w:pPr>
        <w:ind w:right="20" w:firstLine="297"/>
        <w:spacing w:after="0" w:line="276" w:lineRule="auto"/>
        <w:rPr>
          <w:sz w:val="20"/>
          <w:szCs w:val="20"/>
          <w:color w:val="auto"/>
        </w:rPr>
      </w:pPr>
      <w:r>
        <w:rPr>
          <w:rFonts w:ascii="Arial" w:cs="Arial" w:eastAsia="Arial" w:hAnsi="Arial"/>
          <w:sz w:val="17"/>
          <w:szCs w:val="17"/>
          <w:color w:val="auto"/>
        </w:rPr>
        <w:t>Of the overall $2.4 million increase in revenues, $5.4 million was attributable to an increase in revenue generated by our full-time billable consultants, partially offset by a $3.0 million decrease in revenue generated by our full-time equivalents. The increase in revenues from our full-time billable consultants was driven by increases in the consultant utilization rate and the average billing rate, partially offset by a decrease in the average number of full-time billable consultants in 2014 compared to 2013. The decrease in revenue attributable to our full-time equivalents was attributable to decreases in both revenue per full-time equivalent and the average number of full-time equivalents in 2014 compared to 2013.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Huron Education and Life Sciences segment operating income increased $0.2 million to $36.1 million for the year ended December 31, 2014,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$36.0 million for the year ended December 31, 2013. The Huron Education and Life Sciences segment operating margin decreased slightly to 24.8% for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25.0% for 2013. The decrease in this segment’s operating margin was primarily attributable to increases in salaries and related expenses for both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revenue-generating professionals and support personnel and bonus expense for our revenue-generating professionals, all as a percentage of revenues,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decreases in contractor expense and practice administration and meetings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0" w:firstLine="297"/>
        <w:spacing w:after="0" w:line="288" w:lineRule="auto"/>
        <w:rPr>
          <w:sz w:val="20"/>
          <w:szCs w:val="20"/>
          <w:color w:val="auto"/>
        </w:rPr>
      </w:pPr>
      <w:r>
        <w:rPr>
          <w:rFonts w:ascii="Arial" w:cs="Arial" w:eastAsia="Arial" w:hAnsi="Arial"/>
          <w:sz w:val="16"/>
          <w:szCs w:val="16"/>
          <w:color w:val="auto"/>
        </w:rPr>
        <w:t>Huron Business Advisory segment revenues increased $28.2 million, or 81.3%, to $62.8 million for the year ended December 31, 2014, from $34.7 million for the year ended December 31, 2013. Revenues for 2014 included $30.0 million from our EPM practice (formerly referred to as Blue Stone International, LLC, a business that we acquired during the fourth quarter of 2013), compared to revenues of $4.7 million during 2013. Included in the $30.0 million of revenues from our EPM practice in 2014 is $0.6 million from Threshold Consulting, Inc., a business that we acquired in the fourth quarter of 2014. Revenues from fixed-fee engagements, time-and-expense engagements, and performance-based engagements represented 13.8%, 79.5%, and 6.7% of this segment’s revenues, respectively, during 2014, compared to 18.4%, 78.8%, and 2.8% of this segment’s revenues, respectively, in 2013. Performance-based fee revenue was $4.2 million for the year ended December 31, 2014, of which $2.5 million was generated by Huron Transaction Advisory LLC, our registered broker-dealer established in the first quarter of 2014. Performance-based fee revenue was $1.0 million for the year ended December 31, 2013.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timing of achievement of the performance-based criteria.</w:t>
      </w:r>
    </w:p>
    <w:p>
      <w:pPr>
        <w:spacing w:after="0" w:line="185" w:lineRule="exact"/>
        <w:rPr>
          <w:sz w:val="20"/>
          <w:szCs w:val="20"/>
          <w:color w:val="auto"/>
        </w:rPr>
      </w:pPr>
    </w:p>
    <w:p>
      <w:pPr>
        <w:ind w:right="60" w:firstLine="297"/>
        <w:spacing w:after="0" w:line="273" w:lineRule="auto"/>
        <w:rPr>
          <w:sz w:val="20"/>
          <w:szCs w:val="20"/>
          <w:color w:val="auto"/>
        </w:rPr>
      </w:pPr>
      <w:r>
        <w:rPr>
          <w:rFonts w:ascii="Arial" w:cs="Arial" w:eastAsia="Arial" w:hAnsi="Arial"/>
          <w:sz w:val="17"/>
          <w:szCs w:val="17"/>
          <w:color w:val="auto"/>
        </w:rPr>
        <w:t>Of the overall $28.2 million increase in revenues, $26.2 million was attributable to our full-time billable consultants and $2.0 million was attributable to our full-time equivalents. The increase in revenues from our full-time billable consultants reflected an increase in the average number of full-time billable consultants, partially offset by decreases in our consultant utilization rate and average billing rate when comparing 2014 to 2013. The increase in revenue attributable to our full-time equivalents was driven by an increase in the average number of full-time equivalents, partially offset by a decrease in revenue per full-time equivalent. The increases in the average number of full-time billable consultants and full-time equivalents, and the decreases in the average billing rate and revenue per full-time equivalent are largely the result of our acquisition of Blue Stone International,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ind w:right="140" w:firstLine="297"/>
        <w:spacing w:after="0" w:line="293" w:lineRule="auto"/>
        <w:rPr>
          <w:sz w:val="20"/>
          <w:szCs w:val="20"/>
          <w:color w:val="auto"/>
        </w:rPr>
      </w:pPr>
      <w:r>
        <w:rPr>
          <w:rFonts w:ascii="Arial" w:cs="Arial" w:eastAsia="Arial" w:hAnsi="Arial"/>
          <w:sz w:val="16"/>
          <w:szCs w:val="16"/>
          <w:color w:val="auto"/>
        </w:rPr>
        <w:t>Huron Business Advisory segment operating income increased by $6.8 million, or 94.6%, to $14.0 million for the year ended December 31, 2014, compared to $7.2 million for the year ended December 31, 2013. Segment operating margin increased to 22.3% for 2014 from 20.8% for 2013. The increase in this segment’s operating margin was primarily attributable to revenue growth that outpaced the increases in bonus expense for our revenue-generating professionals and salaries and related expenses for both our revenue-generating professionals and support personnel. Decreases in restructuring expense, severance expense, and bonus expense for our support personnel also contributed to the increase in the operating margin, partially offset by increases in contractor expense, practice administration and meetings expense, and promotion and sponsorship expense as percentages of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Cash and cash equivalents were $58.4 million, $256.9 million, and $58.1 million at December 31, 2015, 2014, and 2013, respectively. As of December 31, 2015, our primary sources of liquidity are cash on hand, cash flows from our U.S. operations, and borrowing capacity available under our credit facility.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64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Cash Flows (in thousands):</w:t>
            </w:r>
          </w:p>
        </w:tc>
        <w:tc>
          <w:tcPr>
            <w:tcW w:w="380" w:type="dxa"/>
            <w:vAlign w:val="bottom"/>
          </w:tcPr>
          <w:p>
            <w:pPr>
              <w:spacing w:after="0"/>
              <w:rPr>
                <w:sz w:val="17"/>
                <w:szCs w:val="17"/>
                <w:color w:val="auto"/>
              </w:rPr>
            </w:pPr>
          </w:p>
        </w:tc>
        <w:tc>
          <w:tcPr>
            <w:tcW w:w="124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2080" w:type="dxa"/>
            <w:vAlign w:val="bottom"/>
            <w:tcBorders>
              <w:top w:val="single" w:sz="8" w:color="auto"/>
              <w:bottom w:val="single" w:sz="8" w:color="CCEEFF"/>
            </w:tcBorders>
          </w:tcPr>
          <w:p>
            <w:pPr>
              <w:spacing w:after="0"/>
              <w:rPr>
                <w:sz w:val="4"/>
                <w:szCs w:val="4"/>
                <w:color w:val="auto"/>
              </w:rPr>
            </w:pPr>
          </w:p>
        </w:tc>
        <w:tc>
          <w:tcPr>
            <w:tcW w:w="42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115,258</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(272,158)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(93,831)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(52,658)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(29,648)</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Net cash provided by operating activities totaled $164.3 million, $146.5 million, and $115.3 million for the years ended December 31, 2015, 2014, and 2013,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increase in cash provided by operations in 2015 compared to 2014 was primarily attributable to increased cash collections from clients, driven by our growth in revenues, as well as lower tax payments, partially offset by an increase in operating expenditures and an increase in the amount paid for annual performance bonuses during the first quarter of 2015 compared to the first quarter of 2014.</w:t>
      </w:r>
    </w:p>
    <w:p>
      <w:pPr>
        <w:spacing w:after="0" w:line="12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increase in cash provided by operations in 2014 when compared to 2013 was primarily attributable to increased cash collections from clients, driven by our growth in revenues, as well as lower tax payments, and higher net income, partially offset by an increase in the amount paid for annual performance bonuses and an increase in unbilled services from clients. The increase in the unbilled services from clients was driven by several large healthcare implementation projects where the services provided and corresponding revenue recognized as of December 31, 2014 has exceeded the amount billed to the client in accordance with the contractual billing terms. We billed and collected these unbilled services in 2015. The increase in unbilled services was largely offset by the improved collections on billed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Net cash used in investing activities was $272.2 million, $93.8 million, and $52.7 million for the years ended December 31, 2015, 2014, and 2013,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use of cash in 2015 primarily consisted of $340.0 million for purchases of businesses, $18.6 million for purchases of property and equipment, and $15.4 million for the purchase of convertible debt investments in Shorelight Holdings, LLC (“Shorelight”). Shorelight, the parent company of Shorelight Education, is a U.S.-based company that partners with leading nonprofit universities to increase access and retention of international students, boost institutional growth, and enhance an institution’s global footprint. The zero coupon convertible notes will mature on July 1, 2020, unless converted earlier. The use of cash in 2015 was partially offset by the net proceeds received of $108.5 million for the sale of the Huron Legal segment in December 2015. See Note 3 "Discontinued Operations" within the notes to our consolidated financial statements for information about the sale of the Huron Legal segment.</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use of cash in 2014 primarily consisted of $54.0 million for purchases of businesses, $25.9 million for purchases of property and equipment, and $12.5 million for the purchase of convertible debt investments in Shorelight.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use of cash in 2013 primarily consisted of $30.3 million for purchases of businesses and $20.2 million for purchases of property and equipment.</w:t>
      </w:r>
    </w:p>
    <w:p>
      <w:pPr>
        <w:spacing w:after="0" w:line="19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estimate that the cash utilized for purchases of property and equipment in 2016 will be approximately $20.0 million, primarily consisting of information technology related equipment and leasehold improvements to support our corporate infrastructure.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Net cash used in financing activities was $90.0 million for the year ended December 31, 2015. During 2015, we borrowed $314.0 million under our credit facility, including $102.0 million for the Studer Group acquisition, made repayments on our credit facility of $365.8 million, and repurchased and retired $34.6 million of our common stock under our October 2014 Share Repurchase Program, as defined below.</w:t>
      </w:r>
    </w:p>
    <w:p>
      <w:pPr>
        <w:spacing w:after="0" w:line="11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Net cash provided by financing activities was $146.2 million for the year ended December 31, 2014. During 2014, we issued $250 million principal amount of the Convertible Notes, which provided proceeds of $242.7 million, net of issuance costs. In connection with the issuance of the Convertible Notes, we paid $42.1 million for the convertible note hedge transactions and received $23.6 million for the sale of warrants. Borrowings made under our credit facility to fund operations during 2014 totaled $129.0 million, with repayments during the period totaling $154.0 million. During 2014, we repurchased and retired $50.0 million of our common stock under the February 2014 Share Repurchase Program, as defined below, which completed the repurchase program.</w:t>
      </w:r>
    </w:p>
    <w:p>
      <w:pPr>
        <w:spacing w:after="0" w:line="10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Net cash used in financing activities was $29.6 million for the year ended December 31, 2013. During 2013, our financing activities primarily consisted of $119.8 million of repayments on our credit facility, mostly offset by $96.0 million of borrowings made under our credit facility. Our financing activities during 2013 also included $5.4 million of deferred acquisition payments related to prior year acquisitions and $1.2 million for debt issuance costs.</w:t>
      </w:r>
    </w:p>
    <w:p>
      <w:pPr>
        <w:spacing w:after="0" w:line="9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up to $50 million of our common stock through October 31, 2015 (the “October 2014 Share Repurchase Program”). In October 2015, our board of directors authorized an extension of the October 2014 Share Repurchase Program through October 31, 2016; and in December 2015, our board of directors increased the authorized amount to $125 million. The amount and timing of the repurchases will be determined by management and will depend on a variety of factors, including the trading price of our common stock, general market and business conditions, and applicable legal requirements. No shares were repurchased under this program in 2014. During the twelve months ended December 31, 2015, we repurchased 583,880 shares at an average cost of $59.24 per share.</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February 2014, our board of directors authorized a share repurchase program permitting us to repurchase up to $50 million of our common stock through February 28, 2015 (the “February 2014 Share Repurchase Program”). We completed the February 2014 Share Repurchase Program in October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December 31, 2015, we had $250.0 million principal amount of our 1.25% convertible senior notes outstanding and $92.0 million outstanding under our senior secured credit facility, as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cash and shares of common stock with the principal amount of the Convertible Notes paid in cash, in accordance with the settlement provisions of the Indenture.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our consolidated financial statements. For a discussion of certain risks and uncertainties related to the Convertible Notes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On March 31, 2015, the Company and certain of the Company’s subsidiaries entered into a Second Amended and Restated Credit Agreement dated as of March 31, 2015 (the “Amended Credit Agreement”). The Amended Credit Agreement amended and restated, in its entirety, the credit agreement entered into as of April 14, 2011 (as amended and modified, the “Existing Credit Agreement”).</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Amended Credit Agreement consists of a $500 million senior secured revolving credit facility that becomes due and payable in full upon maturity on March 31, 2020. 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78"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5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79"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December 31, 2015, we were in compliance with these financial covenants with a Consolidated Leverage Ratio of 2.09 to 1.00 and a Consolidated Interest Coverage Ratio of 15.70 to 1.00.</w:t>
      </w:r>
    </w:p>
    <w:p>
      <w:pPr>
        <w:spacing w:after="0" w:line="11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Borrowings outstanding under the Amended Credit Agreement at December 31, 2015 totaled $92.0 million. These borrowings carried a weighted average interest rate of 2.4% including the effect of the interest rate swaps described in Note 11 “Derivative Instruments and Hedging Activity” within the notes to the consolidated financial statements.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December 31, 2015, we had outstanding letters of credit totaling $4.8 million, which are primarily used as security deposits for our office facilities. As of December 31, 2015, the unused borrowing capacity under the revolving credit facility was $403.2 million.</w:t>
      </w:r>
    </w:p>
    <w:p>
      <w:pPr>
        <w:spacing w:after="0" w:line="13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our consolidated financial statements. For a discussion of certain risks and uncertainties related to the Amended Credit Agreement see Part I—Item 1A.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on hand,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following table represents our significant obligations and commitments as of December 31, 2015 and the scheduled years of payments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Convertible senior notes—principal and interest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262,500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253,125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26,505</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1"/>
                <w:szCs w:val="21"/>
                <w:color w:val="auto"/>
                <w:vertAlign w:val="superscript"/>
              </w:rPr>
              <w:t>(7)</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487,498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47,285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364,635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26,505</w:t>
            </w: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27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interest payments on long-term bank borrowings are estimated in the table above based on the principal amount outstanding and the interest rate in effect as of December 31, 2015.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7 “Financing Arrangements” within the notes to our consolidated financial statements for more information on our outstanding borrowings.</w:t>
      </w:r>
    </w:p>
    <w:p>
      <w:pPr>
        <w:spacing w:after="0" w:line="10"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September 2014, we issued $250 million principal of 1.25% convertible senior notes due 2019. We will pay cash interest on the outstanding notes at an annual rate of 1.25% semi-annually on April 1 and October 1 of each year until October 1, 2019, at which time we will repay any accrued and unpaid interest and the principal amount of all outstanding notes.</w:t>
      </w:r>
    </w:p>
    <w:p>
      <w:pPr>
        <w:spacing w:after="0" w:line="19" w:lineRule="exact"/>
        <w:rPr>
          <w:rFonts w:ascii="Arial" w:cs="Arial" w:eastAsia="Arial" w:hAnsi="Arial"/>
          <w:sz w:val="18"/>
          <w:szCs w:val="18"/>
          <w:color w:val="auto"/>
        </w:rPr>
      </w:pPr>
    </w:p>
    <w:p>
      <w:pPr>
        <w:ind w:left="340" w:right="60" w:hanging="332"/>
        <w:spacing w:after="0" w:line="299"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lease our facilities under operating lease arrangements expiring on various dates through 2026,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 above the specified amount.</w:t>
      </w:r>
    </w:p>
    <w:p>
      <w:pPr>
        <w:spacing w:after="0" w:line="1" w:lineRule="exact"/>
        <w:rPr>
          <w:rFonts w:ascii="Arial" w:cs="Arial" w:eastAsia="Arial" w:hAnsi="Arial"/>
          <w:sz w:val="16"/>
          <w:szCs w:val="16"/>
          <w:color w:val="auto"/>
        </w:rPr>
      </w:pPr>
    </w:p>
    <w:p>
      <w:pPr>
        <w:ind w:left="340" w:right="2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obligations include sponsorships, subscriptions to research tools, information technology, and other commitments to purchase services where we cannot cancel or would be required to pay a termination fee in the event of cancellation.</w:t>
      </w:r>
    </w:p>
    <w:p>
      <w:pPr>
        <w:spacing w:after="0" w:line="8"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a business acquisition, we may be required to pay post-closing consideration to the sellers if specific financial performance targets are met over a number of years as specified in the related purchase agreement. As of December 31, 2015, the</w:t>
      </w:r>
    </w:p>
    <w:p>
      <w:pPr>
        <w:sectPr>
          <w:pgSz w:w="11900" w:h="16838" w:orient="portrait"/>
          <w:cols w:equalWidth="0" w:num="1">
            <w:col w:w="11420"/>
          </w:cols>
          <w:pgMar w:left="240" w:top="125" w:right="2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estimated fair value of this contingent consideration liability was $2.1 million. The actual amount that may be paid ranges from zero to $2.5 million.</w:t>
      </w:r>
    </w:p>
    <w:p>
      <w:pPr>
        <w:spacing w:after="0" w:line="88" w:lineRule="exact"/>
        <w:rPr>
          <w:sz w:val="20"/>
          <w:szCs w:val="20"/>
          <w:color w:val="auto"/>
        </w:rPr>
      </w:pPr>
    </w:p>
    <w:p>
      <w:pPr>
        <w:ind w:left="340" w:right="580" w:hanging="332"/>
        <w:spacing w:after="0" w:line="31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liabilities for uncertain tax positions are classified as non-current. As we are unable to reasonably estimate the timing of future payments as it depends on examinations by taxing authorities, the related balance has not been reflected in the “Payments Due by Period” section of the table.</w:t>
      </w:r>
    </w:p>
    <w:p>
      <w:pPr>
        <w:ind w:left="340" w:right="340" w:hanging="332"/>
        <w:spacing w:after="0" w:line="279"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Included in deferred compensation and other liabilities on our consolidated balance sheet as of December 31, 2015 is a $13.1 million obligation for deferred compensation. As the specific payment dates for the deferred compensation are unknown, the related balances have not been reflected in the “Payments Due by Period” section of the table. Refer to Note 14 “Employee Benefit and Deferred Compensation Plans” within the notes to our consolidated financial statements for more information on our deferred compensation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 xml:space="preserve">We recognize revenues in accordance with Account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1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in accordance with ASC 605. License revenue from our research administration and compliance software is recognized in accordance with ASC 985-605, generally in the month in which the software is delivered.</w:t>
      </w:r>
    </w:p>
    <w:p>
      <w:pPr>
        <w:spacing w:after="0" w:line="13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arrangements as the related services or publications are provided.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do not recognize revenues under performance-based billing arrangements until all related performance criteria are met.</w:t>
      </w:r>
    </w:p>
    <w:p>
      <w:pPr>
        <w:spacing w:after="0" w:line="134"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Support and maintenance and subscription-based revenues are recognized ratably over the support or subscription period, which ranges from one to three years. These fees are billed in advance and included in deferred revenues until recognized.</w:t>
      </w:r>
    </w:p>
    <w:p>
      <w:pPr>
        <w:spacing w:after="0" w:line="14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605 and recognized pursuant to the criteria described above.</w:t>
      </w:r>
    </w:p>
    <w:p>
      <w:pPr>
        <w:spacing w:after="0" w:line="12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0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7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For an acquisition accounted for as a business combination, goodwill represents the excess of the cost over the fair value of the net assets acquired. 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At the time of our November 30, 2015 annual goodwill impairment test, we had five reporting units with goodwill balances: our Huron Healthcare and Huron Education and Life Sciences operating segments, our Financial Advisory practice and Enterprise Performance Management and Analytics (“EPM&amp;A”) practice, which together make up our Huron Business Advisory operating segment, and our Huron Legal operating segment, which we subsequently sold in December 2015.</w:t>
      </w:r>
    </w:p>
    <w:p>
      <w:pPr>
        <w:spacing w:after="0" w:line="11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Goodwill is reviewed for impairment utilizing a qualitative assessment or a quantitative two-step process. We have an option to make a qualitative assessment of a reporting unit’s goodwill for impairment. If we choose to perform a qualitative assessment and determine the fair value more likely than not exceeds the carrying value, no further evaluation is necessary. For reporting units where we perform the quantitative two-step process, the first step requires us to compare the fair value of each reporting unit, which we generally determine using a combination of the income approach and the market approach, to the respective carrying value, which includes goodwill. For companies providing services similar to those provided by us, the income and market approaches will generally provide the most reliable indications of fair value because the value of such companies is dependent on their ability to generate earnings. If the fair value of the reporting unit exceeds its carrying value, the goodwill is not considered impaired. If the carrying value is higher than the fair value, there is an indication that an impairment may exist and the second step is required. In the second step, the implied fair value of goodwill is calculated as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tested our goodwill for impairment twice during 2015, as discussed below.</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i w:val="1"/>
          <w:iCs w:val="1"/>
          <w:color w:val="auto"/>
        </w:rPr>
        <w:t xml:space="preserve">First Quarter 2015 Goodwill Impairment Analysis. </w:t>
      </w:r>
      <w:r>
        <w:rPr>
          <w:rFonts w:ascii="Arial" w:cs="Arial" w:eastAsia="Arial" w:hAnsi="Arial"/>
          <w:sz w:val="17"/>
          <w:szCs w:val="17"/>
          <w:color w:val="auto"/>
        </w:rPr>
        <w:t>During the first three months of 2015, the operating results for Huron Legal were generally in 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management’s expectations for the quarter but still significantly below the results achieved during the first three quarters of 2014. Given the increase in the reporting unit’s carrying value as a result of the Sky Analytics acquisition in the first quarter of 2015 and weakened results compared to the first nine months of 2014, we performed an interim impairment test for the goodwill balances within our Huron Legal reporting unit as of March 31, 2015. Our goodwill impairment test was performed using the quantitative two-step process. In estimating the fair value of the Huron Legal reporting unit, we relied on a combination of the income approach and the market approach, utilizing the guideline company method, with a fifty-fifty weighting. These methods require the use of significant estimates and assumptions, including long-term projections of future cash flows, market conditions, and discount rates reflecting the risk inherent in future cash flows. Based on the results of the first step of the goodwill impairment test, we determined that the fair value of our Huron Legal reporting unit exceeded its carrying value by 25%, or $28.8 million. Since the fair value of the reporting unit exceeded its carrying value, the second step of the goodwill impairment test was not necessary.</w:t>
      </w:r>
    </w:p>
    <w:p>
      <w:pPr>
        <w:spacing w:after="0" w:line="124"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continued to monitor the results of the Huron Legal reporting unit in 2015, and did not identify any indicators of impairment that required additional interim impairment tests. Pursuant to our policy, we performed our annual goodwill impairment test on Huron Legal as of November 30, 2015, as discussed below.</w:t>
      </w:r>
    </w:p>
    <w:p>
      <w:pPr>
        <w:spacing w:after="0" w:line="12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2015 Annual Goodwill Impairment Analysis. </w:t>
      </w:r>
      <w:r>
        <w:rPr>
          <w:rFonts w:ascii="Arial" w:cs="Arial" w:eastAsia="Arial" w:hAnsi="Arial"/>
          <w:sz w:val="18"/>
          <w:szCs w:val="18"/>
          <w:color w:val="auto"/>
        </w:rPr>
        <w:t>Pursuant to our policy, we performed our annual goodwill impairment test as of November 30, 2015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five reporting units with goodwill balances: Huron Healthcare, Huron Education and Life Sciences, Financial Advisory, EPM&amp;A, and Huron Legal which was subsequently sold in December 2015. Our All Other reporting unit does not have a goodwill balance.</w:t>
      </w:r>
    </w:p>
    <w:p>
      <w:pPr>
        <w:spacing w:after="0" w:line="12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each reporting unit, we reviewed goodwill for impairment utilizing the quantitative two-step process. We performed the first step of the quantitative two-step impairment test by comparing the fair value of each reporting unit to its respective carrying amount, including goodwill. Based on the results of the first step of the goodwill impairment test, we determined that the fair value of each of the Huron Healthcare, Huron Education and Life Sciences, Financial Advisory, EPM&amp;A, and Huron Legal reporting units exceeded its carrying value by 79%, 80%, 118%, 15%, and 3%, respectively. Since the fair value of each reporting unit exceeded its respective carrying value, the second step of the goodwill impairment test was not necessary.</w:t>
      </w:r>
    </w:p>
    <w:p>
      <w:pPr>
        <w:spacing w:after="0" w:line="11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estimating the fair value of our Huron Healthcare, Huron Education and Life Sciences, Financial Advisory, and EPM&amp;A reporting units, we relied on a combination of the income approach and the market approach, utilizing the guideline company method, with a fifty-fifty weighting. The fair value of the Huron Legal reporting unit used in the impairment test was based on the gross sales price of $112 million, which was derived in a market transaction.</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income approach, we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and discount rates reflecting the risk inherent in future cash flows. In estimating future cash flows, we relied on an internally generated six-year forecast. For periods after the six-year forecast, we assumed a long-term annual revenue growth rate of 3.5% for all reporting units. Our forecast is based on historical experience, current backlog, expected market demand, and other industry information. Our discounted cash flow analysis assumed a 10.0% weighted average cost of capital ("WACC") discount rate for the Huron Healthcare and Huron Education and Life Sciences reporting units and a 14.0% WACC discount rate for the Financial Advisory and EPM&amp;A reporting units.</w:t>
      </w:r>
    </w:p>
    <w:p>
      <w:pPr>
        <w:spacing w:after="0" w:line="1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For each reporting unit, these multiples are evaluated and adjusted based on specific characteristics of the reporting unit relative to the selected guideline companies and applied to the reporting unit's operating data to arrive at an indication of value.</w:t>
      </w:r>
    </w:p>
    <w:p>
      <w:pPr>
        <w:spacing w:after="0" w:line="10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goodwill impairment charges.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table below presents, based on the goodwill impairment test performed as of November 30, 2015, the decrease in the fair value of our reporting units given a 100 basis point increase in the assumed discount rate or a 100 basis point decrease in the assumed long-term annual revenue growth rate. The table below does not include the Huron Legal reporting unit as the fair value used in the goodwill impairment test was derived in a market transaction and the sale of the Huron Legal segment closed on December 31, 2015.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Discount rate</w:t>
            </w:r>
          </w:p>
        </w:tc>
        <w:tc>
          <w:tcPr>
            <w:tcW w:w="240" w:type="dxa"/>
            <w:vAlign w:val="bottom"/>
          </w:tcPr>
          <w:p>
            <w:pPr>
              <w:spacing w:after="0"/>
              <w:rPr>
                <w:sz w:val="18"/>
                <w:szCs w:val="18"/>
                <w:color w:val="auto"/>
              </w:rPr>
            </w:pPr>
          </w:p>
        </w:tc>
        <w:tc>
          <w:tcPr>
            <w:tcW w:w="22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Long-term growth rate</w:t>
            </w:r>
          </w:p>
        </w:tc>
      </w:t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increased by</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85"/>
              </w:rPr>
              <w:t>decreased by</w:t>
            </w:r>
          </w:p>
        </w:tc>
      </w:t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100 bps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810"/>
              <w:spacing w:after="0"/>
              <w:rPr>
                <w:sz w:val="20"/>
                <w:szCs w:val="20"/>
                <w:color w:val="auto"/>
              </w:rPr>
            </w:pPr>
            <w:r>
              <w:rPr>
                <w:rFonts w:ascii="Arial" w:cs="Arial" w:eastAsia="Arial" w:hAnsi="Arial"/>
                <w:sz w:val="18"/>
                <w:szCs w:val="18"/>
                <w:b w:val="1"/>
                <w:bCs w:val="1"/>
                <w:color w:val="auto"/>
                <w:w w:val="86"/>
              </w:rPr>
              <w:t>100 bps</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(77,100)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Advisory</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EPM&amp;A</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21"/>
        </w:trPr>
        <w:tc>
          <w:tcPr>
            <w:tcW w:w="8960" w:type="dxa"/>
            <w:vAlign w:val="bottom"/>
            <w:gridSpan w:val="4"/>
          </w:tcPr>
          <w:p>
            <w:pPr>
              <w:ind w:left="340"/>
              <w:spacing w:after="0"/>
              <w:rPr>
                <w:sz w:val="20"/>
                <w:szCs w:val="20"/>
                <w:color w:val="auto"/>
              </w:rPr>
            </w:pPr>
            <w:r>
              <w:rPr>
                <w:rFonts w:ascii="Arial" w:cs="Arial" w:eastAsia="Arial" w:hAnsi="Arial"/>
                <w:sz w:val="18"/>
                <w:szCs w:val="18"/>
                <w:color w:val="auto"/>
                <w:w w:val="92"/>
              </w:rPr>
              <w:t>The carrying values of goodwill for each of our reporting units as of December 31, 2015 are as follows (in thousands):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0"/>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 Value</w:t>
            </w: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Reporting Unit</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7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610,264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102,906</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Advisory</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Enterprise Performance Management and Analytics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22,136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carrying value of goodwill for the Huron Legal reporting unit immediately before the sale of that business was $59.5 million, which was written off as a result of the sale on December 31, 2015.</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Intangible assets represent purchased assets that lack physical substance but can be distinguished from goodwill. Our intangible assets, net of accumulated amortization, totaled $95.0 million at December 31, 2015 and primarily consist of customer relationships, trade names, customer contracts, technology and software, publishing content, and non-competition agreements, all of which were acquired through business combinations. We use valuation techniques in estimating the initial fair value of acquired intangible assets. These valuations are primarily based on the present value of the estimated net cash flows expected to be derived from the intangible assets, discounted for assumptions such as future customer attrition. We evaluate our intangible assets for impairment whenever events or changes in circumstances indicate that the carrying amount of the assets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2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w:t>
      </w:r>
    </w:p>
    <w:p>
      <w:pPr>
        <w:spacing w:after="0" w:line="100"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the taxing authority. The estimate of the potential outcome of any uncertain tax issue is subject to management’s assessment of relevant risks, facts and circumstances existing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Effective February 1, 2016, we completed our acquisition of MyRounding Solutions LLC ("MyRounding"), a Denver, Colorado-based firm specializing in digital health solutions to improve patient care. The addition of MyRounding strengthens Huron’s cultural transformation services for healthcare providers and expands the integration of Huron’s software and consulting solutions. The results of operations of MyRounding will be included within the Huron Healthcare segment.</w:t>
      </w: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value of the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$220.0 million as of December 31, 2015, which represents the liability component of the $250 million principal balance. The total estimated fair value of our Convertible Notes at December 31, 2015 was $248.0 million, and was determined based on the quoted bid price of the Convertible Notes in an over-the-counter market as of the last day of trading for the quarter ended December 31, 2015, which was $99.204 per $100 principal amount. At December 31, 2014, the carrying value of our Convertible Notes was $212.9 million, which represented the liability component of the $250 million principal balance, and the total estimated fair value of our Convertible Notes was $261.9 million, which was determined based on the quoted bid price of the Convertible Notes in an over-the-counter market as of the last day of trading for the year ended December 31, 2014, which was $104.761 per $100 principal amount.</w:t>
      </w:r>
    </w:p>
    <w:p>
      <w:pPr>
        <w:spacing w:after="0" w:line="14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Concurrent with the issuance of the Convertible Notes, we entered into separate convertible note hedge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Under the convertible note hedge transactions, we have the option to purchase a total of approximately 3.1 million shares of our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w:t>
      </w:r>
    </w:p>
    <w:p>
      <w:pPr>
        <w:spacing w:after="0" w:line="128"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December 31, 2015, we had borrowings outstanding under the credit facility totaling $92.0 million that carried a weighted average interest rate of 2.4% including the effect of the interest rate swaps described below. As of December 31, 2015 these variable rate borrowings were fully hedged against changes in interest rates by the interest rate swaps described below, which had a notional amount of $92.0 million at December 31, 2015. As our variable rate borrowings were fully hedged as of December 31, 2015, a change in the interest rate would have no impact on our consolidated financial statements. At December 31, 2014, our borrowings outstanding under the credit facility totaled $143.8 million and carried a weighted average interest rate of 2.3%, including the effect of the interest rate swaps described below; and a hypothetical 100 basis point change in the interest rate at that time would have had a $0.3 million effect on our pretax income, including the effect of the interest rate swaps. At December 31, 2014, the notional amount of the swap agreements in effect totaled $115.0 million.</w:t>
      </w:r>
    </w:p>
    <w:p>
      <w:pPr>
        <w:spacing w:after="0" w:line="12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December 31, 2015, the fair value of the investment was $34.8 million, with a total cost basis of $27.9 million. At December 31, 2014, the fair value of the investment was $12.3 million, with a cost basis of $12.5 million.</w:t>
      </w:r>
    </w:p>
    <w:p>
      <w:pPr>
        <w:spacing w:after="0" w:line="13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33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2015. Based on this evaluation, our Chief Executive Officer and Chief Financial Officer have concluded that, as of December 31, 2015,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660" w:right="4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2015 using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that evaluation, management concluded that our internal control over financial reporting was effective as of December 31, 2015.</w:t>
      </w:r>
    </w:p>
    <w:p>
      <w:pPr>
        <w:spacing w:after="0" w:line="11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2015 has been audited by PricewaterhouseCoopers LLP, an independent registered public accounting firm, as stated in their report appearing on page F-2 of this Annual Report on Form 10-K.</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Management excluded the internal controls of Studer Group in its annual assessment of the effectiveness of the Company’s internal control over financial reporting because it was acquired by the Company in a purchase business combination during 2015. Total assets and total revenues of Studer Group represent 2% and 11% of the Company's total assets and total revenues, respectively, as reported in our consolidated financial statements as of and for the year ended December 31,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2015 that has materially affected, or is reasonably likely to materially affect, our internal control over financial reporting.</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tab/>
        <w:t>OTHER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7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29, 2016 (the “Proxy Statement”) under “Nominees to Board of Directors,” “Directors Not Standing For Election” and “Executive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We have adopted a Code of Business Conduct and Ethics (the “Code”) that is applicable to all of our employees, officers and directors. The Code is available on the Corporate Governance page of our website at </w:t>
      </w:r>
      <w:r>
        <w:rPr>
          <w:rFonts w:ascii="Arial" w:cs="Arial" w:eastAsia="Arial" w:hAnsi="Arial"/>
          <w:sz w:val="17"/>
          <w:szCs w:val="17"/>
          <w:u w:val="single" w:color="auto"/>
          <w:color w:val="auto"/>
        </w:rPr>
        <w:t>www.huronconsultinggroup.com</w:t>
      </w:r>
      <w:r>
        <w:rPr>
          <w:rFonts w:ascii="Arial" w:cs="Arial" w:eastAsia="Arial" w:hAnsi="Arial"/>
          <w:sz w:val="17"/>
          <w:szCs w:val="17"/>
          <w:color w:val="auto"/>
        </w:rPr>
        <w:t>. If we make any amendments to or grant any waivers from the Code which are required to be disclosed pursuant to the Securities Exchange Act of 1934, we will make such disclosures on our website.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“Board Meetings and Committees.”</w:t>
      </w:r>
    </w:p>
    <w:p>
      <w:pPr>
        <w:spacing w:after="0" w:line="1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“Compensation Committee Report.”</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right="46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information as of December 31, 2015 with respect to equity compensation plans approved by shareholders. We do not have equity compensation plans that have not been approved by shareholders.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 Shares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 be Issued Upon</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w:t>
            </w: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(excluding shares in</w:t>
            </w:r>
          </w:p>
        </w:tc>
      </w:tr>
      <w:tr>
        <w:trPr>
          <w:trHeight w:val="194"/>
        </w:trPr>
        <w:tc>
          <w:tcPr>
            <w:tcW w:w="10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87"/>
              </w:rPr>
              <w:t>Plan Category</w:t>
            </w:r>
          </w:p>
        </w:tc>
        <w:tc>
          <w:tcPr>
            <w:tcW w:w="3980" w:type="dxa"/>
            <w:vAlign w:val="bottom"/>
          </w:tcPr>
          <w:p>
            <w:pPr>
              <w:spacing w:after="0"/>
              <w:rPr>
                <w:sz w:val="16"/>
                <w:szCs w:val="16"/>
                <w:color w:val="auto"/>
              </w:rPr>
            </w:pPr>
          </w:p>
        </w:tc>
        <w:tc>
          <w:tcPr>
            <w:tcW w:w="208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204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2260" w:type="dxa"/>
            <w:vAlign w:val="bottom"/>
          </w:tcPr>
          <w:p>
            <w:pPr>
              <w:jc w:val="center"/>
              <w:ind w:right="250"/>
              <w:spacing w:after="0" w:line="194" w:lineRule="exact"/>
              <w:rPr>
                <w:sz w:val="20"/>
                <w:szCs w:val="20"/>
                <w:color w:val="auto"/>
              </w:rPr>
            </w:pPr>
            <w:r>
              <w:rPr>
                <w:rFonts w:ascii="Arial" w:cs="Arial" w:eastAsia="Arial" w:hAnsi="Arial"/>
                <w:sz w:val="18"/>
                <w:szCs w:val="18"/>
                <w:b w:val="1"/>
                <w:bCs w:val="1"/>
                <w:color w:val="auto"/>
                <w:w w:val="86"/>
              </w:rPr>
              <w:t>1</w:t>
            </w:r>
            <w:r>
              <w:rPr>
                <w:rFonts w:ascii="Arial" w:cs="Arial" w:eastAsia="Arial" w:hAnsi="Arial"/>
                <w:sz w:val="21"/>
                <w:szCs w:val="21"/>
                <w:b w:val="1"/>
                <w:bCs w:val="1"/>
                <w:color w:val="auto"/>
                <w:w w:val="86"/>
                <w:vertAlign w:val="superscript"/>
              </w:rPr>
              <w:t>st</w:t>
            </w:r>
            <w:r>
              <w:rPr>
                <w:rFonts w:ascii="Arial" w:cs="Arial" w:eastAsia="Arial" w:hAnsi="Arial"/>
                <w:sz w:val="18"/>
                <w:szCs w:val="18"/>
                <w:b w:val="1"/>
                <w:bCs w:val="1"/>
                <w:color w:val="auto"/>
                <w:w w:val="86"/>
              </w:rPr>
              <w:t xml:space="preserve"> column)</w:t>
            </w:r>
          </w:p>
        </w:tc>
      </w:tr>
      <w:tr>
        <w:trPr>
          <w:trHeight w:val="48"/>
        </w:trPr>
        <w:tc>
          <w:tcPr>
            <w:tcW w:w="10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1"/>
          <w:szCs w:val="21"/>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86"/>
        </w:trPr>
        <w:tc>
          <w:tcPr>
            <w:tcW w:w="760" w:type="dxa"/>
            <w:vAlign w:val="bottom"/>
          </w:tcPr>
          <w:p>
            <w:pPr>
              <w:ind w:left="380"/>
              <w:spacing w:after="0"/>
              <w:rPr>
                <w:sz w:val="20"/>
                <w:szCs w:val="20"/>
                <w:color w:val="auto"/>
              </w:rPr>
            </w:pPr>
            <w:r>
              <w:rPr>
                <w:rFonts w:ascii="Arial" w:cs="Arial" w:eastAsia="Arial" w:hAnsi="Arial"/>
                <w:sz w:val="18"/>
                <w:szCs w:val="18"/>
                <w:color w:val="auto"/>
                <w:w w:val="89"/>
              </w:rPr>
              <w:t>2004</w:t>
            </w:r>
          </w:p>
        </w:tc>
        <w:tc>
          <w:tcPr>
            <w:tcW w:w="4280" w:type="dxa"/>
            <w:vAlign w:val="bottom"/>
          </w:tcPr>
          <w:p>
            <w:pPr>
              <w:ind w:left="40"/>
              <w:spacing w:after="0"/>
              <w:rPr>
                <w:sz w:val="20"/>
                <w:szCs w:val="20"/>
                <w:color w:val="auto"/>
              </w:rPr>
            </w:pPr>
            <w:r>
              <w:rPr>
                <w:rFonts w:ascii="Arial" w:cs="Arial" w:eastAsia="Arial" w:hAnsi="Arial"/>
                <w:sz w:val="18"/>
                <w:szCs w:val="18"/>
                <w:color w:val="auto"/>
              </w:rPr>
              <w:t>Omnibus Stock Plan</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162,386</w:t>
            </w:r>
          </w:p>
        </w:tc>
        <w:tc>
          <w:tcPr>
            <w:tcW w:w="12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4"/>
                <w:szCs w:val="24"/>
                <w:color w:val="auto"/>
              </w:rPr>
            </w:pPr>
          </w:p>
        </w:tc>
        <w:tc>
          <w:tcPr>
            <w:tcW w:w="2260" w:type="dxa"/>
            <w:vAlign w:val="bottom"/>
            <w:gridSpan w:val="2"/>
          </w:tcPr>
          <w:p>
            <w:pPr>
              <w:ind w:left="1640"/>
              <w:spacing w:after="0" w:line="285"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 xml:space="preserve">  (2)</w:t>
            </w: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2012</w:t>
            </w:r>
          </w:p>
        </w:tc>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Omnibus Incentive Plan</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943,016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Stock Ownership Participation Program</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260,293</w:t>
            </w:r>
          </w:p>
        </w:tc>
        <w:tc>
          <w:tcPr>
            <w:tcW w:w="340" w:type="dxa"/>
            <w:vAlign w:val="bottom"/>
          </w:tcPr>
          <w:p>
            <w:pPr>
              <w:spacing w:after="0"/>
              <w:rPr>
                <w:sz w:val="21"/>
                <w:szCs w:val="21"/>
                <w:color w:val="auto"/>
              </w:rPr>
            </w:pPr>
          </w:p>
        </w:tc>
      </w:tr>
      <w:tr>
        <w:trPr>
          <w:trHeight w:val="27"/>
        </w:trPr>
        <w:tc>
          <w:tcPr>
            <w:tcW w:w="504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N/A</w:t>
            </w: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color w:val="auto"/>
              </w:rPr>
              <w:t>Total</w:t>
            </w:r>
          </w:p>
        </w:tc>
        <w:tc>
          <w:tcPr>
            <w:tcW w:w="4280" w:type="dxa"/>
            <w:vAlign w:val="bottom"/>
          </w:tcPr>
          <w:p>
            <w:pPr>
              <w:spacing w:after="0"/>
              <w:rPr>
                <w:sz w:val="20"/>
                <w:szCs w:val="20"/>
                <w:color w:val="auto"/>
              </w:rPr>
            </w:pP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199,003</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0"/>
                <w:szCs w:val="20"/>
                <w:color w:val="auto"/>
              </w:rPr>
            </w:pPr>
          </w:p>
        </w:tc>
        <w:tc>
          <w:tcPr>
            <w:tcW w:w="19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1,203,309</w:t>
            </w:r>
          </w:p>
        </w:tc>
        <w:tc>
          <w:tcPr>
            <w:tcW w:w="34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line="279"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2012 Omnibus Incentive Plan was approved by our shareholders at our annual meeting held on May 1, 2012, and an amendment to the 2012 Omnibus Incentive Plan to increase the number of shares reserved for issuance thereunder by 850,000 shares was approved by our shareholders at our annual meeting held on May 2, 2014. Our Stock Ownership Participation Program was approved by our shareholders at our annual meeting held on May 1, 2015. Our 2004 Omnibus Stock Plan was approved by the existing shareholders prior to our initial public offering.</w:t>
      </w:r>
    </w:p>
    <w:p>
      <w:pPr>
        <w:spacing w:after="0" w:line="9" w:lineRule="exact"/>
        <w:rPr>
          <w:rFonts w:ascii="Arial" w:cs="Arial" w:eastAsia="Arial" w:hAnsi="Arial"/>
          <w:sz w:val="17"/>
          <w:szCs w:val="17"/>
          <w:color w:val="auto"/>
        </w:rPr>
      </w:pPr>
    </w:p>
    <w:p>
      <w:pPr>
        <w:ind w:left="420" w:right="220" w:hanging="412"/>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adoption of the 2012 Omnibus Incentive Plan, we terminated the 2004 Omnibus Stock Plan with respect to future awards and no further awards will be granted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3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27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line="209" w:lineRule="auto"/>
        <w:framePr w:w="2160" w:h="160" w:wrap="auto" w:vAnchor="page" w:hAnchor="page" w:x="7960" w:y="5787"/>
        <w:rPr>
          <w:rFonts w:ascii="Arial" w:cs="Arial" w:eastAsia="Arial" w:hAnsi="Arial"/>
          <w:sz w:val="16"/>
          <w:szCs w:val="16"/>
          <w:b w:val="1"/>
          <w:bCs w:val="1"/>
          <w:color w:val="auto"/>
        </w:rPr>
      </w:pPr>
      <w:r>
        <w:rPr>
          <w:rFonts w:ascii="Arial" w:cs="Arial" w:eastAsia="Arial" w:hAnsi="Arial"/>
          <w:sz w:val="16"/>
          <w:szCs w:val="16"/>
          <w:b w:val="1"/>
          <w:bCs w:val="1"/>
          <w:color w:val="auto"/>
        </w:rPr>
        <w:t>Incorporated by Reference</w:t>
      </w:r>
    </w:p>
    <w:p>
      <w:pPr>
        <w:spacing w:after="0" w:line="218" w:lineRule="auto"/>
        <w:framePr w:w="4300" w:h="376" w:wrap="auto" w:vAnchor="page" w:hAnchor="page" w:x="1260" w:y="3113"/>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 Consolidated Balance Sheets</w:t>
      </w:r>
    </w:p>
    <w:p>
      <w:pPr>
        <w:spacing w:after="0" w:line="218" w:lineRule="auto"/>
        <w:framePr w:w="5260" w:h="376" w:wrap="auto" w:vAnchor="page" w:hAnchor="page" w:x="1260" w:y="3545"/>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Earnings and Other Comprehensive Income Consolidated Statements of Stockholders’ Equity</w:t>
      </w:r>
    </w:p>
    <w:p>
      <w:pPr>
        <w:spacing w:after="0" w:line="245" w:lineRule="auto"/>
        <w:framePr w:w="3240" w:h="376" w:wrap="auto" w:vAnchor="page" w:hAnchor="page" w:x="1260" w:y="3977"/>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of Cash Flows Notes to Consolidated Financial Statements</w:t>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0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rFonts w:ascii="Arial" w:cs="Arial" w:eastAsia="Arial" w:hAnsi="Arial"/>
          <w:sz w:val="16"/>
          <w:szCs w:val="16"/>
          <w:b w:val="1"/>
          <w:bCs w:val="1"/>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9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5" w:lineRule="exact"/>
        <w:rPr>
          <w:rFonts w:ascii="Arial" w:cs="Arial" w:eastAsia="Arial" w:hAnsi="Arial"/>
          <w:sz w:val="16"/>
          <w:szCs w:val="16"/>
          <w:b w:val="1"/>
          <w:bCs w:val="1"/>
          <w:color w:val="auto"/>
        </w:rPr>
      </w:pPr>
    </w:p>
    <w:p>
      <w:pPr>
        <w:ind w:left="820" w:right="60" w:hanging="812"/>
        <w:spacing w:after="0" w:line="277" w:lineRule="auto"/>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7" w:lineRule="exact"/>
        <w:rPr>
          <w:rFonts w:ascii="Arial" w:cs="Arial" w:eastAsia="Arial" w:hAnsi="Arial"/>
          <w:sz w:val="16"/>
          <w:szCs w:val="16"/>
          <w:b w:val="1"/>
          <w:bCs w:val="1"/>
          <w:color w:val="auto"/>
        </w:rPr>
      </w:pPr>
    </w:p>
    <w:p>
      <w:pPr>
        <w:ind w:left="820" w:hanging="812"/>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4198620</wp:posOffset>
            </wp:positionH>
            <wp:positionV relativeFrom="paragraph">
              <wp:posOffset>392430</wp:posOffset>
            </wp:positionV>
            <wp:extent cx="2778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0"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2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Period</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Ending</w:t>
            </w: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180"/>
              <w:spacing w:after="0"/>
              <w:rPr>
                <w:sz w:val="20"/>
                <w:szCs w:val="20"/>
                <w:color w:val="auto"/>
              </w:rPr>
            </w:pPr>
            <w:r>
              <w:rPr>
                <w:rFonts w:ascii="Arial" w:cs="Arial" w:eastAsia="Arial" w:hAnsi="Arial"/>
                <w:sz w:val="18"/>
                <w:szCs w:val="18"/>
                <w:color w:val="auto"/>
              </w:rPr>
              <w:t>2.1</w:t>
            </w: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Agreement and Plan of Merger, dated as of January</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2/13/2015</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26, 2015, by and among Huron Consulting Group</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8"/>
              </w:rPr>
              <w:t>Inc., Texas Acquisition Inc., Studer Holdings, Inc.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and Fortis Advisors LLC, solely in the capacity as</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stockholders’ and optionholders’ representative</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thereunder.</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180"/>
              <w:spacing w:after="0"/>
              <w:rPr>
                <w:sz w:val="20"/>
                <w:szCs w:val="20"/>
                <w:color w:val="auto"/>
              </w:rPr>
            </w:pPr>
            <w:r>
              <w:rPr>
                <w:rFonts w:ascii="Arial" w:cs="Arial" w:eastAsia="Arial" w:hAnsi="Arial"/>
                <w:sz w:val="18"/>
                <w:szCs w:val="18"/>
                <w:color w:val="auto"/>
              </w:rPr>
              <w:t>2.2</w:t>
            </w: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Purchase Agreement, dated as of December 10,</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1/7/2016</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2015, by and among Huron Consulting Group Inc.,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Huron Consulting Services LLC, Huron Consulting</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Group Holdings LLC, and Consilio,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180"/>
              <w:spacing w:after="0"/>
              <w:rPr>
                <w:sz w:val="20"/>
                <w:szCs w:val="20"/>
                <w:color w:val="auto"/>
              </w:rPr>
            </w:pPr>
            <w:r>
              <w:rPr>
                <w:rFonts w:ascii="Arial" w:cs="Arial" w:eastAsia="Arial" w:hAnsi="Arial"/>
                <w:sz w:val="18"/>
                <w:szCs w:val="18"/>
                <w:color w:val="auto"/>
              </w:rPr>
              <w:t>3.1</w:t>
            </w:r>
          </w:p>
        </w:tc>
        <w:tc>
          <w:tcPr>
            <w:tcW w:w="3980" w:type="dxa"/>
            <w:vAlign w:val="bottom"/>
          </w:tcPr>
          <w:p>
            <w:pPr>
              <w:ind w:left="120"/>
              <w:spacing w:after="0"/>
              <w:rPr>
                <w:sz w:val="20"/>
                <w:szCs w:val="20"/>
                <w:color w:val="auto"/>
              </w:rPr>
            </w:pPr>
            <w:r>
              <w:rPr>
                <w:rFonts w:ascii="Arial" w:cs="Arial" w:eastAsia="Arial" w:hAnsi="Arial"/>
                <w:sz w:val="18"/>
                <w:szCs w:val="18"/>
                <w:color w:val="auto"/>
              </w:rPr>
              <w:t>Third Amended and Restated Certificate of</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12/31/2004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2/16/2005</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Incorporation of Huron Consulting Group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180"/>
              <w:spacing w:after="0"/>
              <w:rPr>
                <w:sz w:val="20"/>
                <w:szCs w:val="20"/>
                <w:color w:val="auto"/>
              </w:rPr>
            </w:pPr>
            <w:r>
              <w:rPr>
                <w:rFonts w:ascii="Arial" w:cs="Arial" w:eastAsia="Arial" w:hAnsi="Arial"/>
                <w:sz w:val="18"/>
                <w:szCs w:val="18"/>
                <w:color w:val="auto"/>
              </w:rPr>
              <w:t>3.2</w:t>
            </w: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Amended and Restated Bylaws of Huron Consulting</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Group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3980" w:type="dxa"/>
            <w:vAlign w:val="bottom"/>
          </w:tcPr>
          <w:p>
            <w:pPr>
              <w:ind w:left="120"/>
              <w:spacing w:after="0"/>
              <w:rPr>
                <w:sz w:val="20"/>
                <w:szCs w:val="20"/>
                <w:color w:val="auto"/>
              </w:rPr>
            </w:pPr>
            <w:r>
              <w:rPr>
                <w:rFonts w:ascii="Arial" w:cs="Arial" w:eastAsia="Arial" w:hAnsi="Arial"/>
                <w:sz w:val="18"/>
                <w:szCs w:val="18"/>
                <w:color w:val="auto"/>
              </w:rPr>
              <w:t>Specimen Stock Certificate.</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16"/>
        </w:trPr>
        <w:tc>
          <w:tcPr>
            <w:tcW w:w="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Indenture (including Form of Note) with respect to</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the Company’s 1.25% Convertible Senior Notes due</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2019, dated as of September 10, 2014, between</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Huron Consulting Group Inc. and U.S. Bank</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National Association, as trustee.</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w:t>
            </w:r>
          </w:p>
        </w:tc>
        <w:tc>
          <w:tcPr>
            <w:tcW w:w="3980" w:type="dxa"/>
            <w:vAlign w:val="bottom"/>
          </w:tcPr>
          <w:p>
            <w:pPr>
              <w:ind w:left="120"/>
              <w:spacing w:after="0"/>
              <w:rPr>
                <w:sz w:val="20"/>
                <w:szCs w:val="20"/>
                <w:color w:val="auto"/>
              </w:rPr>
            </w:pPr>
            <w:r>
              <w:rPr>
                <w:rFonts w:ascii="Arial" w:cs="Arial" w:eastAsia="Arial" w:hAnsi="Arial"/>
                <w:sz w:val="18"/>
                <w:szCs w:val="18"/>
                <w:color w:val="auto"/>
                <w:w w:val="91"/>
              </w:rPr>
              <w:t>Office Lease, dated December 2003, between Union</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Tower, LLC and Huron Consulting Services LLC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(formerly known as Huron Consulting Group LLC).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w:t>
            </w:r>
          </w:p>
        </w:tc>
        <w:tc>
          <w:tcPr>
            <w:tcW w:w="3980" w:type="dxa"/>
            <w:vAlign w:val="bottom"/>
          </w:tcPr>
          <w:p>
            <w:pPr>
              <w:ind w:left="120"/>
              <w:spacing w:after="0"/>
              <w:rPr>
                <w:sz w:val="20"/>
                <w:szCs w:val="20"/>
                <w:color w:val="auto"/>
              </w:rPr>
            </w:pPr>
            <w:r>
              <w:rPr>
                <w:rFonts w:ascii="Arial" w:cs="Arial" w:eastAsia="Arial" w:hAnsi="Arial"/>
                <w:sz w:val="18"/>
                <w:szCs w:val="18"/>
                <w:color w:val="auto"/>
                <w:w w:val="98"/>
              </w:rPr>
              <w:t>Amended and Restated Huron Consulting Group</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5/5/2010</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Inc. 2004 Omnibus Stock Plan.</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10.3*</w:t>
            </w:r>
          </w:p>
        </w:tc>
        <w:tc>
          <w:tcPr>
            <w:tcW w:w="3980" w:type="dxa"/>
            <w:vAlign w:val="bottom"/>
          </w:tcPr>
          <w:p>
            <w:pPr>
              <w:ind w:left="120"/>
              <w:spacing w:after="0"/>
              <w:rPr>
                <w:sz w:val="20"/>
                <w:szCs w:val="20"/>
                <w:color w:val="auto"/>
              </w:rPr>
            </w:pPr>
            <w:r>
              <w:rPr>
                <w:rFonts w:ascii="Arial" w:cs="Arial" w:eastAsia="Arial" w:hAnsi="Arial"/>
                <w:sz w:val="18"/>
                <w:szCs w:val="18"/>
                <w:color w:val="auto"/>
              </w:rPr>
              <w:t>Huron Consulting Group Inc. Deferred</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90"/>
              </w:rPr>
              <w:t>12/31/2008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2/24/2009</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Compensation Plan as Amended and Restated</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effective January 1, 2009.</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10.4*</w:t>
            </w:r>
          </w:p>
        </w:tc>
        <w:tc>
          <w:tcPr>
            <w:tcW w:w="3980" w:type="dxa"/>
            <w:vAlign w:val="bottom"/>
          </w:tcPr>
          <w:p>
            <w:pPr>
              <w:ind w:left="120"/>
              <w:spacing w:after="0"/>
              <w:rPr>
                <w:sz w:val="20"/>
                <w:szCs w:val="20"/>
                <w:color w:val="auto"/>
              </w:rPr>
            </w:pPr>
            <w:r>
              <w:rPr>
                <w:rFonts w:ascii="Arial" w:cs="Arial" w:eastAsia="Arial" w:hAnsi="Arial"/>
                <w:sz w:val="18"/>
                <w:szCs w:val="18"/>
                <w:color w:val="auto"/>
              </w:rPr>
              <w:t>Amended and Restated Senior Management</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1/14/2010</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Agreement by and between Huron Consulting</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Group Inc. and James H. Roth.</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0" w:lineRule="exact"/>
        <w:rPr>
          <w:rFonts w:ascii="Arial" w:cs="Arial" w:eastAsia="Arial" w:hAnsi="Arial"/>
          <w:sz w:val="16"/>
          <w:szCs w:val="16"/>
          <w:b w:val="1"/>
          <w:bCs w:val="1"/>
          <w:color w:val="auto"/>
        </w:rPr>
      </w:pPr>
    </w:p>
    <w:p>
      <w:pPr>
        <w:sectPr>
          <w:pgSz w:w="11900" w:h="16838" w:orient="portrait"/>
          <w:cols w:equalWidth="0" w:num="1">
            <w:col w:w="11420"/>
          </w:cols>
          <w:pgMar w:left="240" w:top="125" w:right="239" w:bottom="1440" w:gutter="0" w:footer="0" w:header="0"/>
        </w:sectPr>
      </w:pPr>
    </w:p>
    <w:p>
      <w:pPr>
        <w:spacing w:after="0" w:line="69"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Period</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2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40"/>
              <w:spacing w:after="0"/>
              <w:rPr>
                <w:sz w:val="20"/>
                <w:szCs w:val="20"/>
                <w:color w:val="auto"/>
              </w:rPr>
            </w:pPr>
            <w:r>
              <w:rPr>
                <w:rFonts w:ascii="Arial" w:cs="Arial" w:eastAsia="Arial" w:hAnsi="Arial"/>
                <w:sz w:val="18"/>
                <w:szCs w:val="18"/>
                <w:color w:val="auto"/>
              </w:rPr>
              <w:t>10.5*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Senior Management Agreement by and between</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3/22/2011</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Huron Consulting Group Inc. and Diane Ratekin.</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Senior Management Agreement by and between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7/19/2011</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Huron Consulting Group Inc. and C. Mark Hussey.</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First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0"/>
              </w:rPr>
              <w:t>12/31/2012</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August 23, 2004.</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Second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0"/>
              </w:rPr>
              <w:t>12/31/2012</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March 14, 2007.</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Third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0"/>
              </w:rPr>
              <w:t>12/31/2012</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April 2, 2010.</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10.10</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Fourth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1/4/2013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December 31, 2012.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0"/>
              </w:rPr>
              <w:t>12/31/2012</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10.20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Omnibus Incentive Plan Restricted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10.12</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Purchase Agreement, dated as of September 4,</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2014,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Merrill Lynch, Pierce, Fenner &amp; Smith Incorporated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1"/>
              </w:rPr>
              <w:t>and J.P. Morgan Securities LLC, as Representatives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of the several Initial Purchasers.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10.13</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Confirmation, dated as of September 4,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10.14</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Confirmation, dated as of September 4,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and between Huron Consulting Group Inc.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Morgan Securities LLC, as an agent for JPMorgan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Chase 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Issuer Warrant Transaction Confirmation,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dated as of September 4, 2014, by and between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Huron Consulting Group Inc. and Bank of America,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Issuer Warrant Transaction Confirmation,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10.5</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dated as of September 4, 2014, by and between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and J.P. 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Securities LLC, as an agent for JPMorgan Chase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280" w:type="dxa"/>
            <w:vAlign w:val="bottom"/>
          </w:tcPr>
          <w:p>
            <w:pPr>
              <w:spacing w:after="0"/>
              <w:rPr>
                <w:sz w:val="22"/>
                <w:szCs w:val="22"/>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920"/>
        <w:spacing w:after="0"/>
        <w:rPr>
          <w:sz w:val="20"/>
          <w:szCs w:val="20"/>
          <w:color w:val="auto"/>
        </w:rPr>
      </w:pPr>
      <w:r>
        <w:rPr>
          <w:rFonts w:ascii="Arial" w:cs="Arial" w:eastAsia="Arial" w:hAnsi="Arial"/>
          <w:sz w:val="18"/>
          <w:szCs w:val="18"/>
          <w:color w:val="auto"/>
        </w:rPr>
        <w:t>and between Huron Consulting Group Inc. and J.P.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Morgan Securities LLC, as an agent for JPMorgan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Chase Bank, National Association, London Branch.</w:t>
      </w:r>
    </w:p>
    <w:p>
      <w:pPr>
        <w:sectPr>
          <w:pgSz w:w="11900" w:h="16838" w:orient="portrait"/>
          <w:cols w:equalWidth="0" w:num="1">
            <w:col w:w="10980"/>
          </w:cols>
          <w:pgMar w:left="240" w:top="108" w:right="679" w:bottom="1440" w:gutter="0" w:footer="0" w:header="0"/>
        </w:sectPr>
      </w:pPr>
    </w:p>
    <w:p>
      <w:pPr>
        <w:spacing w:after="0" w:line="2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240" w:top="108" w:right="67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04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Ending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40"/>
              <w:spacing w:after="0"/>
              <w:rPr>
                <w:sz w:val="20"/>
                <w:szCs w:val="20"/>
                <w:color w:val="auto"/>
              </w:rPr>
            </w:pPr>
            <w:r>
              <w:rPr>
                <w:rFonts w:ascii="Arial" w:cs="Arial" w:eastAsia="Arial" w:hAnsi="Arial"/>
                <w:sz w:val="18"/>
                <w:szCs w:val="18"/>
                <w:color w:val="auto"/>
              </w:rPr>
              <w:t>10.19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Issuer Warrant Transaction</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10.20</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Issuer Warrant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and between Huron Consulting Group Inc.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Morgan Securities LLC, as an agent for JPMorgan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Chase 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Omnibus Incentive Plan Restricted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 (Stock Ownership Participation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Program).</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10.22*</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Omnibus Incentive Plan Performance Stock Unit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10.23*</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Omnibus Incentive Plan Stock Option 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10.24*</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7"/>
              </w:rPr>
              <w:t>Omnibus Incentive Plan NEO Performance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Unit 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Second Amended and Restated Credit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 among Huron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Consulting Group Inc., as Borrower, certain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subsidiaries as Guarantors, the Lenders Party Hereto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Bank of America, N.A., as Administrative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Agent and Collateral Agent, JPMorgan Chase Bank,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N.A., as Syndication Agent, PNC Bank, Bank of</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Montreal and Key Bank National Association as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Co-Documentation Agents, and Merrill Lynch,</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Pierce, Fenner &amp; Smith Incorporated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Morgan Securities LLC, as Joint Lead Arrangers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Joint Book Managers.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Second Amended and Restated Security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Second Amended and Restated Pledge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Stock Ownership</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3/20/2015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Participation Program.</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2012 Omnibus</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Incentive Plan, as amended and restated.</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21.1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List of Subsidiaries of Huron Consulting Group Inc.</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23.1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Consent of PricewaterhouseCoopers LLP.</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31.1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Certification of the Chief Executive Officer,</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pursuant to Rule 13a-14(a)/15d-14(a), as adopted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pursuant to Section 302 of the Sarbanes-Oxley Act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31.2</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Certification of the Chief Financial Officer, pursuant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to Rule 13a-14(a)/15d-14(a), as adopted pursuant 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Section 302 of the Sarbanes-Oxley Act 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6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80"/>
          </w:cols>
          <w:pgMar w:left="240" w:top="108" w:right="67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Period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ind w:left="380"/>
              <w:spacing w:after="0"/>
              <w:rPr>
                <w:sz w:val="20"/>
                <w:szCs w:val="20"/>
                <w:color w:val="auto"/>
              </w:rPr>
            </w:pPr>
            <w:r>
              <w:rPr>
                <w:rFonts w:ascii="Arial" w:cs="Arial" w:eastAsia="Arial" w:hAnsi="Arial"/>
                <w:sz w:val="18"/>
                <w:szCs w:val="18"/>
                <w:b w:val="1"/>
                <w:bCs w:val="1"/>
                <w:color w:val="auto"/>
              </w:rPr>
              <w:t>Form</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Executive Officer,</w:t>
            </w:r>
          </w:p>
        </w:tc>
        <w:tc>
          <w:tcPr>
            <w:tcW w:w="8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pursuant to 18 U.S.C. Section 1350, as adopted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4"/>
              </w:rPr>
              <w:t>pursuant to Section 906 of the Sarbanes-Oxley Act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the Chief Financial Officer, pursuant</w:t>
            </w:r>
          </w:p>
        </w:tc>
        <w:tc>
          <w:tcPr>
            <w:tcW w:w="8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5"/>
              </w:rPr>
              <w:t>to 18 U.S.C. Section 1350, as adopted pursuant 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101.INS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101.SCH</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101.CAL</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8"/>
              </w:rPr>
              <w:t>XBRL Taxonomy Extension Calculation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101.LAB</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101.PRE</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5"/>
              </w:rPr>
              <w:t>XBRL Taxonomy Extension Presentation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101.DEF</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51</w:t>
      </w:r>
    </w:p>
    <w:p>
      <w:pPr>
        <w:sectPr>
          <w:pgSz w:w="11900" w:h="16838" w:orient="portrait"/>
          <w:cols w:equalWidth="0" w:num="1">
            <w:col w:w="10980"/>
          </w:cols>
          <w:pgMar w:left="240" w:top="108" w:right="6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472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7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/s/  James H. Roth</w:t>
            </w: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340" w:type="dxa"/>
            <w:vAlign w:val="bottom"/>
            <w:gridSpan w:val="3"/>
          </w:tcPr>
          <w:p>
            <w:pPr>
              <w:ind w:left="1020"/>
              <w:spacing w:after="0"/>
              <w:rPr>
                <w:sz w:val="20"/>
                <w:szCs w:val="20"/>
                <w:color w:val="auto"/>
              </w:rPr>
            </w:pPr>
            <w:r>
              <w:rPr>
                <w:rFonts w:ascii="Arial" w:cs="Arial" w:eastAsia="Arial" w:hAnsi="Arial"/>
                <w:sz w:val="18"/>
                <w:szCs w:val="18"/>
                <w:color w:val="auto"/>
                <w:w w:val="88"/>
              </w:rPr>
              <w:t>February 22, 2016</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James H. Roth</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C. Mark Hussey,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496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540" w:type="dxa"/>
            <w:vAlign w:val="bottom"/>
          </w:tcPr>
          <w:p>
            <w:pPr>
              <w:spacing w:after="0"/>
              <w:rPr>
                <w:sz w:val="18"/>
                <w:szCs w:val="18"/>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1020"/>
              <w:spacing w:after="0"/>
              <w:rPr>
                <w:sz w:val="20"/>
                <w:szCs w:val="20"/>
                <w:color w:val="auto"/>
              </w:rPr>
            </w:pPr>
            <w:r>
              <w:rPr>
                <w:rFonts w:ascii="Arial" w:cs="Arial" w:eastAsia="Arial" w:hAnsi="Arial"/>
                <w:sz w:val="18"/>
                <w:szCs w:val="18"/>
                <w:color w:val="auto"/>
                <w:w w:val="94"/>
              </w:rPr>
              <w:t>JAMES H. ROTH</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41"/>
        </w:trPr>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96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vMerge w:val="restart"/>
          </w:tcPr>
          <w:p>
            <w:pPr>
              <w:jc w:val="center"/>
              <w:ind w:right="1020"/>
              <w:spacing w:after="0"/>
              <w:rPr>
                <w:sz w:val="20"/>
                <w:szCs w:val="20"/>
                <w:color w:val="auto"/>
              </w:rPr>
            </w:pPr>
            <w:r>
              <w:rPr>
                <w:rFonts w:ascii="Arial" w:cs="Arial" w:eastAsia="Arial" w:hAnsi="Arial"/>
                <w:sz w:val="18"/>
                <w:szCs w:val="18"/>
                <w:color w:val="auto"/>
                <w:w w:val="87"/>
              </w:rPr>
              <w:t>James H. Roth</w:t>
            </w:r>
          </w:p>
        </w:tc>
        <w:tc>
          <w:tcPr>
            <w:tcW w:w="4960" w:type="dxa"/>
            <w:vAlign w:val="bottom"/>
            <w:gridSpan w:val="3"/>
            <w:vMerge w:val="continue"/>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2880" w:type="dxa"/>
            <w:vAlign w:val="bottom"/>
            <w:gridSpan w:val="4"/>
          </w:tcPr>
          <w:p>
            <w:pPr>
              <w:ind w:left="100"/>
              <w:spacing w:after="0"/>
              <w:rPr>
                <w:sz w:val="20"/>
                <w:szCs w:val="20"/>
                <w:color w:val="auto"/>
              </w:rPr>
            </w:pPr>
            <w:r>
              <w:rPr>
                <w:rFonts w:ascii="Arial" w:cs="Arial" w:eastAsia="Arial" w:hAnsi="Arial"/>
                <w:sz w:val="18"/>
                <w:szCs w:val="18"/>
                <w:color w:val="auto"/>
              </w:rPr>
              <w:t>JOHN F. MCCARTNEY</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Non-Executive Chairman of the Board</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John F. McCartney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GEORGE E. MASSARO</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Vice Chairman of the Board</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George E. Massaro</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/s/</w:t>
            </w:r>
          </w:p>
        </w:tc>
        <w:tc>
          <w:tcPr>
            <w:tcW w:w="2580" w:type="dxa"/>
            <w:vAlign w:val="bottom"/>
            <w:gridSpan w:val="3"/>
            <w:vMerge w:val="restart"/>
          </w:tcPr>
          <w:p>
            <w:pPr>
              <w:jc w:val="center"/>
              <w:ind w:right="920"/>
              <w:spacing w:after="0"/>
              <w:rPr>
                <w:sz w:val="20"/>
                <w:szCs w:val="20"/>
                <w:color w:val="auto"/>
              </w:rPr>
            </w:pPr>
            <w:r>
              <w:rPr>
                <w:rFonts w:ascii="Arial" w:cs="Arial" w:eastAsia="Arial" w:hAnsi="Arial"/>
                <w:sz w:val="18"/>
                <w:szCs w:val="18"/>
                <w:color w:val="auto"/>
                <w:w w:val="97"/>
              </w:rPr>
              <w:t>C. MARK HUSSEY</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Operating Officer,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580" w:type="dxa"/>
            <w:vAlign w:val="bottom"/>
            <w:gridSpan w:val="3"/>
            <w:vMerge w:val="continue"/>
          </w:tcPr>
          <w:p>
            <w:pPr>
              <w:spacing w:after="0"/>
              <w:rPr>
                <w:sz w:val="7"/>
                <w:szCs w:val="7"/>
                <w:color w:val="auto"/>
              </w:rPr>
            </w:pPr>
          </w:p>
        </w:tc>
        <w:tc>
          <w:tcPr>
            <w:tcW w:w="4960" w:type="dxa"/>
            <w:vAlign w:val="bottom"/>
            <w:gridSpan w:val="3"/>
            <w:vMerge w:val="restart"/>
          </w:tcPr>
          <w:p>
            <w:pPr>
              <w:ind w:left="260"/>
              <w:spacing w:after="0"/>
              <w:rPr>
                <w:sz w:val="20"/>
                <w:szCs w:val="20"/>
                <w:color w:val="auto"/>
              </w:rPr>
            </w:pPr>
            <w:r>
              <w:rPr>
                <w:rFonts w:ascii="Arial" w:cs="Arial" w:eastAsia="Arial" w:hAnsi="Arial"/>
                <w:sz w:val="18"/>
                <w:szCs w:val="18"/>
                <w:color w:val="auto"/>
              </w:rPr>
              <w:t>Chief Financial Officer and Treasurer</w:t>
            </w:r>
          </w:p>
        </w:tc>
        <w:tc>
          <w:tcPr>
            <w:tcW w:w="1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960" w:type="dxa"/>
            <w:vAlign w:val="bottom"/>
            <w:gridSpan w:val="3"/>
            <w:vMerge w:val="continue"/>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960" w:type="dxa"/>
            <w:vAlign w:val="bottom"/>
            <w:gridSpan w:val="3"/>
            <w:vMerge w:val="continue"/>
          </w:tcPr>
          <w:p>
            <w:pPr>
              <w:spacing w:after="0"/>
              <w:rPr>
                <w:sz w:val="7"/>
                <w:szCs w:val="7"/>
                <w:color w:val="auto"/>
              </w:rPr>
            </w:pPr>
          </w:p>
        </w:tc>
        <w:tc>
          <w:tcPr>
            <w:tcW w:w="1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960"/>
              <w:spacing w:after="0"/>
              <w:rPr>
                <w:sz w:val="20"/>
                <w:szCs w:val="20"/>
                <w:color w:val="auto"/>
              </w:rPr>
            </w:pPr>
            <w:r>
              <w:rPr>
                <w:rFonts w:ascii="Arial" w:cs="Arial" w:eastAsia="Arial" w:hAnsi="Arial"/>
                <w:sz w:val="18"/>
                <w:szCs w:val="18"/>
                <w:color w:val="auto"/>
                <w:w w:val="92"/>
              </w:rPr>
              <w:t>C. Mark Hussey</w:t>
            </w:r>
          </w:p>
        </w:tc>
        <w:tc>
          <w:tcPr>
            <w:tcW w:w="4960" w:type="dxa"/>
            <w:vAlign w:val="bottom"/>
            <w:gridSpan w:val="3"/>
          </w:tcPr>
          <w:p>
            <w:pPr>
              <w:ind w:left="260"/>
              <w:spacing w:after="0"/>
              <w:rPr>
                <w:sz w:val="20"/>
                <w:szCs w:val="20"/>
                <w:color w:val="auto"/>
              </w:rPr>
            </w:pPr>
            <w:r>
              <w:rPr>
                <w:rFonts w:ascii="Arial" w:cs="Arial" w:eastAsia="Arial" w:hAnsi="Arial"/>
                <w:sz w:val="18"/>
                <w:szCs w:val="18"/>
                <w:i w:val="1"/>
                <w:iCs w:val="1"/>
                <w:color w:val="auto"/>
              </w:rPr>
              <w:t>(Principal Financial Officer)</w:t>
            </w: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920"/>
              <w:spacing w:after="0"/>
              <w:rPr>
                <w:sz w:val="20"/>
                <w:szCs w:val="20"/>
                <w:color w:val="auto"/>
              </w:rPr>
            </w:pPr>
            <w:r>
              <w:rPr>
                <w:rFonts w:ascii="Arial" w:cs="Arial" w:eastAsia="Arial" w:hAnsi="Arial"/>
                <w:sz w:val="18"/>
                <w:szCs w:val="18"/>
                <w:color w:val="auto"/>
                <w:w w:val="97"/>
              </w:rPr>
              <w:t>JOHN D. KELLY</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Chief Accounting Officer and Assistant Treasurer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41"/>
        </w:trPr>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96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Accounting Officer)</w:t>
            </w:r>
          </w:p>
        </w:tc>
        <w:tc>
          <w:tcPr>
            <w:tcW w:w="1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vMerge w:val="restart"/>
          </w:tcPr>
          <w:p>
            <w:pPr>
              <w:jc w:val="center"/>
              <w:ind w:right="1200"/>
              <w:spacing w:after="0"/>
              <w:rPr>
                <w:sz w:val="20"/>
                <w:szCs w:val="20"/>
                <w:color w:val="auto"/>
              </w:rPr>
            </w:pPr>
            <w:r>
              <w:rPr>
                <w:rFonts w:ascii="Arial" w:cs="Arial" w:eastAsia="Arial" w:hAnsi="Arial"/>
                <w:sz w:val="18"/>
                <w:szCs w:val="18"/>
                <w:color w:val="auto"/>
                <w:w w:val="96"/>
              </w:rPr>
              <w:t>John D. Kelly</w:t>
            </w:r>
          </w:p>
        </w:tc>
        <w:tc>
          <w:tcPr>
            <w:tcW w:w="4960" w:type="dxa"/>
            <w:vAlign w:val="bottom"/>
            <w:gridSpan w:val="3"/>
            <w:vMerge w:val="continue"/>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gridSpan w:val="5"/>
          </w:tcPr>
          <w:p>
            <w:pPr>
              <w:ind w:left="820"/>
              <w:spacing w:after="0"/>
              <w:rPr>
                <w:sz w:val="20"/>
                <w:szCs w:val="20"/>
                <w:color w:val="auto"/>
              </w:rPr>
            </w:pPr>
            <w:r>
              <w:rPr>
                <w:rFonts w:ascii="Arial" w:cs="Arial" w:eastAsia="Arial" w:hAnsi="Arial"/>
                <w:sz w:val="18"/>
                <w:szCs w:val="18"/>
                <w:color w:val="auto"/>
              </w:rPr>
              <w:t>/s/  JAMES D. EDWARDS</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James D. Edwards</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720"/>
              <w:spacing w:after="0"/>
              <w:rPr>
                <w:sz w:val="20"/>
                <w:szCs w:val="20"/>
                <w:color w:val="auto"/>
              </w:rPr>
            </w:pPr>
            <w:r>
              <w:rPr>
                <w:rFonts w:ascii="Arial" w:cs="Arial" w:eastAsia="Arial" w:hAnsi="Arial"/>
                <w:sz w:val="18"/>
                <w:szCs w:val="18"/>
                <w:color w:val="auto"/>
                <w:w w:val="83"/>
              </w:rPr>
              <w:t>/s/</w:t>
            </w:r>
          </w:p>
        </w:tc>
        <w:tc>
          <w:tcPr>
            <w:tcW w:w="2880" w:type="dxa"/>
            <w:vAlign w:val="bottom"/>
            <w:gridSpan w:val="4"/>
          </w:tcPr>
          <w:p>
            <w:pPr>
              <w:jc w:val="center"/>
              <w:ind w:right="600"/>
              <w:spacing w:after="0"/>
              <w:rPr>
                <w:sz w:val="20"/>
                <w:szCs w:val="20"/>
                <w:color w:val="auto"/>
              </w:rPr>
            </w:pPr>
            <w:r>
              <w:rPr>
                <w:rFonts w:ascii="Arial" w:cs="Arial" w:eastAsia="Arial" w:hAnsi="Arial"/>
                <w:sz w:val="18"/>
                <w:szCs w:val="18"/>
                <w:color w:val="auto"/>
                <w:w w:val="96"/>
              </w:rPr>
              <w:t>H. EUGENE LOCKHART</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288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H. Eugene Lockhart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JOHN S. MOODY</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1"/>
              </w:rPr>
              <w:t>John S. Moody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920"/>
              <w:spacing w:after="0"/>
              <w:rPr>
                <w:sz w:val="20"/>
                <w:szCs w:val="20"/>
                <w:color w:val="auto"/>
              </w:rPr>
            </w:pPr>
            <w:r>
              <w:rPr>
                <w:rFonts w:ascii="Arial" w:cs="Arial" w:eastAsia="Arial" w:hAnsi="Arial"/>
                <w:sz w:val="18"/>
                <w:szCs w:val="18"/>
                <w:color w:val="auto"/>
                <w:w w:val="98"/>
              </w:rPr>
              <w:t>DEBRA ZUMWALT</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0"/>
              <w:spacing w:after="0"/>
              <w:rPr>
                <w:sz w:val="20"/>
                <w:szCs w:val="20"/>
                <w:color w:val="auto"/>
              </w:rPr>
            </w:pPr>
            <w:r>
              <w:rPr>
                <w:rFonts w:ascii="Arial" w:cs="Arial" w:eastAsia="Arial" w:hAnsi="Arial"/>
                <w:sz w:val="18"/>
                <w:szCs w:val="18"/>
                <w:color w:val="auto"/>
                <w:w w:val="89"/>
              </w:rPr>
              <w:t>February 22, 2016</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Debra Zumwalt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125" w:right="2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HURON CONSULTING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170180</wp:posOffset>
            </wp:positionV>
            <wp:extent cx="3679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23"/>
        </w:trPr>
        <w:tc>
          <w:tcPr>
            <w:tcW w:w="4220" w:type="dxa"/>
            <w:vAlign w:val="bottom"/>
            <w:tcBorders>
              <w:bottom w:val="single" w:sz="8" w:color="661DE8"/>
            </w:tcBorders>
            <w:gridSpan w:val="2"/>
          </w:tcPr>
          <w:p>
            <w:pPr>
              <w:spacing w:after="0"/>
              <w:rPr>
                <w:rFonts w:ascii="Arial" w:cs="Arial" w:eastAsia="Arial" w:hAnsi="Arial"/>
                <w:sz w:val="18"/>
                <w:szCs w:val="18"/>
                <w:color w:val="661DE8"/>
                <w:w w:val="91"/>
              </w:rPr>
            </w:pPr>
            <w:hyperlink w:anchor="page55">
              <w:r>
                <w:rPr>
                  <w:rFonts w:ascii="Arial" w:cs="Arial" w:eastAsia="Arial" w:hAnsi="Arial"/>
                  <w:sz w:val="18"/>
                  <w:szCs w:val="18"/>
                  <w:color w:val="661DE8"/>
                  <w:w w:val="91"/>
                </w:rPr>
                <w:t>Report of Independent Registered Public Accounting Firm</w:t>
              </w:r>
            </w:hyperlink>
          </w:p>
        </w:tc>
        <w:tc>
          <w:tcPr>
            <w:tcW w:w="6860" w:type="dxa"/>
            <w:vAlign w:val="bottom"/>
            <w:gridSpan w:val="5"/>
          </w:tcPr>
          <w:p>
            <w:pPr>
              <w:spacing w:after="0"/>
              <w:rPr>
                <w:sz w:val="19"/>
                <w:szCs w:val="19"/>
                <w:color w:val="auto"/>
              </w:rPr>
            </w:pP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5">
              <w:r>
                <w:rPr>
                  <w:rFonts w:ascii="Arial" w:cs="Arial" w:eastAsia="Arial" w:hAnsi="Arial"/>
                  <w:sz w:val="18"/>
                  <w:szCs w:val="18"/>
                  <w:color w:val="auto"/>
                  <w:w w:val="96"/>
                </w:rPr>
                <w:t>2</w:t>
              </w:r>
            </w:hyperlink>
          </w:p>
        </w:tc>
      </w:tr>
      <w:tr>
        <w:trPr>
          <w:trHeight w:val="250"/>
        </w:trPr>
        <w:tc>
          <w:tcPr>
            <w:tcW w:w="11080" w:type="dxa"/>
            <w:vAlign w:val="bottom"/>
            <w:gridSpan w:val="7"/>
          </w:tcPr>
          <w:p>
            <w:pPr>
              <w:spacing w:after="0"/>
              <w:rPr>
                <w:rFonts w:ascii="Arial" w:cs="Arial" w:eastAsia="Arial" w:hAnsi="Arial"/>
                <w:sz w:val="18"/>
                <w:szCs w:val="18"/>
                <w:color w:val="661DE8"/>
              </w:rPr>
            </w:pPr>
            <w:hyperlink w:anchor="page56">
              <w:r>
                <w:rPr>
                  <w:rFonts w:ascii="Arial" w:cs="Arial" w:eastAsia="Arial" w:hAnsi="Arial"/>
                  <w:sz w:val="18"/>
                  <w:szCs w:val="18"/>
                  <w:color w:val="661DE8"/>
                </w:rPr>
                <w:t xml:space="preserve">Consolidated Balance Sheets at December 31, 2015 and </w:t>
              </w:r>
            </w:hyperlink>
            <w:r>
              <w:rPr>
                <w:rFonts w:ascii="Arial" w:cs="Arial" w:eastAsia="Arial" w:hAnsi="Arial"/>
                <w:sz w:val="18"/>
                <w:szCs w:val="18"/>
                <w:color w:val="661DE8"/>
              </w:rPr>
              <w:t>2014</w:t>
            </w: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6">
              <w:r>
                <w:rPr>
                  <w:rFonts w:ascii="Arial" w:cs="Arial" w:eastAsia="Arial" w:hAnsi="Arial"/>
                  <w:sz w:val="18"/>
                  <w:szCs w:val="18"/>
                  <w:color w:val="auto"/>
                  <w:w w:val="96"/>
                </w:rPr>
                <w:t>3</w:t>
              </w:r>
            </w:hyperlink>
          </w:p>
        </w:tc>
      </w:tr>
      <w:tr>
        <w:trPr>
          <w:trHeight w:val="20"/>
        </w:trPr>
        <w:tc>
          <w:tcPr>
            <w:tcW w:w="3140" w:type="dxa"/>
            <w:vAlign w:val="bottom"/>
            <w:shd w:val="clear" w:color="auto" w:fill="661DE8"/>
          </w:tcPr>
          <w:p>
            <w:pPr>
              <w:spacing w:after="0" w:line="20" w:lineRule="exact"/>
              <w:rPr>
                <w:sz w:val="1"/>
                <w:szCs w:val="1"/>
                <w:color w:val="auto"/>
              </w:rPr>
            </w:pPr>
          </w:p>
        </w:tc>
        <w:tc>
          <w:tcPr>
            <w:tcW w:w="1280" w:type="dxa"/>
            <w:vAlign w:val="bottom"/>
            <w:gridSpan w:val="2"/>
            <w:shd w:val="clear" w:color="auto" w:fill="661DE8"/>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1080" w:type="dxa"/>
            <w:vAlign w:val="bottom"/>
            <w:gridSpan w:val="7"/>
          </w:tcPr>
          <w:p>
            <w:pPr>
              <w:spacing w:after="0"/>
              <w:rPr>
                <w:rFonts w:ascii="Arial" w:cs="Arial" w:eastAsia="Arial" w:hAnsi="Arial"/>
                <w:sz w:val="18"/>
                <w:szCs w:val="18"/>
                <w:color w:val="661DE8"/>
              </w:rPr>
            </w:pPr>
            <w:hyperlink w:anchor="page57">
              <w:r>
                <w:rPr>
                  <w:rFonts w:ascii="Arial" w:cs="Arial" w:eastAsia="Arial" w:hAnsi="Arial"/>
                  <w:sz w:val="18"/>
                  <w:szCs w:val="18"/>
                  <w:color w:val="661DE8"/>
                </w:rPr>
                <w:t xml:space="preserve">Consolidated Statements of Earnings and Other Comprehensive Income for the years ended December 31, </w:t>
              </w:r>
            </w:hyperlink>
            <w:r>
              <w:rPr>
                <w:rFonts w:ascii="Arial" w:cs="Arial" w:eastAsia="Arial" w:hAnsi="Arial"/>
                <w:sz w:val="18"/>
                <w:szCs w:val="18"/>
                <w:color w:val="661DE8"/>
              </w:rPr>
              <w:t>2015, 2014, and 2013</w:t>
            </w: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7">
              <w:r>
                <w:rPr>
                  <w:rFonts w:ascii="Arial" w:cs="Arial" w:eastAsia="Arial" w:hAnsi="Arial"/>
                  <w:sz w:val="18"/>
                  <w:szCs w:val="18"/>
                  <w:color w:val="auto"/>
                  <w:w w:val="96"/>
                </w:rPr>
                <w:t>4</w:t>
              </w:r>
            </w:hyperlink>
          </w:p>
        </w:tc>
      </w:tr>
      <w:tr>
        <w:trPr>
          <w:trHeight w:val="250"/>
        </w:trPr>
        <w:tc>
          <w:tcPr>
            <w:tcW w:w="9300" w:type="dxa"/>
            <w:vAlign w:val="bottom"/>
            <w:tcBorders>
              <w:top w:val="single" w:sz="8" w:color="661DE8"/>
            </w:tcBorders>
            <w:gridSpan w:val="6"/>
          </w:tcPr>
          <w:p>
            <w:pPr>
              <w:spacing w:after="0"/>
              <w:rPr>
                <w:rFonts w:ascii="Arial" w:cs="Arial" w:eastAsia="Arial" w:hAnsi="Arial"/>
                <w:sz w:val="18"/>
                <w:szCs w:val="18"/>
                <w:color w:val="661DE8"/>
              </w:rPr>
            </w:pPr>
            <w:hyperlink w:anchor="page58">
              <w:r>
                <w:rPr>
                  <w:rFonts w:ascii="Arial" w:cs="Arial" w:eastAsia="Arial" w:hAnsi="Arial"/>
                  <w:sz w:val="18"/>
                  <w:szCs w:val="18"/>
                  <w:color w:val="661DE8"/>
                </w:rPr>
                <w:t xml:space="preserve">Consolidated Statements of Stockholders’ Equity for the years ended December 31, </w:t>
              </w:r>
            </w:hyperlink>
            <w:r>
              <w:rPr>
                <w:rFonts w:ascii="Arial" w:cs="Arial" w:eastAsia="Arial" w:hAnsi="Arial"/>
                <w:sz w:val="18"/>
                <w:szCs w:val="18"/>
                <w:color w:val="661DE8"/>
              </w:rPr>
              <w:t>2015, 2014, and 2013</w:t>
            </w:r>
          </w:p>
        </w:tc>
        <w:tc>
          <w:tcPr>
            <w:tcW w:w="1780" w:type="dxa"/>
            <w:vAlign w:val="bottom"/>
          </w:tcPr>
          <w:p>
            <w:pPr>
              <w:spacing w:after="0"/>
              <w:rPr>
                <w:sz w:val="21"/>
                <w:szCs w:val="21"/>
                <w:color w:val="auto"/>
              </w:rPr>
            </w:pP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8">
              <w:r>
                <w:rPr>
                  <w:rFonts w:ascii="Arial" w:cs="Arial" w:eastAsia="Arial" w:hAnsi="Arial"/>
                  <w:sz w:val="18"/>
                  <w:szCs w:val="18"/>
                  <w:color w:val="auto"/>
                  <w:w w:val="96"/>
                </w:rPr>
                <w:t>5</w:t>
              </w:r>
            </w:hyperlink>
          </w:p>
        </w:tc>
      </w:tr>
      <w:tr>
        <w:trPr>
          <w:trHeight w:val="250"/>
        </w:trPr>
        <w:tc>
          <w:tcPr>
            <w:tcW w:w="7620" w:type="dxa"/>
            <w:vAlign w:val="bottom"/>
            <w:tcBorders>
              <w:top w:val="single" w:sz="8" w:color="661DE8"/>
            </w:tcBorders>
            <w:gridSpan w:val="5"/>
          </w:tcPr>
          <w:p>
            <w:pPr>
              <w:spacing w:after="0"/>
              <w:rPr>
                <w:rFonts w:ascii="Arial" w:cs="Arial" w:eastAsia="Arial" w:hAnsi="Arial"/>
                <w:sz w:val="18"/>
                <w:szCs w:val="18"/>
                <w:color w:val="661DE8"/>
                <w:w w:val="97"/>
              </w:rPr>
            </w:pPr>
            <w:hyperlink w:anchor="page59">
              <w:r>
                <w:rPr>
                  <w:rFonts w:ascii="Arial" w:cs="Arial" w:eastAsia="Arial" w:hAnsi="Arial"/>
                  <w:sz w:val="18"/>
                  <w:szCs w:val="18"/>
                  <w:color w:val="661DE8"/>
                  <w:w w:val="97"/>
                </w:rPr>
                <w:t xml:space="preserve">Consolidated Statements of Cash Flows for the years ended December 31, </w:t>
              </w:r>
            </w:hyperlink>
            <w:r>
              <w:rPr>
                <w:rFonts w:ascii="Arial" w:cs="Arial" w:eastAsia="Arial" w:hAnsi="Arial"/>
                <w:sz w:val="18"/>
                <w:szCs w:val="18"/>
                <w:color w:val="661DE8"/>
                <w:w w:val="97"/>
              </w:rPr>
              <w:t>2015, 2014, and 2013</w:t>
            </w:r>
          </w:p>
        </w:tc>
        <w:tc>
          <w:tcPr>
            <w:tcW w:w="3460" w:type="dxa"/>
            <w:vAlign w:val="bottom"/>
            <w:gridSpan w:val="2"/>
          </w:tcPr>
          <w:p>
            <w:pPr>
              <w:spacing w:after="0"/>
              <w:rPr>
                <w:sz w:val="21"/>
                <w:szCs w:val="21"/>
                <w:color w:val="auto"/>
              </w:rPr>
            </w:pP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59">
              <w:r>
                <w:rPr>
                  <w:rFonts w:ascii="Arial" w:cs="Arial" w:eastAsia="Arial" w:hAnsi="Arial"/>
                  <w:sz w:val="18"/>
                  <w:szCs w:val="18"/>
                  <w:color w:val="auto"/>
                  <w:w w:val="96"/>
                </w:rPr>
                <w:t>6</w:t>
              </w:r>
            </w:hyperlink>
          </w:p>
        </w:tc>
      </w:tr>
      <w:tr>
        <w:trPr>
          <w:trHeight w:val="250"/>
        </w:trPr>
        <w:tc>
          <w:tcPr>
            <w:tcW w:w="6940" w:type="dxa"/>
            <w:vAlign w:val="bottom"/>
            <w:tcBorders>
              <w:top w:val="single" w:sz="8" w:color="661DE8"/>
            </w:tcBorders>
            <w:gridSpan w:val="4"/>
          </w:tcPr>
          <w:p>
            <w:pPr>
              <w:spacing w:after="0"/>
              <w:rPr>
                <w:rFonts w:ascii="Arial" w:cs="Arial" w:eastAsia="Arial" w:hAnsi="Arial"/>
                <w:sz w:val="18"/>
                <w:szCs w:val="18"/>
                <w:color w:val="661DE8"/>
              </w:rPr>
            </w:pPr>
            <w:hyperlink w:anchor="page61">
              <w:r>
                <w:rPr>
                  <w:rFonts w:ascii="Arial" w:cs="Arial" w:eastAsia="Arial" w:hAnsi="Arial"/>
                  <w:sz w:val="18"/>
                  <w:szCs w:val="18"/>
                  <w:color w:val="661DE8"/>
                </w:rPr>
                <w:t>Notes to Consolidated Financial Statements</w:t>
              </w:r>
            </w:hyperlink>
          </w:p>
        </w:tc>
        <w:tc>
          <w:tcPr>
            <w:tcW w:w="4140" w:type="dxa"/>
            <w:vAlign w:val="bottom"/>
            <w:gridSpan w:val="3"/>
          </w:tcPr>
          <w:p>
            <w:pPr>
              <w:spacing w:after="0"/>
              <w:rPr>
                <w:sz w:val="21"/>
                <w:szCs w:val="21"/>
                <w:color w:val="auto"/>
              </w:rPr>
            </w:pPr>
          </w:p>
        </w:tc>
        <w:tc>
          <w:tcPr>
            <w:tcW w:w="280" w:type="dxa"/>
            <w:vAlign w:val="bottom"/>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61">
              <w:r>
                <w:rPr>
                  <w:rFonts w:ascii="Arial" w:cs="Arial" w:eastAsia="Arial" w:hAnsi="Arial"/>
                  <w:sz w:val="18"/>
                  <w:szCs w:val="18"/>
                  <w:color w:val="auto"/>
                  <w:w w:val="96"/>
                </w:rPr>
                <w:t>7</w:t>
              </w:r>
            </w:hyperlink>
          </w:p>
        </w:tc>
      </w:tr>
      <w:tr>
        <w:trPr>
          <w:trHeight w:val="507"/>
        </w:trPr>
        <w:tc>
          <w:tcPr>
            <w:tcW w:w="3140" w:type="dxa"/>
            <w:vAlign w:val="bottom"/>
            <w:tcBorders>
              <w:top w:val="single" w:sz="8" w:color="661DE8"/>
            </w:tcBorders>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gridSpan w:val="4"/>
          </w:tcPr>
          <w:p>
            <w:pPr>
              <w:ind w:left="1120"/>
              <w:spacing w:after="0"/>
              <w:rPr>
                <w:sz w:val="20"/>
                <w:szCs w:val="20"/>
                <w:color w:val="auto"/>
              </w:rPr>
            </w:pPr>
            <w:r>
              <w:rPr>
                <w:rFonts w:ascii="Arial" w:cs="Arial" w:eastAsia="Arial" w:hAnsi="Arial"/>
                <w:sz w:val="18"/>
                <w:szCs w:val="18"/>
                <w:color w:val="auto"/>
              </w:rPr>
              <w:t>F-1</w:t>
            </w:r>
          </w:p>
        </w:tc>
        <w:tc>
          <w:tcPr>
            <w:tcW w:w="2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4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Huron Consulting Group Inc.:</w:t>
      </w:r>
    </w:p>
    <w:p>
      <w:pPr>
        <w:spacing w:after="0" w:line="1"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earnings and other comprehensive income, stockholders’ equity and cash flows present fairly, in all material respects, the financial position of Huron Consulting Group Inc.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presents deferred income taxes in 2015.</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described in Management’s Report on Internal Control Over Financial Reporting appearing under Item 9A, management has excluded Studer Group from its assessment of internal control over financial reporting as of December 31, 2015 because they were acquired by the Company in a purchase business combination during 2015. We have also excluded Studer Group from our audit of internal control over financial reporting. Studer Group is a wholly-owned subsidiary whose total assets and total revenues represent 2% and 11%, respectively, of the related consolidated financial statement amounts as of and for the year ended December 31,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25"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HURON CONSULTING GROUP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8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Receivables from clients,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84,206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229,589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investment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70,574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1,155,914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payroll and related benefits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105,522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12,469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7"/>
        </w:trPr>
        <w:tc>
          <w:tcPr>
            <w:tcW w:w="834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176,376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lease incentives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378,904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4"/>
              </w:rPr>
              <w:t>Common stock; $0.01 par value; 500,000,000 shares authorized; 24,775,823 and 24,976,395 shares issued at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December 31, 2015 and December 31, 2014, respectively</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Treasury stock, at cost, 2,249,630 and 2,097,173 shares at December 31, 2015 and December 31, 2014,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(94,074)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438,367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442,308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600,634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1,164,160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1,155,914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08" w:right="239" w:bottom="3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08" w:right="239" w:bottom="395"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90"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 and reimbursable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699,010</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627,686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538,128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70,013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64,623</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 and reimbursable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769,023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701,533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602,751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costs and reimbursable expenses (exclusive of depreciation and amortization shown 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401,915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384,277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323,398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69,932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73,855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64,665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direct costs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488,635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390,723</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 and other operating gains:</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116,976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and other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15,451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10,723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 and other operating gains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122,129</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103,498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88,340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89,899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83,565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33,059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32,200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61,895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32,049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14,856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59,052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earnings per basic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Net earnings per diluted share:</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shares used in calculating earnings per share:</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22,925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22,777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59,052</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79,051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66,433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gain (loss),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Unrealized gain (loss) on investment,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65,292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099"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00"/>
              <w:spacing w:after="0"/>
              <w:rPr>
                <w:sz w:val="20"/>
                <w:szCs w:val="20"/>
                <w:color w:val="auto"/>
              </w:rPr>
            </w:pPr>
            <w:r>
              <w:rPr>
                <w:rFonts w:ascii="Arial" w:cs="Arial" w:eastAsia="Arial" w:hAnsi="Arial"/>
                <w:sz w:val="16"/>
                <w:szCs w:val="16"/>
                <w:color w:val="auto"/>
              </w:rPr>
              <w:t>Common Stock</w:t>
            </w:r>
          </w:p>
        </w:tc>
        <w:tc>
          <w:tcPr>
            <w:tcW w:w="2080" w:type="dxa"/>
            <w:vAlign w:val="bottom"/>
            <w:gridSpan w:val="5"/>
            <w:vMerge w:val="restart"/>
          </w:tcPr>
          <w:p>
            <w:pPr>
              <w:ind w:left="5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89"/>
              </w:rPr>
              <w:t>Stockholders'</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160" w:type="dxa"/>
            <w:vAlign w:val="bottom"/>
            <w:gridSpan w:val="2"/>
          </w:tcPr>
          <w:p>
            <w:pPr>
              <w:ind w:left="30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Income (Loss)</w:t>
            </w:r>
          </w:p>
        </w:tc>
        <w:tc>
          <w:tcPr>
            <w:tcW w:w="12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23,904,125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(1,889,465)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445,321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66,995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508,477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(82,674)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17,084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24,453,461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(2,003,704)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530,264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77,193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429,482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Equity component of convertible senior</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net of tax and issuance costs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Purchase of convertible senior note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hedges, net of tax</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warrants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Pr>
          <w:p>
            <w:pPr>
              <w:jc w:val="right"/>
              <w:spacing w:after="0"/>
              <w:rPr>
                <w:sz w:val="20"/>
                <w:szCs w:val="20"/>
                <w:color w:val="auto"/>
              </w:rPr>
            </w:pPr>
            <w:r>
              <w:rPr>
                <w:rFonts w:ascii="Arial" w:cs="Arial" w:eastAsia="Arial" w:hAnsi="Arial"/>
                <w:sz w:val="16"/>
                <w:szCs w:val="16"/>
                <w:color w:val="auto"/>
              </w:rPr>
              <w:t>(805,392)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24,115,593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600,634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65,292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504,955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(583,880)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24,065,154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(2,262,080)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(103,734)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438,367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313,866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652,325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59" w:name="page60"/>
    <w:bookmarkEnd w:id="5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48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HURON CONSULTING GROUP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1280" w:type="dxa"/>
            <w:vAlign w:val="bottom"/>
          </w:tcPr>
          <w:p>
            <w:pPr>
              <w:spacing w:after="0"/>
              <w:rPr>
                <w:sz w:val="24"/>
                <w:szCs w:val="24"/>
                <w:color w:val="auto"/>
              </w:rPr>
            </w:pPr>
          </w:p>
        </w:tc>
        <w:tc>
          <w:tcPr>
            <w:tcW w:w="674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48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66,433</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58,053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23,609</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18,347</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Amortization of debt discount and issuance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1,363</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Allowances for doubtful accounts and unbilled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4,411</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4,683</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 net of acquisitions and divestitures: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receivables from clients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r>
      <w:tr>
        <w:trPr>
          <w:trHeight w:val="243"/>
        </w:trPr>
        <w:tc>
          <w:tcPr>
            <w:tcW w:w="7760" w:type="dxa"/>
            <w:vAlign w:val="bottom"/>
            <w:gridSpan w:val="2"/>
          </w:tcPr>
          <w:p>
            <w:pPr>
              <w:ind w:left="380"/>
              <w:spacing w:after="0"/>
              <w:rPr>
                <w:sz w:val="20"/>
                <w:szCs w:val="20"/>
                <w:color w:val="auto"/>
              </w:rPr>
            </w:pPr>
            <w:r>
              <w:rPr>
                <w:rFonts w:ascii="Arial" w:cs="Arial" w:eastAsia="Arial" w:hAnsi="Arial"/>
                <w:sz w:val="18"/>
                <w:szCs w:val="18"/>
                <w:color w:val="auto"/>
              </w:rPr>
              <w:t>(Increase) decrease in unbilled services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31,696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(11,932)</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current income tax receivable /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r>
      <w:tr>
        <w:trPr>
          <w:trHeight w:val="243"/>
        </w:trPr>
        <w:tc>
          <w:tcPr>
            <w:tcW w:w="7760" w:type="dxa"/>
            <w:vAlign w:val="bottom"/>
            <w:gridSpan w:val="2"/>
          </w:tcPr>
          <w:p>
            <w:pPr>
              <w:ind w:left="380"/>
              <w:spacing w:after="0"/>
              <w:rPr>
                <w:sz w:val="20"/>
                <w:szCs w:val="20"/>
                <w:color w:val="auto"/>
              </w:rPr>
            </w:pPr>
            <w:r>
              <w:rPr>
                <w:rFonts w:ascii="Arial" w:cs="Arial" w:eastAsia="Arial" w:hAnsi="Arial"/>
                <w:sz w:val="18"/>
                <w:szCs w:val="18"/>
                <w:color w:val="auto"/>
              </w:rPr>
              <w:t>(Increase) decrease in other assets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w:t>
            </w:r>
          </w:p>
        </w:tc>
      </w:tr>
      <w:tr>
        <w:trPr>
          <w:trHeight w:val="243"/>
        </w:trPr>
        <w:tc>
          <w:tcPr>
            <w:tcW w:w="7760" w:type="dxa"/>
            <w:vAlign w:val="bottom"/>
            <w:gridSpan w:val="2"/>
          </w:tcPr>
          <w:p>
            <w:pPr>
              <w:ind w:left="380"/>
              <w:spacing w:after="0"/>
              <w:rPr>
                <w:sz w:val="20"/>
                <w:szCs w:val="20"/>
                <w:color w:val="auto"/>
              </w:rPr>
            </w:pPr>
            <w:r>
              <w:rPr>
                <w:rFonts w:ascii="Arial" w:cs="Arial" w:eastAsia="Arial" w:hAnsi="Arial"/>
                <w:sz w:val="18"/>
                <w:szCs w:val="18"/>
                <w:color w:val="auto"/>
              </w:rPr>
              <w:t>Increase (decrease) in accrued payroll and related benefits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34,724</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 in 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37"/>
        </w:trPr>
        <w:tc>
          <w:tcPr>
            <w:tcW w:w="776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146,453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115,258</w:t>
            </w:r>
          </w:p>
        </w:tc>
      </w:tr>
      <w:tr>
        <w:trPr>
          <w:trHeight w:val="27"/>
        </w:trPr>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(20,225)</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life insurance policies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Purchases of businesses, net of cash acquired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(30,297)</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convertible debt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Capitalization of internally developed software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note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Proceeds from sale of business, net of cash sold</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108,487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(52,658)</w:t>
            </w:r>
          </w:p>
        </w:tc>
      </w:tr>
      <w:tr>
        <w:trPr>
          <w:trHeight w:val="22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Shares redeemed for employee tax withholdings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Share repurchases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borrowings under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Repayments on credit facility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(119,750)</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convertible senior notes issuance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Proceeds from sale of warrants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for convertible senior note hedges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Payments for debt issuance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of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Deferred payments for purchase of property and equipment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acquisition payments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r>
      <w:tr>
        <w:trPr>
          <w:trHeight w:val="237"/>
        </w:trPr>
        <w:tc>
          <w:tcPr>
            <w:tcW w:w="776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146,170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(29,648)</w:t>
            </w:r>
          </w:p>
        </w:tc>
      </w:tr>
      <w:tr>
        <w:trPr>
          <w:trHeight w:val="27"/>
        </w:trPr>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(198,435)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198,741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32,969</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25,162</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the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256,872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58,131</w:t>
            </w:r>
          </w:p>
        </w:tc>
      </w:tr>
      <w:tr>
        <w:trPr>
          <w:trHeight w:val="67"/>
        </w:trPr>
        <w:tc>
          <w:tcPr>
            <w:tcW w:w="1280" w:type="dxa"/>
            <w:vAlign w:val="bottom"/>
            <w:tcBorders>
              <w:bottom w:val="single" w:sz="8" w:color="CCEEFF"/>
            </w:tcBorders>
          </w:tcPr>
          <w:p>
            <w:pPr>
              <w:spacing w:after="0"/>
              <w:rPr>
                <w:sz w:val="5"/>
                <w:szCs w:val="5"/>
                <w:color w:val="auto"/>
              </w:rPr>
            </w:pPr>
          </w:p>
        </w:tc>
        <w:tc>
          <w:tcPr>
            <w:tcW w:w="64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4,548</w:t>
            </w:r>
          </w:p>
        </w:tc>
      </w:tr>
      <w:tr>
        <w:trPr>
          <w:trHeight w:val="243"/>
        </w:trPr>
        <w:tc>
          <w:tcPr>
            <w:tcW w:w="7760" w:type="dxa"/>
            <w:vAlign w:val="bottom"/>
            <w:gridSpan w:val="2"/>
          </w:tcPr>
          <w:p>
            <w:pPr>
              <w:ind w:left="380"/>
              <w:spacing w:after="0"/>
              <w:rPr>
                <w:sz w:val="20"/>
                <w:szCs w:val="20"/>
                <w:color w:val="auto"/>
              </w:rPr>
            </w:pPr>
            <w:r>
              <w:rPr>
                <w:rFonts w:ascii="Arial" w:cs="Arial" w:eastAsia="Arial" w:hAnsi="Arial"/>
                <w:sz w:val="18"/>
                <w:szCs w:val="18"/>
                <w:color w:val="auto"/>
              </w:rPr>
              <w:t>Contingent consideration related to business acquisitions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 issued related to business acquisitions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6"/>
        </w:trPr>
        <w:tc>
          <w:tcPr>
            <w:tcW w:w="7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4,912</w:t>
            </w:r>
          </w:p>
        </w:tc>
      </w:tr>
    </w:tbl>
    <w:p>
      <w:pPr>
        <w:sectPr>
          <w:pgSz w:w="11900" w:h="16900" w:orient="portrait"/>
          <w:cols w:equalWidth="0" w:num="1">
            <w:col w:w="11400"/>
          </w:cols>
          <w:pgMar w:left="240" w:top="108" w:right="259" w:bottom="0" w:gutter="0" w:footer="0" w:header="0"/>
        </w:sectPr>
      </w:pPr>
    </w:p>
    <w:bookmarkStart w:id="60" w:name="page61"/>
    <w:bookmarkEnd w:id="60"/>
    <w:p>
      <w:pPr>
        <w:ind w:left="380"/>
        <w:spacing w:after="0"/>
        <w:tabs>
          <w:tab w:leader="none" w:pos="7760" w:val="left"/>
          <w:tab w:leader="none" w:pos="8280" w:val="left"/>
          <w:tab w:leader="none" w:pos="9020" w:val="left"/>
          <w:tab w:leader="none" w:pos="9520" w:val="left"/>
          <w:tab w:leader="none" w:pos="10260" w:val="left"/>
          <w:tab w:leader="none" w:pos="10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t>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10,955</w:t>
        <w:tab/>
        <w:t>$</w:t>
      </w:r>
      <w:r>
        <w:rPr>
          <w:sz w:val="20"/>
          <w:szCs w:val="20"/>
          <w:color w:val="auto"/>
        </w:rPr>
        <w:tab/>
      </w:r>
      <w:r>
        <w:rPr>
          <w:rFonts w:ascii="Arial" w:cs="Arial" w:eastAsia="Arial" w:hAnsi="Arial"/>
          <w:sz w:val="18"/>
          <w:szCs w:val="18"/>
          <w:color w:val="auto"/>
        </w:rPr>
        <w:t>31,815</w:t>
        <w:tab/>
        <w:t>$</w:t>
      </w:r>
      <w:r>
        <w:rPr>
          <w:sz w:val="20"/>
          <w:szCs w:val="20"/>
          <w:color w:val="auto"/>
        </w:rPr>
        <w:tab/>
      </w:r>
      <w:r>
        <w:rPr>
          <w:rFonts w:ascii="Arial" w:cs="Arial" w:eastAsia="Arial" w:hAnsi="Arial"/>
          <w:sz w:val="15"/>
          <w:szCs w:val="15"/>
          <w:color w:val="auto"/>
        </w:rPr>
        <w:t>45,658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80"/>
          </w:cols>
          <w:pgMar w:left="240" w:top="166"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Huron is a global professional services firm focused on assisting clients with their most complex business issues by delivering high-value, quality solutions to support their long-term strategic objectives. Huron specializes in serving clients in the healthcare, higher education, life sciences, and commercial sectors as these organizations face significant transformational change and regulatory or economic pressures in dynamic market environments. With its deep industry and technical expertise, Huron provides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2015 and 2014, and the results of operations and cash flows for the years ended December 31, 2015, 2014, and 2013.</w:t>
      </w:r>
    </w:p>
    <w:p>
      <w:pPr>
        <w:spacing w:after="0" w:line="1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Certain amounts reported in previous years have been reclassified to conform to the 2015 presentation. The consolidated financial statements include the accounts of Huron Consulting Group Inc. and its subsidiaries, all of which are wholly-owned. All intercompany balances and transactions have been eliminated in consolidation.</w:t>
      </w:r>
    </w:p>
    <w:p>
      <w:pPr>
        <w:spacing w:after="0" w:line="12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During 2015, we began evaluating strategic alternatives related to our Huron Legal segment, including the potential divestiture of the practice. On December 10, 2015, we entered into an agreement to sell our Huron Legal segment to Consilio, Inc. ("Consilio"). Pursuant to the agreement, Consilio acquired substantially all of the assets and assumed certain liabilities of Huron Legal, and acquired all issued and outstanding equity interests in certain entities wholly owned by the Company. As a result of the divestiture, the operating results of Huron Legal are reported as “discontinued operations.” All other operations of the business are considered “continuing operations.” Amounts previously reported have been reclassified to conform to this presentation in accordance with Financial Accounting Standards Board (“FASB”) ASC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to allow for meaningful comparison of continuing operations. Unless indicated otherwise, the information presented in the notes to the consolidated financial statements relates to our continuing operations and does not include results of Huron Legal. See Note 3 “Discontinued Operations” for additional information on our discontinued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recognize revenues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3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services we provide are essential to the functionality of the software. Therefore, revenues from these software licenses are recognized over the term of the related consulting services contract in accordance with ASC 605. License revenue from our research administration and compliance software is recognized in accordance with ASC 985-605, generally in the month in which the software is delivered.</w:t>
      </w:r>
    </w:p>
    <w:p>
      <w:pPr>
        <w:spacing w:after="0" w:line="12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arrangements as the related services or publications are delivered.</w:t>
      </w:r>
    </w:p>
    <w:p>
      <w:pPr>
        <w:spacing w:after="0" w:line="13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do not recognize revenues under performance-based billing arrangements until all related performance criteria are met.</w:t>
      </w:r>
    </w:p>
    <w:p>
      <w:pPr>
        <w:spacing w:after="0" w:line="11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The software support and maintenance and subscription-based revenues are recognized ratably over the support or subscription period, which ranges from one to three years. These fees are billed in advance and included in deferred revenues until recognized.</w:t>
      </w:r>
    </w:p>
    <w:p>
      <w:pPr>
        <w:spacing w:after="0" w:line="13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have arrangements with clients in which we provide multiple elements of services under one engagement contract. Revenues under these types of arrangements are allocated to each element based on the element’s fair value in accordance with ASC 605 and recognized pursuant to the criteria described above.</w:t>
      </w:r>
    </w:p>
    <w:p>
      <w:pPr>
        <w:spacing w:after="0" w:line="12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w:t>
      </w:r>
    </w:p>
    <w:p>
      <w:pPr>
        <w:spacing w:after="0" w:line="10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w:t>
      </w:r>
    </w:p>
    <w:p>
      <w:pPr>
        <w:spacing w:after="0" w:line="11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 and share-based compensation costs, the cost of outside consultants or subcontractors assigned to 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18 “Segment Information” for concentration of accounts receivable and unbilled services.</w:t>
      </w:r>
    </w:p>
    <w:p>
      <w:pPr>
        <w:spacing w:after="0" w:line="133"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long-term investment consists of our convertible debt investment in Shorelight Holdings, LLC. We classified the investment as available-for-sale at the time of purchase and reevaluate such classification as of each balance sheet date. The investment is carried at fair value with unrealized holding gains and losses reported in other comprehensive income (loss). When the investment is in an unrealized loss position, we assess whether the investment is other than temporarily impaired. We consider impairments to be other than temporary if they are related to significant credit deterioration or if it is likely we will sell the security before the recovery of its cost basis. We have not identified any other than temporary impairments for our convertible debt investment. In the event there are realized gains and losses or declines in value judged to be other than temporary, we will record the amount in earnings. See Note 12 “Fair Value of Financial Instruments” for further information on our convertible debt investment.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Note 12 “Fair Value of Financial Instruments” for the accounting policies used to measure the fair value of our financial assets and liabilities that are measured at fair value on a recurring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Leasehold improvements are amortized over the lesser of the estimated useful life of the asset or the initial term of the lease.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expense development costs for software products that will be sold, leased, or otherwise marketed until technological feasibility has been established. Similarly, we expense all development costs after the software is available for general release to customers. During the period between the establishment of technological feasibility and availability for general release to customers, software development costs are capitalized and subsequently reported at the lower of unamortized cost or net realizable value. Capitalized development costs are amortized in proportion to current and future revenue for each product with an annual minimum equal to the straight-line amortization over the remaining estimated economic life of the product. We classify capitalized development costs for software products to be sold, leased, or otherwise marketed as other non-current assets on our consolidated balance sheet. Unamortized capitalized software development costs were $1.4 million at both December 31, 2015 and 2014. During the years ended December 31, 2015, 2014, and 2013, we amortized $1.0 million, $0.8 million, and $0.2 million, respectively, of capitalized software development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 xml:space="preserve">Long-lived assets, including property and equipment, are reviewed for impairment whenever events or changes in circumstances indicate that the carrying amount of an asset may not be recoverable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Events relating to recoverability may include significant unfavorable changes in business conditions, recurring losses, or a significant decline in forecasted operating results over an extended period of time. The Company evaluates the recoverability of long-lived assets based upon forecasted undiscounted cash flows. No impairment charges for long-lived assets were recorded in 2015, 2014, or 2013.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 xml:space="preserve">We account for intangible assets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This Topic requires that certain identifiable intangible assets be amortized over their expected useful lives using a method that reflects the economic benefit expected to be derived from the assets or on a straight-line basis. Intangible assets are reviewed for impairment in a similar manner to our long-lived assets described above. No impairment charges for intangible assets were recorded in 2015, 2014, or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five reporting units, which consist of our Huron Healthcare, Huron Education and Life Sciences, and All Other operating segments, and our Financial Advisory practice and Enterprise Performance Management and Analytics (“EPM&amp;A”) practice, which together make up our Huron Business Advisory operating segment.</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116"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Pursuant to our policy, we performed the annual goodwill impairment test as of November 30, 2015 and determined that no impairment of goodwill existed as of that date. Further, we evaluated whether any events have occurred or any circumstances have changed since November 30, 2015 that would indicate goodwill may have become impaired since our annual impairment test. Based on our evaluation as of December 31, 2015, we determined that no indications of impairment have arisen since our annual goodwill impairment test.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“Goodwill and Intangible Assets” for information regarding our recent goodwill impairment tests.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 xml:space="preserve">We use the acquisition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12 “Fair Value of Financial Instruments” for further information regarding our contingent acquisition liability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7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record as non-current the portion of the deferred lease incentive liability that we expect to recognize over a period greater than one year. The non-current portion of the deferred lease incentive liability totaled $10.0 million and $12.7 million at December 31, 2015 and 2014,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current liabilities. We monitor the classification of such liabilities based on the expectation of their utilization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 xml:space="preserve">We account for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We net share-based compensation expense with our estimated amount of expected forfeitures.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Sponsorship and advertising costs are expensed as incurred. Such expenses for 2015, 2014, and 2013 totaled $6.4 million, $6.0 million, and $4.6 million, respectively, and are a component of selling, general and administrative expenses on our consolidated statement of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September 2014, we issued $250 million principal amount of 1.25% convertible senior notes due 2019 (the “Convertible Notes”) in a private offering.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we have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the effective interest method over the term of the Convertible Notes. The equity component will not be remeasured as long as it continues to meet the conditions for equity classification. Refer to Note 7 “Financing Arrangements” for further information regarding the Convertible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earnings. Unamortized debt issuance costs attributable to our revolving credit facility are included as a component of prepaid expenses and other current assets and other non-current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loss, which is a component of stockholders’ equity.</w:t>
      </w:r>
    </w:p>
    <w:p>
      <w:pPr>
        <w:spacing w:after="0" w:line="12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Foreign currency transaction gains and losses are included in other income, net on the statement of earnings. We recognized $1.6 million of foreign currency transaction losses in 2015 and immaterial foreign currency transaction losses in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establishes annual and interim reporting standards for an enterprise’s business segments and related disclosures about its products, services, geographic areas, and major customers. Segments are defined as components of a company that engage in business activities from which they may earn revenues and incur expenses, and for which separate financial information is available and is evaluated regularly by the chief operating decision maker, or decision making group, in deciding how to allocate resources and in assessing performance. Our chief operating decision maker manages the business under four operating segments, which are reportable segments: Huron Healthcare, Huron Education and Life Sciences, Huron Business Advisory, and All Other.</w:t>
      </w:r>
    </w:p>
    <w:p>
      <w:pPr>
        <w:spacing w:after="0" w:line="13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fourth quarter of 2015, we divested the Huron Legal segment. Refer to Note 3 “Discontinued Operations” for additional information on the divestiture.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 xml:space="preserve">In January 2016, the FASB issued Accounting Standards Update ("ASU") No. 2016-01, </w:t>
      </w:r>
      <w:r>
        <w:rPr>
          <w:rFonts w:ascii="Arial" w:cs="Arial" w:eastAsia="Arial" w:hAnsi="Arial"/>
          <w:sz w:val="16"/>
          <w:szCs w:val="16"/>
          <w:i w:val="1"/>
          <w:iCs w:val="1"/>
          <w:color w:val="auto"/>
        </w:rPr>
        <w:t>Financial Instruments - Overall (Subtopic 825-10):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Measurement of Financial Assets and Financial Liabilities</w:t>
      </w:r>
      <w:r>
        <w:rPr>
          <w:rFonts w:ascii="Arial" w:cs="Arial" w:eastAsia="Arial" w:hAnsi="Arial"/>
          <w:sz w:val="16"/>
          <w:szCs w:val="16"/>
          <w:color w:val="auto"/>
        </w:rPr>
        <w:t>. The amendments to the guidance enhance the reporting model for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amendments to address aspects of recognition, measurement, presentation and disclosure. The updated guidance is effective for us beginning January 1, 2018. We are currently evaluating the potential effect this guidance will have on our consolidated financial statements.</w:t>
      </w:r>
    </w:p>
    <w:p>
      <w:pPr>
        <w:spacing w:after="0" w:line="11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 simplify the presentation of deferred taxes in the statement of financial position. The amendments to the guidance require that deferred tax assets and liabilities be classified as noncurrent in a classified balance sheet. The updated guidance is effective for us beginning January 1, 2017 with early application permitted as of the beginning of any interim or annual reporting period. This guidance may be applied either prospectively to all deferred tax assets and liabilities or retrospectively to all periods presented. We have elected to early adopt the amendments to this guidance beginning with this Annual Report on Form 10-K for the year ended December 31, 2015 and apply the amendments prospectively. As a result, we reclassed $14.5 million of net current deferred tax assets to non-current deferred income taxes, net on the consolidated balance sheet as of December 31, 2015. Prior periods were not retrospectively adjusted.</w:t>
      </w:r>
    </w:p>
    <w:p>
      <w:pPr>
        <w:spacing w:after="0" w:line="12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Fees Paid in a Cloud Computing Arrangement</w:t>
      </w:r>
      <w:r>
        <w:rPr>
          <w:rFonts w:ascii="Arial" w:cs="Arial" w:eastAsia="Arial" w:hAnsi="Arial"/>
          <w:sz w:val="17"/>
          <w:szCs w:val="17"/>
          <w:color w:val="auto"/>
        </w:rPr>
        <w:t>. The amendments in ASU 2015-05 provide guidance to customers about whether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This guidance is effective for us beginning in the first quarter of 2016 with early adoption permitted. The guidance may be applied either prospectively to all arrangements entered into or materially modified after the effective date or retrospectively. We do not expect the adoption of this guidance to have a material impact on our consolidated financial statements.</w:t>
      </w:r>
    </w:p>
    <w:p>
      <w:pPr>
        <w:spacing w:after="0" w:line="1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The amendments to the guidance require the presentation of debt issuance costs in the balance sheet as a deduction from the carrying amount of the related debt liability, consistent with debt discounts. In August 2015, the FASB issued ASU No. 2015-15, </w:t>
      </w:r>
      <w:r>
        <w:rPr>
          <w:rFonts w:ascii="Arial" w:cs="Arial" w:eastAsia="Arial" w:hAnsi="Arial"/>
          <w:sz w:val="17"/>
          <w:szCs w:val="17"/>
          <w:i w:val="1"/>
          <w:iCs w:val="1"/>
          <w:color w:val="auto"/>
        </w:rPr>
        <w:t>Presentation and Subsequent Measurement of Debt Issuance Costs Associated with Line-of-Credit</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Amendments to SEC Paragraphs Pursuant to Staff Announcement at June 18, 2015 EITF Meeting</w:t>
      </w:r>
      <w:r>
        <w:rPr>
          <w:rFonts w:ascii="Arial" w:cs="Arial" w:eastAsia="Arial" w:hAnsi="Arial"/>
          <w:sz w:val="17"/>
          <w:szCs w:val="17"/>
          <w:color w:val="auto"/>
        </w:rPr>
        <w:t>, which clarifies the treatment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from 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This guidance is effective for us beginning in the first quarter of 2016 and will be applied on a retrospective basis. Upon adoption of these amendments, we expect to reclassify debt issuance costs of $1.2 million included in prepaid expenses and other current assets and $3.4 million included in other non-current assets to long-term debt, net of current portion on our consolidated balance sheet as of December 31, 2015.</w:t>
      </w:r>
    </w:p>
    <w:p>
      <w:pPr>
        <w:spacing w:after="0" w:line="1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which amends the consolidation requirements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ASU 2015-02 makes targeted amendments to the current consolidation guidance, which could change consolidation conclusions. This guidance will be effective for us beginning in the first quarter of 2016 and early adoption is permitted. We do not expect the adoption of this guidance to have any impact on our consolidated financial statements.</w:t>
      </w:r>
    </w:p>
    <w:p>
      <w:pPr>
        <w:spacing w:after="0" w:line="14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August 2015, the FASB issued ASU No. 2015-14,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 Deferral of the Effective Date</w:t>
      </w:r>
      <w:r>
        <w:rPr>
          <w:rFonts w:ascii="Arial" w:cs="Arial" w:eastAsia="Arial" w:hAnsi="Arial"/>
          <w:sz w:val="16"/>
          <w:szCs w:val="16"/>
          <w:color w:val="auto"/>
        </w:rPr>
        <w:t>, which delays the effective date of ASU 2014-09 by one year. As a result, ASU 2014-09, as amended, is effective for us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in the first quarter of 2018 and is to be applied retrospectively to each period presented or as a cumulative-effect adjustment as of the date of adoption. Early adoption will be permitted as of the original effective date in ASU 2014-09 (i.e., annual reporting periods beginning after December 15, 2016). We are currently evaluating the potential effect of adopting this guidance on our consolidated financial statements, as well as the transition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7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During 2015, we began evaluating strategic alternatives related to our Huron Legal segment, including the potential divestiture of the practice. On December 10, 2015, we entered into an agreement to sell Huron Legal to Consilio, Inc. ("Consilio"). Pursuant to the agreement, Consilio acquired substantially all of the assets and assumed certain liabilities of Huron Legal, and acquired all issued and outstanding equity interests in certain entities wholly owned by the Company. Huron Legal provides eDiscovery services, consulting services and contract management services related to law department management, information governance and compliance, legal discovery, litigation management, and legal analytics to legal departments, law firms and companies in connection with their eDiscovery, law department operations and contract and litigation management needs.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sale closed on December 31, 2015, at which time we received proceeds of $110.1 million, which consisted of the following:</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Fair value of consideration received</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880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cash proceeds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112,000</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Estimated net working capital adjustment</w:t>
            </w:r>
          </w:p>
        </w:tc>
        <w:tc>
          <w:tcPr>
            <w:tcW w:w="8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4,536</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and other closing payments</w:t>
            </w:r>
          </w:p>
        </w:tc>
        <w:tc>
          <w:tcPr>
            <w:tcW w:w="8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r>
      <w:tr>
        <w:trPr>
          <w:trHeight w:val="257"/>
        </w:trPr>
        <w:tc>
          <w:tcPr>
            <w:tcW w:w="8800" w:type="dxa"/>
            <w:vAlign w:val="bottom"/>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110,134</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 xml:space="preserve">The divestiture of the Huron Legal segment represents a strategic shift that has a major effect on our operations and financial results as contemplated under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As such, the operations of our Huron Legal segment have been reclassified as discontinued operations in our consolidated statements of earnings for the years ended December 31, 2015, 2014 and 2013 and in our consolidated balance sheets as of December 31, 2015 and 2014. We recognized a pretax disposal loss of $2.3 million, which is reported in discontinued operations for the year ended December 31, 2015.</w:t>
      </w:r>
    </w:p>
    <w:p>
      <w:pPr>
        <w:spacing w:after="0" w:line="13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2015, no assets or liabilities of the disposed business remained on our consolidated balance sheet. The following table summarizes Huron Legal's assets and liabilities classified as discontinued operations as of December 31, 2014.</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2014</w:t>
            </w:r>
          </w:p>
        </w:tc>
        <w:tc>
          <w:tcPr>
            <w:tcW w:w="0" w:type="dxa"/>
            <w:vAlign w:val="bottom"/>
          </w:tcPr>
          <w:p>
            <w:pPr>
              <w:spacing w:after="0"/>
              <w:rPr>
                <w:sz w:val="1"/>
                <w:szCs w:val="1"/>
                <w:color w:val="auto"/>
              </w:rPr>
            </w:pPr>
          </w:p>
        </w:tc>
      </w:tr>
      <w:tr>
        <w:trPr>
          <w:trHeight w:val="27"/>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4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Receivables from clients, net</w:t>
            </w:r>
          </w:p>
        </w:tc>
        <w:tc>
          <w:tcPr>
            <w:tcW w:w="4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22,150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 net</w:t>
            </w:r>
          </w:p>
        </w:tc>
        <w:tc>
          <w:tcPr>
            <w:tcW w:w="4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 of discontinued operations</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13,986</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4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52,555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assets of discontinued operations</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70,574</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 of discontinued operations</w:t>
            </w:r>
          </w:p>
        </w:tc>
        <w:tc>
          <w:tcPr>
            <w:tcW w:w="44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and other liabilities</w:t>
            </w:r>
          </w:p>
        </w:tc>
        <w:tc>
          <w:tcPr>
            <w:tcW w:w="4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7"/>
        </w:trPr>
        <w:tc>
          <w:tcPr>
            <w:tcW w:w="4960" w:type="dxa"/>
            <w:vAlign w:val="bottom"/>
          </w:tcPr>
          <w:p>
            <w:pPr>
              <w:ind w:left="480"/>
              <w:spacing w:after="0"/>
              <w:rPr>
                <w:sz w:val="20"/>
                <w:szCs w:val="20"/>
                <w:color w:val="auto"/>
              </w:rPr>
            </w:pPr>
            <w:r>
              <w:rPr>
                <w:rFonts w:ascii="Arial" w:cs="Arial" w:eastAsia="Arial" w:hAnsi="Arial"/>
                <w:sz w:val="18"/>
                <w:szCs w:val="18"/>
                <w:color w:val="auto"/>
              </w:rPr>
              <w:t>Total non-current liabilities of discontinued operations</w:t>
            </w:r>
          </w:p>
        </w:tc>
        <w:tc>
          <w:tcPr>
            <w:tcW w:w="4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960" w:type="dxa"/>
            <w:vAlign w:val="bottom"/>
          </w:tcPr>
          <w:p>
            <w:pPr>
              <w:spacing w:after="0"/>
              <w:rPr>
                <w:sz w:val="24"/>
                <w:szCs w:val="24"/>
                <w:color w:val="auto"/>
              </w:rPr>
            </w:pPr>
          </w:p>
        </w:tc>
        <w:tc>
          <w:tcPr>
            <w:tcW w:w="4420" w:type="dxa"/>
            <w:vAlign w:val="bottom"/>
            <w:gridSpan w:val="2"/>
          </w:tcPr>
          <w:p>
            <w:pPr>
              <w:jc w:val="right"/>
              <w:ind w:right="3410"/>
              <w:spacing w:after="0"/>
              <w:rPr>
                <w:sz w:val="20"/>
                <w:szCs w:val="20"/>
                <w:color w:val="auto"/>
              </w:rPr>
            </w:pPr>
            <w:r>
              <w:rPr>
                <w:rFonts w:ascii="Arial" w:cs="Arial" w:eastAsia="Arial" w:hAnsi="Arial"/>
                <w:sz w:val="18"/>
                <w:szCs w:val="18"/>
                <w:color w:val="auto"/>
              </w:rPr>
              <w:t>F-13</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operating results of Huron Legal for the years ended December 31, 2015, 2014, and 2013.</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7"/>
          </w:tcPr>
          <w:p>
            <w:pPr>
              <w:jc w:val="right"/>
              <w:ind w:right="750"/>
              <w:spacing w:after="0"/>
              <w:rPr>
                <w:sz w:val="20"/>
                <w:szCs w:val="20"/>
                <w:color w:val="auto"/>
              </w:rPr>
            </w:pPr>
            <w:r>
              <w:rPr>
                <w:rFonts w:ascii="Arial" w:cs="Arial" w:eastAsia="Arial" w:hAnsi="Arial"/>
                <w:sz w:val="18"/>
                <w:szCs w:val="18"/>
                <w:b w:val="1"/>
                <w:bCs w:val="1"/>
                <w:color w:val="auto"/>
              </w:rPr>
              <w:t>For the Year Ended December 31,</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139,430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183,646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182,394</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142,578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185,038</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Direct costs and reimbursable expenses (exclusive of depreciation and amortization shown 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95,247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120,141</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and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2,655</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123,227</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Operating expenses and other operating gains: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21,562</w:t>
            </w:r>
          </w:p>
        </w:tc>
      </w:tr>
      <w:tr>
        <w:trPr>
          <w:trHeight w:val="270"/>
        </w:trPr>
        <w:tc>
          <w:tcPr>
            <w:tcW w:w="7060" w:type="dxa"/>
            <w:vAlign w:val="bottom"/>
          </w:tcPr>
          <w:p>
            <w:pPr>
              <w:ind w:left="2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9,787</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operating gains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31,805</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30,006</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Income from discontinued operations before income tax expense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29,862</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Total income (loss) from discontinued operations before income tax expense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29,862</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14,976</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32,049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14,886</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8"/>
        <w:spacing w:after="0" w:line="259"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2015, the Huron Legal segment incurred a $13.3 million restructuring charge. Of the $13.3 million, $6.1 million related to accelerated depreciation on assets disposed of as a result of the sale, $5.1 million related to employee costs incurred in connection with the sale, $1.1 million related to the accrual of our remaining lease obligations for vacated spaces, net of estimated sublease income, and $1.0 million related to severance costs incurred from prior workforce reductions.</w:t>
      </w:r>
    </w:p>
    <w:p>
      <w:pPr>
        <w:spacing w:after="0" w:line="78" w:lineRule="exact"/>
        <w:rPr>
          <w:rFonts w:ascii="Arial" w:cs="Arial" w:eastAsia="Arial" w:hAnsi="Arial"/>
          <w:sz w:val="18"/>
          <w:szCs w:val="18"/>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16 "Income Taxes" for additional detail on the income tax expense recognized for discontinued operations.</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table below summarizes the amounts reflected in our consolidated statements of cash flows that relate to the discontinued operations for the years ended December 31, 2015, 2014, and 2013.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w w:val="99"/>
              </w:rPr>
              <w:t>For the Year Ended December 31,</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Significant noncash investing items of discontinued operations: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Contingent consideration related to business acquisitions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7780" w:type="dxa"/>
            <w:vAlign w:val="bottom"/>
          </w:tcPr>
          <w:p>
            <w:pPr>
              <w:ind w:left="5520"/>
              <w:spacing w:after="0"/>
              <w:rPr>
                <w:sz w:val="20"/>
                <w:szCs w:val="20"/>
                <w:color w:val="auto"/>
              </w:rPr>
            </w:pPr>
            <w:r>
              <w:rPr>
                <w:rFonts w:ascii="Arial" w:cs="Arial" w:eastAsia="Arial" w:hAnsi="Arial"/>
                <w:sz w:val="18"/>
                <w:szCs w:val="18"/>
                <w:color w:val="auto"/>
              </w:rPr>
              <w:t>F-14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connection with the sale of Huron Legal, we entered into a transition services agreement ("TSA") with Consilio, whereby Huron will provide certain post-closing services and support to Consilio to facilitate an orderly transfer of the Huron Legal business operations. Billings under the TSA will be recorded as a reduction of the costs to provide the respective service, primarily in selling, general and administrative expenses in the consolidated statements of earnings. Services under the TSA began on January 1, 2016 and are expected to continue for six to twelve months. Other than the TSA, we have no continuing involvement with the Huron Legal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1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7"/>
          <w:szCs w:val="17"/>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Arial" w:cs="Arial" w:eastAsia="Arial" w:hAnsi="Arial"/>
          <w:sz w:val="20"/>
          <w:szCs w:val="20"/>
          <w:color w:val="auto"/>
          <w:vertAlign w:val="superscript"/>
        </w:rPr>
        <w:t>SM</w:t>
      </w:r>
      <w:r>
        <w:rPr>
          <w:rFonts w:ascii="Arial" w:cs="Arial" w:eastAsia="Arial" w:hAnsi="Arial"/>
          <w:sz w:val="17"/>
          <w:szCs w:val="17"/>
          <w:color w:val="auto"/>
        </w:rPr>
        <w:t xml:space="preserve"> framework to provide leadership and cultural transformation expertise for healthcare provider clients.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acquisition date fair value of the consideration transferred for Studer Group was approximately $325.2 million, which consisted of the following: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Fair value of consideration transferred</w:t>
            </w: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93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323,237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2,204</w:t>
            </w:r>
          </w:p>
        </w:tc>
      </w:tr>
      <w:tr>
        <w:trPr>
          <w:trHeight w:val="27"/>
        </w:trPr>
        <w:tc>
          <w:tcPr>
            <w:tcW w:w="9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adjustment</w:t>
            </w:r>
          </w:p>
        </w:tc>
        <w:tc>
          <w:tcPr>
            <w:tcW w:w="7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44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14,906</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income tax asset</w:t>
            </w: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4,335</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4,509</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97,500</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760</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1,574</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4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2,449</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income tax liability</w:t>
            </w: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21,263</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37"/>
        </w:trPr>
        <w:tc>
          <w:tcPr>
            <w:tcW w:w="4420" w:type="dxa"/>
            <w:vAlign w:val="bottom"/>
          </w:tcPr>
          <w:p>
            <w:pPr>
              <w:ind w:left="380"/>
              <w:spacing w:after="0"/>
              <w:rPr>
                <w:sz w:val="20"/>
                <w:szCs w:val="20"/>
                <w:color w:val="auto"/>
              </w:rPr>
            </w:pPr>
            <w:r>
              <w:rPr>
                <w:rFonts w:ascii="Arial" w:cs="Arial" w:eastAsia="Arial" w:hAnsi="Arial"/>
                <w:sz w:val="18"/>
                <w:szCs w:val="18"/>
                <w:color w:val="auto"/>
              </w:rPr>
              <w:t>Total identifiable net assets</w:t>
            </w:r>
          </w:p>
        </w:tc>
        <w:tc>
          <w:tcPr>
            <w:tcW w:w="49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92,510</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232,676</w:t>
            </w:r>
          </w:p>
        </w:tc>
      </w:tr>
      <w:tr>
        <w:trPr>
          <w:trHeight w:val="237"/>
        </w:trPr>
        <w:tc>
          <w:tcPr>
            <w:tcW w:w="442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494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325,186</w:t>
            </w:r>
          </w:p>
        </w:tc>
      </w:tr>
      <w:tr>
        <w:trPr>
          <w:trHeight w:val="27"/>
        </w:trPr>
        <w:tc>
          <w:tcPr>
            <w:tcW w:w="44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5340" w:type="dxa"/>
            <w:vAlign w:val="bottom"/>
            <w:gridSpan w:val="2"/>
          </w:tcPr>
          <w:p>
            <w:pPr>
              <w:jc w:val="right"/>
              <w:ind w:right="3770"/>
              <w:spacing w:after="0"/>
              <w:rPr>
                <w:sz w:val="20"/>
                <w:szCs w:val="20"/>
                <w:color w:val="auto"/>
              </w:rPr>
            </w:pPr>
            <w:r>
              <w:rPr>
                <w:rFonts w:ascii="Arial" w:cs="Arial" w:eastAsia="Arial" w:hAnsi="Arial"/>
                <w:sz w:val="18"/>
                <w:szCs w:val="18"/>
                <w:color w:val="auto"/>
              </w:rPr>
              <w:t>F-15</w:t>
            </w: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5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c>
          <w:tcPr>
            <w:tcW w:w="2500" w:type="dxa"/>
            <w:vAlign w:val="bottom"/>
            <w:tcBorders>
              <w:bottom w:val="single" w:sz="8" w:color="CCEEFF"/>
            </w:tcBorders>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79"/>
              </w:rPr>
              <w:t>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25,100</w:t>
            </w:r>
          </w:p>
        </w:tc>
        <w:tc>
          <w:tcPr>
            <w:tcW w:w="250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4</w:t>
            </w:r>
          </w:p>
        </w:tc>
      </w:tr>
      <w:tr>
        <w:trPr>
          <w:trHeight w:val="27"/>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2500" w:type="dxa"/>
            <w:vAlign w:val="bottom"/>
            <w:tcBorders>
              <w:bottom w:val="single" w:sz="8" w:color="CCEEFF"/>
            </w:tcBorders>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79"/>
              </w:rPr>
              <w:t>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250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3</w:t>
            </w:r>
          </w:p>
        </w:tc>
      </w:tr>
      <w:tr>
        <w:trPr>
          <w:trHeight w:val="27"/>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Publishing content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500" w:type="dxa"/>
            <w:vAlign w:val="bottom"/>
            <w:tcBorders>
              <w:bottom w:val="single" w:sz="8" w:color="CCEEFF"/>
            </w:tcBorders>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79"/>
              </w:rPr>
              <w:t>3</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weighted-average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6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Studer Group’s results of operations have been included in our consolidated statements of earnings and other comprehensive income and results of operations of our Huron Healthcare segment from the date of acquisition. For the twelve months ended December 31, 2015, revenues from Studer Group were $79.9 million and operating income was $5.1 million, which included $21.3 million of amortization expense for intangible assets acquired. In connection with the acquisition of Studer Group, we incurred $2.1 million of transaction and acquisition-related expenses, $0.9 million of which were incurred in 2014, and $1.2 million of which were incurred in 2015. These costs are recorded in selling, general and administrative expenses in the period in which they were incurred.</w:t>
      </w:r>
    </w:p>
    <w:p>
      <w:pPr>
        <w:spacing w:after="0" w:line="19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supplemental pro forma information summarizes the combined results of operations for Huron and Studer Group as though the companies were combined on January 1,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For the Year Ended</w:t>
            </w:r>
          </w:p>
        </w:tc>
        <w:tc>
          <w:tcPr>
            <w:tcW w:w="1620" w:type="dxa"/>
            <w:vAlign w:val="bottom"/>
          </w:tcPr>
          <w:p>
            <w:pPr>
              <w:spacing w:after="0"/>
              <w:rPr>
                <w:sz w:val="20"/>
                <w:szCs w:val="20"/>
                <w:color w:val="auto"/>
              </w:rPr>
            </w:pPr>
          </w:p>
        </w:tc>
      </w:tr>
      <w:tr>
        <w:trPr>
          <w:trHeight w:val="270"/>
        </w:trPr>
        <w:tc>
          <w:tcPr>
            <w:tcW w:w="6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jc w:val="right"/>
              <w:ind w:right="990"/>
              <w:spacing w:after="0"/>
              <w:rPr>
                <w:sz w:val="20"/>
                <w:szCs w:val="20"/>
                <w:color w:val="auto"/>
              </w:rPr>
            </w:pPr>
            <w:r>
              <w:rPr>
                <w:rFonts w:ascii="Arial" w:cs="Arial" w:eastAsia="Arial" w:hAnsi="Arial"/>
                <w:sz w:val="18"/>
                <w:szCs w:val="18"/>
                <w:b w:val="1"/>
                <w:bCs w:val="1"/>
                <w:color w:val="auto"/>
              </w:rPr>
              <w:t>2014</w:t>
            </w:r>
          </w:p>
        </w:tc>
      </w:tr>
      <w:tr>
        <w:trPr>
          <w:trHeight w:val="27"/>
        </w:trPr>
        <w:tc>
          <w:tcPr>
            <w:tcW w:w="62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709,813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705,285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63,600</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44,495</w:t>
            </w:r>
          </w:p>
        </w:tc>
      </w:tr>
      <w:tr>
        <w:trPr>
          <w:trHeight w:val="27"/>
        </w:trPr>
        <w:tc>
          <w:tcPr>
            <w:tcW w:w="6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historical financial information has been adjusted to give effect to pro forma adjustments, which consist of intangible assets amortization expense, transaction and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Sky Analytics, Inc.</w:t>
      </w:r>
    </w:p>
    <w:p>
      <w:pPr>
        <w:spacing w:after="0" w:line="3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Effective January 1, 2015, we completed the acquisition of Sky Analytics, Inc. ("Sky Analytics"), a Massachusetts-based provider of legal spend management software for corporate law departments. The acquisition date fair value of the consideration transferred totaled $9.7 million, which included cash of $8.8 million and the fair value of contingent consideration of $0.9 million. Sky Analytics' results of operations have been included in the results of operations of our Huron Legal segment from the date of acquisition, and classified as discontinued</w:t>
      </w:r>
    </w:p>
    <w:p>
      <w:pPr>
        <w:sectPr>
          <w:pgSz w:w="11900" w:h="16838" w:orient="portrait"/>
          <w:cols w:equalWidth="0" w:num="1">
            <w:col w:w="11420"/>
          </w:cols>
          <w:pgMar w:left="240" w:top="125"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operations upon the sale of the Huron Legal segment in the fourth quarter of 2015. Refer to Note 3 "Discontinued Operations" for additional detail on the sale of the Huron Legal segment.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Rittman Mead India</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Effective July 1, 2015, we completed the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The acquisition date fair value of the consideration transferred totaled $1.2 million. Rittman Mead India's results of operations have been included in our consolidated financial statements and results of operations of our Huron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Cloud62, Inc.</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Effective October 1, 2015, we completed the acquisition of Cloud62, Inc. ("Cloud62"), a New York-based consulting firm specializing in Salesforce.com implementations and related cloud-based applications. The acquisition date fair value of the consideration transferred totaled $9.2 million, which included cash of $7.1 million and the fair value of contingent consideration of $2.1 million. As part of the purchase price allocation, we recorded $4.2 million of intangible assets and $4.4 million of goodwill. Cloud62's results of operations have been included in our consolidated financial statements and results of operations of our Huron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Frankel Group Associates LLC</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the first quarter of 2014, we completed the acquisition of The Frankel Group Associates LLC, a New York-based life sciences consulting firm, within the Huron Education and Life Sciences segment. The acquisition date fair value of the consideration transferred totaled $18.0 million, which included the fair value of contingent consideration of $0.6 million. As part of the purchase price allocation, we recorded $5.7 million of intangible assets and $8.3 million of goodwill.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Vonlay, LLC</w:t>
      </w:r>
    </w:p>
    <w:p>
      <w:pPr>
        <w:spacing w:after="0" w:line="17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During the second quarter of 2014, we completed the acquisition of Vonlay, LLC, a healthcare technology consulting firm, within the Huron Healthcare segment. The fair value of the consideration transferred totaled $34.5 million. As part of the purchase price allocation, we recorded $8.3 million of intangible assets and $21.7 million of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Consulting, Inc.</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During the fourth quarter of 2014, we completed the acquisition of Threshold Consulting, Inc., a provider of cloud-based software as a service applications, data warehousing and business intelligence solutions, as well as customer relationship management consulting services, within the Huron Business Advisory segment. The fair value of the consideration transferred totaled $2.1 million, which included the fair value of contingent consideration of $0.2 million. As part of the purchase price allocation, we recorded $0.6 million of intangible assets and $1.5 million of 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 Stone International, LLC</w:t>
      </w:r>
    </w:p>
    <w:p>
      <w:pPr>
        <w:spacing w:after="0" w:line="17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During 2013, we completed the acquisition of Blue Stone International, LLC, a Chicago-based provider of professional services supporting Oracle enterprise performance management, information management and business intelligence solutions. The aggregate fair value of the consideration transferred totaled $30.0 million. We recorded $8.8 million of intangible assets and $17.1 million of goodwill related to this acquisition. Blue Stone's results of operations have been included in our consolidated financial statements and results of operations of our Huron Business Advisory segment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sets forth the changes in the carrying amount of goodwill by reportable segment for the years ended December 31,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Huron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Education</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Huron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Huron</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and Life</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Business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Healthcare</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Sciences</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Advisory</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355,880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111,504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159,077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626,461</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Goodwill, net as of December 31, 2013</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355,880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111,504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483,478</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combinations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31,505</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Goodwill reallocation</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6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657,574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(142,983)</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514,591</w:t>
            </w: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Goodwill recorded in connection with business combinations</w:t>
            </w:r>
            <w:r>
              <w:rPr>
                <w:rFonts w:ascii="Arial" w:cs="Arial" w:eastAsia="Arial" w:hAnsi="Arial"/>
                <w:sz w:val="21"/>
                <w:szCs w:val="21"/>
                <w:color w:val="auto"/>
                <w:vertAlign w:val="superscript"/>
              </w:rPr>
              <w:t>(1)</w:t>
            </w: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232,676</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237,550</w:t>
            </w: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6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894,383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(142,983)</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751,400</w:t>
            </w: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Refer to Note 4 "Acquisitions" for additional information on the goodwill recorded in connection with business combinations.</w:t>
      </w:r>
    </w:p>
    <w:p>
      <w:pPr>
        <w:spacing w:after="0" w:line="63" w:lineRule="exact"/>
        <w:rPr>
          <w:rFonts w:ascii="Arial" w:cs="Arial" w:eastAsia="Arial" w:hAnsi="Arial"/>
          <w:sz w:val="18"/>
          <w:szCs w:val="18"/>
          <w:color w:val="auto"/>
        </w:rPr>
      </w:pPr>
    </w:p>
    <w:p>
      <w:pPr>
        <w:ind w:left="660" w:right="40" w:hanging="652"/>
        <w:spacing w:after="0" w:line="27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first quarter of 2014, we reorganized our internal operating structure to better align our service offerings and moved our Enterprise Performance Management and Analytics (“EPM&amp;A”) practice (formerly referred to as Blue Stone International, LLC, a business which we acquired during the fourth quarter of 2013) from the Huron Education and Life Sciences segment to the Huron Business Advisory segment. As a result of this change, we reassigned the goodwill balance of the EPM&amp;A practice, which totaled $16.7 million as of March 31, 2014, from the Huron Education and Life Sciences reporting unit to the EPM&amp;A reporting unit, which is part of the Huron Business Advisory segment.</w:t>
      </w:r>
    </w:p>
    <w:p>
      <w:pPr>
        <w:spacing w:after="0" w:line="10" w:lineRule="exact"/>
        <w:rPr>
          <w:rFonts w:ascii="Arial" w:cs="Arial" w:eastAsia="Arial" w:hAnsi="Arial"/>
          <w:sz w:val="17"/>
          <w:szCs w:val="17"/>
          <w:color w:val="auto"/>
        </w:rPr>
      </w:pPr>
    </w:p>
    <w:p>
      <w:pPr>
        <w:ind w:left="660" w:right="10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connection with the sale of the Huron Legal segment in 2015, we wrote off $59.5 million of goodwill, which represents the Huron Legal segment goodwill carrying balance as of the closing date. Refer to Note 3 "Discontinued Operations" for additional information on the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Goodwill Impairment Test</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first three months of 2015, the operating results for Huron Legal were generally in line with management’s expectations for the quarter but still significantly below the results achieved during the first three quarters of 2014. Given the increase in the reporting unit’s carrying value as a result of the Sky Analytics acquisition and weakened results compared to the first nine months of 2014, we performed an interim impairment test for the goodwill balances within our Huron Legal reporting unit as of March 31, 2015. Our goodwill impairment test was performed using the quantitative two-step process. Based on the results of the first step of the goodwill impairment test, we determined that the fair value of our Huron Legal reporting unit exceeded its carrying value, and, therefore, the second step of the goodwill impairment test was not necessary.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Goodwill Impairment Test</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our policy, we performed our annual goodwill impairment test as of November 30, 2015 on our five reporting units with goodwill balances: Huron Healthcare, Huron Education and Life Sciences, Financial Advisory, EPM&amp;A, and Huron Legal, which was subsequently sold in December 2015. Our All Other reporting unit does not have a goodwill balance.</w:t>
      </w:r>
    </w:p>
    <w:p>
      <w:pPr>
        <w:spacing w:after="0" w:line="12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each reporting unit, we reviewed goodwill for impairment utilizing the quantitative two-step process. We performed the first step of the quantitative two-step impairment test by comparing the fair value of each reporting unit to its respective carrying amount, including goodwill. Based on the results of the first step of the goodwill impairment test, we determined that the fair values of all reporting units exceeded their carrying value. Therefore, the second step of the goodwill impairment test was not necessary.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as of December 31, 2015 and 2014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2015</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33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25,332</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 to 13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15,168</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2 to 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19,516</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In connection with the sale of the Huron Legal segment in 2015, we wrote off $3.3 million of intangible assets, which represents the Huron Legal segment intangible asset carrying balance as of the closing date. Refer to Note 3 "Discontinued Operations" for additional information on the sale.</w:t>
      </w:r>
    </w:p>
    <w:p>
      <w:pPr>
        <w:spacing w:after="0" w:line="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the customer relationships, as well as the customer contracts and the trade name acquired in the acquisition of Studer Group, are amortized on an accelerated basis to correspond to the cash flows expected to be derived from these assets. All other intangible assets are amortized on a straight-line basis.</w:t>
      </w:r>
    </w:p>
    <w:p>
      <w:pPr>
        <w:spacing w:after="0" w:line="127"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Intangible assets amortization expense for the years ended December 31, 2015, 2014, and 2013 was $28.7 million, $8.9 million, and $3.9 million, respectively. The table below sets forth the estimated annual amortization expense for the next five years for the intangible assets recorded as of December 31, 2015.</w:t>
      </w:r>
    </w:p>
    <w:p>
      <w:pPr>
        <w:spacing w:after="0" w:line="285" w:lineRule="exact"/>
        <w:rPr>
          <w:sz w:val="20"/>
          <w:szCs w:val="20"/>
          <w:color w:val="auto"/>
        </w:rPr>
      </w:pPr>
    </w:p>
    <w:tbl>
      <w:tblPr>
        <w:tblLayout w:type="fixed"/>
        <w:tblInd w:w="268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jc w:val="right"/>
              <w:ind w:right="85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3380" w:type="dxa"/>
            <w:vAlign w:val="bottom"/>
            <w:gridSpan w:val="2"/>
          </w:tcPr>
          <w:p>
            <w:pPr>
              <w:ind w:left="600"/>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tcPr>
          <w:p>
            <w:pPr>
              <w:spacing w:after="0"/>
              <w:rPr>
                <w:sz w:val="20"/>
                <w:szCs w:val="20"/>
                <w:color w:val="auto"/>
              </w:rPr>
            </w:pP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Amortization Expense</w:t>
            </w:r>
          </w:p>
        </w:tc>
      </w:tr>
      <w:tr>
        <w:trPr>
          <w:trHeight w:val="27"/>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jc w:val="right"/>
              <w:ind w:right="281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29,082</w:t>
            </w:r>
          </w:p>
        </w:tc>
      </w:tr>
      <w:tr>
        <w:trPr>
          <w:trHeight w:val="243"/>
        </w:trPr>
        <w:tc>
          <w:tcPr>
            <w:tcW w:w="3280" w:type="dxa"/>
            <w:vAlign w:val="bottom"/>
          </w:tcPr>
          <w:p>
            <w:pPr>
              <w:jc w:val="right"/>
              <w:ind w:right="28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25,069</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jc w:val="right"/>
              <w:ind w:right="281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14,987</w:t>
            </w:r>
          </w:p>
        </w:tc>
      </w:tr>
      <w:tr>
        <w:trPr>
          <w:trHeight w:val="243"/>
        </w:trPr>
        <w:tc>
          <w:tcPr>
            <w:tcW w:w="3280" w:type="dxa"/>
            <w:vAlign w:val="bottom"/>
          </w:tcPr>
          <w:p>
            <w:pPr>
              <w:jc w:val="right"/>
              <w:ind w:right="28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9,427</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3280" w:type="dxa"/>
            <w:vAlign w:val="bottom"/>
            <w:shd w:val="clear" w:color="auto" w:fill="CCEEFF"/>
          </w:tcPr>
          <w:p>
            <w:pPr>
              <w:jc w:val="right"/>
              <w:ind w:right="2810"/>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future amortization expense could differ from these estimated amounts as a result of future acquisitions, dispositions, and other factors.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Depreciation expense for property and equipment was $12.3 million, $10.3 million, and $9.2 million for 2015, 2014, and 2013, respectively. Property and equipment at December 31, 2015 and 2014 are detailed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related equipment, and software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32,163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40,701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Assets under capital lease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123,592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(92,901)</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28,888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30,691</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carrying amounts of our debt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1.25% convertible senior notes due 2019</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debt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219,993</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212,852</w:t>
            </w:r>
          </w:p>
        </w:tc>
      </w:tr>
      <w:tr>
        <w:trPr>
          <w:trHeight w:val="270"/>
        </w:trPr>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143,750</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311,993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356,602</w:t>
            </w:r>
          </w:p>
        </w:tc>
      </w:tr>
      <w:tr>
        <w:trPr>
          <w:trHeight w:val="270"/>
        </w:trPr>
        <w:tc>
          <w:tcPr>
            <w:tcW w:w="42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(28,750)</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311,993</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327,852</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760"/>
          </w:cols>
          <w:pgMar w:left="240" w:top="125"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jc w:val="right"/>
              <w:ind w:right="4530"/>
              <w:spacing w:after="0"/>
              <w:rPr>
                <w:sz w:val="20"/>
                <w:szCs w:val="20"/>
                <w:color w:val="auto"/>
              </w:rPr>
            </w:pPr>
            <w:r>
              <w:rPr>
                <w:rFonts w:ascii="Arial" w:cs="Arial" w:eastAsia="Arial" w:hAnsi="Arial"/>
                <w:sz w:val="18"/>
                <w:szCs w:val="18"/>
                <w:color w:val="auto"/>
                <w:w w:val="98"/>
              </w:rPr>
              <w:t>A summary of the scheduled maturities of our debt follows:</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0"/>
        </w:trPr>
        <w:tc>
          <w:tcPr>
            <w:tcW w:w="9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Scheduled Maturities of</w:t>
            </w:r>
          </w:p>
        </w:tc>
      </w:tr>
      <w:tr>
        <w:trPr>
          <w:trHeight w:val="234"/>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9260" w:type="dxa"/>
            <w:vAlign w:val="bottom"/>
            <w:shd w:val="clear" w:color="auto" w:fill="CCEEFF"/>
          </w:tcPr>
          <w:p>
            <w:pPr>
              <w:jc w:val="right"/>
              <w:ind w:right="8770"/>
              <w:spacing w:after="0"/>
              <w:rPr>
                <w:sz w:val="20"/>
                <w:szCs w:val="20"/>
                <w:color w:val="auto"/>
              </w:rPr>
            </w:pPr>
            <w:r>
              <w:rPr>
                <w:rFonts w:ascii="Arial" w:cs="Arial" w:eastAsia="Arial" w:hAnsi="Arial"/>
                <w:sz w:val="18"/>
                <w:szCs w:val="18"/>
                <w:color w:val="auto"/>
                <w:w w:val="94"/>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92,000</w:t>
            </w:r>
          </w:p>
        </w:tc>
      </w:tr>
      <w:tr>
        <w:trPr>
          <w:trHeight w:val="27"/>
        </w:trPr>
        <w:tc>
          <w:tcPr>
            <w:tcW w:w="9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warrants, which were entered into in connection with the Convertible Notes, effectively raise the price at which economic dilution would occur from the initial conversion price of approximately $79.89 to approximately $97.12 per share.</w:t>
      </w:r>
    </w:p>
    <w:p>
      <w:pPr>
        <w:spacing w:after="0" w:line="11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16" w:lineRule="exact"/>
        <w:rPr>
          <w:sz w:val="20"/>
          <w:szCs w:val="20"/>
          <w:color w:val="auto"/>
        </w:rPr>
      </w:pPr>
    </w:p>
    <w:p>
      <w:pPr>
        <w:ind w:left="820" w:right="200" w:hanging="812"/>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820" w:right="80" w:hanging="812"/>
        <w:spacing w:after="0" w:line="279"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820" w:hanging="81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December 31, 2015, the remaining life of the Convertible Notes is 3.8 years. The equity component will not be remeasured as long as it continues to meet the conditions for equity classification.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8060" w:type="dxa"/>
            <w:vAlign w:val="bottom"/>
          </w:tcPr>
          <w:p>
            <w:pPr>
              <w:ind w:left="60"/>
              <w:spacing w:after="0"/>
              <w:rPr>
                <w:sz w:val="20"/>
                <w:szCs w:val="20"/>
                <w:color w:val="auto"/>
              </w:rPr>
            </w:pPr>
            <w:r>
              <w:rPr>
                <w:rFonts w:ascii="Arial" w:cs="Arial" w:eastAsia="Arial" w:hAnsi="Arial"/>
                <w:sz w:val="18"/>
                <w:szCs w:val="18"/>
                <w:color w:val="auto"/>
              </w:rPr>
              <w:t>As of December 31, 2015 and 2014, the Convertible Notes consisted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(37,148)</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440"/>
              <w:spacing w:after="0"/>
              <w:rPr>
                <w:sz w:val="20"/>
                <w:szCs w:val="20"/>
                <w:color w:val="auto"/>
              </w:rPr>
            </w:pPr>
            <w:r>
              <w:rPr>
                <w:rFonts w:ascii="Arial" w:cs="Arial" w:eastAsia="Arial" w:hAnsi="Arial"/>
                <w:sz w:val="18"/>
                <w:szCs w:val="18"/>
                <w:color w:val="auto"/>
              </w:rPr>
              <w:t>Net carrying amount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212,852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component</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39,287</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8060" w:type="dxa"/>
            <w:vAlign w:val="bottom"/>
            <w:vMerge w:val="restart"/>
          </w:tcPr>
          <w:p>
            <w:pPr>
              <w:ind w:left="580"/>
              <w:spacing w:after="0"/>
              <w:rPr>
                <w:sz w:val="20"/>
                <w:szCs w:val="20"/>
                <w:color w:val="auto"/>
              </w:rPr>
            </w:pPr>
            <w:r>
              <w:rPr>
                <w:rFonts w:ascii="Arial" w:cs="Arial" w:eastAsia="Arial" w:hAnsi="Arial"/>
                <w:sz w:val="18"/>
                <w:szCs w:val="18"/>
                <w:color w:val="auto"/>
              </w:rPr>
              <w:t>Included in Additional paid-in capital on the consolidated balance sheet.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80" w:type="dxa"/>
            <w:vAlign w:val="bottom"/>
            <w:vMerge w:val="continue"/>
          </w:tcPr>
          <w:p>
            <w:pPr>
              <w:spacing w:after="0"/>
              <w:rPr>
                <w:sz w:val="24"/>
                <w:szCs w:val="24"/>
                <w:color w:val="auto"/>
              </w:rPr>
            </w:pPr>
          </w:p>
        </w:tc>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 Total debt issuance costs were $7.3 million, of which $6.2 million was allocated to liability issuance costs and $1.1 million was allocated to equity issuance costs.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w w:val="95"/>
              </w:rPr>
              <w:t>The following table presents the amount of interest expense recognized related to the Convertible Notes: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7,141</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interest expense recognized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11,446</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For purposes of the computation of diluted earnings per share in accordance with U.S.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11" w:lineRule="exact"/>
        <w:rPr>
          <w:sz w:val="20"/>
          <w:szCs w:val="20"/>
          <w:color w:val="auto"/>
        </w:rPr>
      </w:pPr>
    </w:p>
    <w:p>
      <w:pPr>
        <w:ind w:left="820" w:right="20" w:hanging="812"/>
        <w:spacing w:after="0" w:line="25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the convertible note</w:t>
      </w:r>
      <w:r>
        <w:rPr>
          <w:rFonts w:ascii="Arial" w:cs="Arial" w:eastAsia="Arial" w:hAnsi="Arial"/>
          <w:sz w:val="18"/>
          <w:szCs w:val="18"/>
          <w:i w:val="1"/>
          <w:iCs w:val="1"/>
          <w:color w:val="auto"/>
        </w:rPr>
        <w:t xml:space="preserve"> </w:t>
      </w:r>
      <w:r>
        <w:rPr>
          <w:rFonts w:ascii="Arial" w:cs="Arial" w:eastAsia="Arial" w:hAnsi="Arial"/>
          <w:sz w:val="18"/>
          <w:szCs w:val="18"/>
          <w:color w:val="auto"/>
        </w:rPr>
        <w:t>hedge 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192" w:lineRule="exact"/>
        <w:rPr>
          <w:rFonts w:ascii="Arial" w:cs="Arial" w:eastAsia="Arial" w:hAnsi="Arial"/>
          <w:sz w:val="18"/>
          <w:szCs w:val="18"/>
          <w:color w:val="auto"/>
        </w:rPr>
      </w:pPr>
    </w:p>
    <w:p>
      <w:pPr>
        <w:ind w:left="820" w:right="20" w:hanging="812"/>
        <w:spacing w:after="0" w:line="255"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March 31, 2015, the Company and certain of the Company’s subsidiaries entered into a Second Amended and Restated Credit Agreement dated as of March 31, 2015 (the “Amended Credit Agreement”) by and among the Company, as borrower, certain subsidiaries of the Company, as guarantors, the lenders identified therein, and Bank of America, N.A., as administrative agent and collateral agent, consisting of a $500 million five-year senior secured revolving credit facility. The Amended Credit Agreement becomes due and payable in full upon maturity on March 31, 2020. The Amended Credit Agreement amended and restated, in its entirety, the credit agreement entered into as of April 14, 2011 (as amended and modified, the “Existing Credit Agreement”). The Amended Credit Agreement provides for, among other things, an extension of the maturity date and a reduction in pricing, and replaced the existing revolving credit and term loan facility with an increased revolving credit facility.</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81"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5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93"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December 31, 2015, we were in compliance with these financial covenants with a Consolidated Leverage Ratio of 2.09 to 1.00 and a Consolidated Interest Coverage Ratio of 15.70 to 1.00.</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Borrowings outstanding under the Amended Credit Agreement at December 31, 2015 totaled $92.0 million. These borrowings carried a weighted average interest rate of 2.4%, including the effect of the interest rate swaps described below in Note 11 “Derivative Instruments and Hedging Activity."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December 31, 2015, we had outstanding letters of credit totaling $4.8 million, which are primarily used as security deposits for our office facilities. As of December 31, 2015, the unused borrowing capacity under the revolving credit facility was $403.2 million.</w:t>
      </w:r>
    </w:p>
    <w:p>
      <w:pPr>
        <w:spacing w:after="0" w:line="228" w:lineRule="exact"/>
        <w:rPr>
          <w:sz w:val="20"/>
          <w:szCs w:val="20"/>
          <w:color w:val="auto"/>
        </w:rPr>
      </w:pPr>
    </w:p>
    <w:p>
      <w:pPr>
        <w:ind w:right="9880" w:firstLine="8"/>
        <w:spacing w:after="0" w:line="495" w:lineRule="auto"/>
        <w:tabs>
          <w:tab w:leader="none" w:pos="1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2015 and 2014, no such preferred stock has been approved or issued.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7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61,895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51,577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14,856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59,052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66,433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22,136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22,322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22,600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22,777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basic share: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diluted share: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anti-dilutive securities excluded from the computation of the weighted average common stock equivalents presented above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As of December 31,</w:t>
            </w:r>
          </w:p>
        </w:tc>
        <w:tc>
          <w:tcPr>
            <w:tcW w:w="9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2013</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76</w:t>
            </w: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76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Note 7 “Financing Arrangements” for further information on the convertible senior notes and warrants related to the issuance of convertible notes.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In February 2014, our board of directors authorized a share repurchase program allowing us to repurchase up to $50 million of our common stock through February 28, 2015 (the “February 2014 Share Repurchase Program”). During the twelve months ended December 31, 2014, we completed the February 2014 Share Repurchase Program by repurchasing 805,392 shares at an average cost of $62.08 per share.</w:t>
      </w:r>
    </w:p>
    <w:p>
      <w:pPr>
        <w:spacing w:after="0" w:line="11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October 2014, our board of directors authorized an additional share repurchase program pursuant to which we may, from time to time, repurchase up to $50 million of our common stock through October 31, 2015 (the “October 2014 Share Repurchase Program”). In October 2015, our board of directors authorized an extension of the October 2014 Share Repurchase Program through October 31, 2016; and in December 2015, our board of directors increased the authorized amount to $125 million. The amount and timing of the repurchases will be determined by management and will depend on a variety of factors, including the trading price of our common stock, general market and business conditions, and applicable legal requirements. No shares were repurchased under this program in 2014. During the twelve months ended December 31, 2015, we repurchased 583,880 shares at an average cost of $59.24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Charges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2015, we incurred $3.3 million of pretax restructuring expense. This expense primarily consisted of the following charges: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 xml:space="preserve">Office exit costs - </w:t>
      </w:r>
      <w:r>
        <w:rPr>
          <w:rFonts w:ascii="Arial" w:cs="Arial" w:eastAsia="Arial" w:hAnsi="Arial"/>
          <w:sz w:val="18"/>
          <w:szCs w:val="18"/>
          <w:color w:val="auto"/>
        </w:rPr>
        <w:t>In 2015, we incurred $0.5 million of office exit costs primarily related to updated assumptions for the lease accrual of the Washington,</w:t>
      </w:r>
      <w:r>
        <w:rPr>
          <w:rFonts w:ascii="Arial" w:cs="Arial" w:eastAsia="Arial" w:hAnsi="Arial"/>
          <w:sz w:val="18"/>
          <w:szCs w:val="18"/>
          <w:i w:val="1"/>
          <w:iCs w:val="1"/>
          <w:color w:val="auto"/>
        </w:rPr>
        <w:t xml:space="preserve"> </w:t>
      </w:r>
      <w:r>
        <w:rPr>
          <w:rFonts w:ascii="Arial" w:cs="Arial" w:eastAsia="Arial" w:hAnsi="Arial"/>
          <w:sz w:val="18"/>
          <w:szCs w:val="18"/>
          <w:color w:val="auto"/>
        </w:rPr>
        <w:t>D.C. space vacated in the fourth quarter of 2014.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In 2015, we incurred $2.8 million of severance expense to better align our resources with market demand.</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Of the $3.3 million pretax restructuring expense, $1.2 million was incurred by our Healthcare segment, $1.1 million was incurred by our All Other segment as we wind down our public sector consulting practice and our foreign consulting operations based in the Middle East, and $1.0 million was incurred from corporate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2014, we incurred $2.8 million of pretax restructuring expense. This expense primarily consisted of the following charges:</w:t>
      </w:r>
    </w:p>
    <w:p>
      <w:pPr>
        <w:spacing w:after="0" w:line="17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 xml:space="preserve">Office exit costs - </w:t>
      </w:r>
      <w:r>
        <w:rPr>
          <w:rFonts w:ascii="Arial" w:cs="Arial" w:eastAsia="Arial" w:hAnsi="Arial"/>
          <w:sz w:val="16"/>
          <w:szCs w:val="16"/>
          <w:color w:val="auto"/>
        </w:rPr>
        <w:t>In 2014, we incurred charges totaling $1.8 million related to the consolidation of office space in Washington, D.C., Chicago, and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and the closure of our office in San Diego. The charges primarily consisted of the accrual of remaining lease obligations at vacated spaces, net of estimated sublease income. The vacated locations in Chicago and New York were acquired as part of business acquisitions during 2013 and 2014.</w:t>
      </w:r>
    </w:p>
    <w:p>
      <w:pPr>
        <w:spacing w:after="0" w:line="9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Accelerated depreciation - </w:t>
      </w:r>
      <w:r>
        <w:rPr>
          <w:rFonts w:ascii="Arial" w:cs="Arial" w:eastAsia="Arial" w:hAnsi="Arial"/>
          <w:sz w:val="18"/>
          <w:szCs w:val="18"/>
          <w:color w:val="auto"/>
        </w:rPr>
        <w:t>We incurred $0.9 million of accelerated depreciation expense on leasehold improvements at our vacated offices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11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i w:val="1"/>
          <w:iCs w:val="1"/>
          <w:color w:val="auto"/>
        </w:rPr>
        <w:t xml:space="preserve">Contract termination costs - </w:t>
      </w:r>
      <w:r>
        <w:rPr>
          <w:rFonts w:ascii="Arial" w:cs="Arial" w:eastAsia="Arial" w:hAnsi="Arial"/>
          <w:sz w:val="18"/>
          <w:szCs w:val="18"/>
          <w:color w:val="auto"/>
        </w:rPr>
        <w:t>In the fourth quarter of 2014, we paid $0.1 million for the early termination of certain telecom contracts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vacated office space in San Diego.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$2.8 million pretax restructuring expense incurred in 2014 was related to corporate operations.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2013, we incurred $0.3 million of pretax restructuring expense. This expense primarily consisted of the early termination of certain computer lease contracts related to the integration of our Blue Stone acquisition.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2015 and 2014.</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Office Space</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Employee Costs</w:t>
            </w:r>
          </w:p>
        </w:tc>
        <w:tc>
          <w:tcPr>
            <w:tcW w:w="26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Reductions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r>
      <w:tr>
        <w:trPr>
          <w:trHeight w:val="270"/>
        </w:trPr>
        <w:tc>
          <w:tcPr>
            <w:tcW w:w="5480" w:type="dxa"/>
            <w:vAlign w:val="bottom"/>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(1)(2)</w:t>
            </w:r>
          </w:p>
        </w:tc>
        <w:tc>
          <w:tcPr>
            <w:tcW w:w="1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3,025</w:t>
            </w:r>
          </w:p>
        </w:tc>
      </w:tr>
      <w:tr>
        <w:trPr>
          <w:trHeight w:val="25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w:t>
            </w:r>
          </w:p>
        </w:tc>
      </w:tr>
      <w:tr>
        <w:trPr>
          <w:trHeight w:val="264"/>
        </w:trPr>
        <w:tc>
          <w:tcPr>
            <w:tcW w:w="5480" w:type="dxa"/>
            <w:vAlign w:val="bottom"/>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(1)(2)</w:t>
            </w:r>
          </w:p>
        </w:tc>
        <w:tc>
          <w:tcPr>
            <w:tcW w:w="1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7,209</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13,029</w:t>
            </w:r>
          </w:p>
        </w:tc>
      </w:tr>
      <w:tr>
        <w:trPr>
          <w:trHeight w:val="25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70"/>
        </w:trPr>
        <w:tc>
          <w:tcPr>
            <w:tcW w:w="5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8,702</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20" w:right="760" w:hanging="488"/>
        <w:spacing w:after="0" w:line="308"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Additions for the years ended December 31, 2015 and 2014 include $10.2 million and $0.4 million, respectively, related to discontinued operations. Refer to Note 3 "Discontinued Operations" for additional information on our discontinued operation.</w:t>
      </w:r>
    </w:p>
    <w:p>
      <w:pPr>
        <w:spacing w:after="0" w:line="38" w:lineRule="exact"/>
        <w:rPr>
          <w:rFonts w:ascii="Arial" w:cs="Arial" w:eastAsia="Arial" w:hAnsi="Arial"/>
          <w:sz w:val="17"/>
          <w:szCs w:val="17"/>
          <w:color w:val="auto"/>
        </w:rPr>
      </w:pPr>
    </w:p>
    <w:p>
      <w:pPr>
        <w:ind w:left="820" w:right="460" w:hanging="488"/>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for the years ended December 31, 2015 and 2014 exclude $3.5 million and $0.2 million, respectively, of net noncash restructuring charges as these items do not result in a restructuring charge liability.</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Adjustments to office space reductions represents changes in sublease assumptions and reductions in our remaining lease obligations.</w:t>
      </w:r>
    </w:p>
    <w:p>
      <w:pPr>
        <w:spacing w:after="0" w:line="18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December 31, 2015, our restructuring charge liability related to office space reductions of $6.4 million represented the present value of remaining lease payments, net of estimated sublease income, primarily for our vacated office spaces in Washington, D.C., New York, and Houston. The $2.3 million restructuring charge liability related to employee costs at December 31, 2015 is expected to be paid in 2016. The restructuring charge liability is included as a component of accrued expenses and deferred compensation and other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Activity</w:t>
      </w:r>
    </w:p>
    <w:p>
      <w:pPr>
        <w:spacing w:after="0" w:line="121" w:lineRule="exact"/>
        <w:rPr>
          <w:sz w:val="20"/>
          <w:szCs w:val="20"/>
          <w:color w:val="auto"/>
        </w:rPr>
      </w:pPr>
    </w:p>
    <w:p>
      <w:pPr>
        <w:jc w:val="both"/>
        <w:ind w:right="460" w:firstLine="324"/>
        <w:spacing w:after="0" w:line="257"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7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December 31, 2015, it was anticipated that $0.1 million of the losses, net of tax, currently recorded in accumulated other comprehensive income will be reclassified into earnings within the next 12 months. Our interest rate swap agreements were effective during the twelve months ended December 31, 2015, inclusive of consideration of our credit facility amendment discussed in Note 7 “Financing Arrangements.”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December 31, 2015 and December 31,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Fair Value (Derivative Asset and Liability)</w:t>
            </w:r>
          </w:p>
        </w:tc>
        <w:tc>
          <w:tcPr>
            <w:tcW w:w="5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6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our consolidated balance sheet. All of the Company’s derivative instruments as of December 31, 2015 and 2014 were held with the same counterparty.</w:t>
      </w:r>
    </w:p>
    <w:p>
      <w:pPr>
        <w:spacing w:after="0" w:line="13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13 “Other Comprehensive Income (Loss)” for additional information on our derivative instruments.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7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Certain of our assets and liabilities are measured at fair value.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97"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right="260" w:firstLine="324"/>
        <w:spacing w:after="0" w:line="277" w:lineRule="auto"/>
        <w:rPr>
          <w:sz w:val="20"/>
          <w:szCs w:val="20"/>
          <w:color w:val="auto"/>
        </w:rPr>
      </w:pPr>
      <w:r>
        <w:rPr>
          <w:rFonts w:ascii="Arial" w:cs="Arial" w:eastAsia="Arial" w:hAnsi="Arial"/>
          <w:sz w:val="18"/>
          <w:szCs w:val="18"/>
          <w:color w:val="auto"/>
        </w:rPr>
        <w:t>The table below sets forth the fair value hierarchy for our financial assets and liabilities measured at fair value on a recurring basis as of December 31, 2015 and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Promissory note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34,831</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2,063</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December 31, 2014</w:t>
            </w: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Promissory note</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2,137</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12,250</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14,559</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453"/>
        </w:trPr>
        <w:tc>
          <w:tcPr>
            <w:tcW w:w="47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F-28</w:t>
            </w: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the Company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a $3.5 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increase in the fair value of the note during 2015 reflects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9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the interest rate swaps was derived using estimates to settle the interest rate swap agreements, which are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present value of expected future cash flows on each leg of the swaps utilizing market-based inputs and discount rates reflecting the risks involved.</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the third quarter of 2014, we invested $12.5 million, in the form of zero coupon convertible debt, in Shorelight</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(“Shorelight”), the parent company of Shorelight Education, a U.S.-based company that partners with leading nonprofit universities to increase access to and retention of international students, boost institutional growth, and enhance an institution’s global footprint. In 2015, we invested an additional $15.4 million in convertible notes of Shorelight, increasing the cost basis of our investment to $27.9 million. The notes will mature on July 1, 2020, unless converted earlier.</w:t>
      </w:r>
    </w:p>
    <w:p>
      <w:pPr>
        <w:spacing w:after="0" w:line="134"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 in accordance with ASC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An unrealized pretax gain of $7.1 million was recorded in other comprehensive income for the twelve months ended December 31, 2015. The fair value of the convertible debt investment is recorded in long-term investment.</w:t>
      </w:r>
    </w:p>
    <w:p>
      <w:pPr>
        <w:spacing w:after="0" w:line="11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Contingent acquisition liability: </w:t>
      </w:r>
      <w:r>
        <w:rPr>
          <w:rFonts w:ascii="Arial" w:cs="Arial" w:eastAsia="Arial" w:hAnsi="Arial"/>
          <w:sz w:val="17"/>
          <w:szCs w:val="17"/>
          <w:color w:val="auto"/>
        </w:rPr>
        <w:t>We estimate the fair value of acquisition-related contingent consideration using either a probability-weighted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cash flow model or a Monte Carlo simulation model, as appropriate. These fair value measurements are based on significant inputs not observed in the market and thus represents a Level 3 measurement. The significant unobservable inputs used in the fair value measurements of our contingent consideration are our measures of the estimated payouts based on internally generated financial projections and discount rates. The fair value of the contingent consideration is reassessed on a quarterly basis based on assumptions used in our latest projections and input provided by practice leaders and management. Any change in the fair value estimate is recorded in the earnings of that period. During the year ended December 31, 2015, we recorded a $2.1 million contingent consideration liability for an acquisition that was completed during 2015. In addition, we determined that the fair value of another contingent consideration liability for a separate acquisition that was also completed during 2015 had declined to zero and recorded a remeasurement gain of $0.3 million. Refer to Note 5 “Goodwill and Intangible Assets” for information on the acquisitions completed in 2015. The fair value of the contingent acquisition liability is recorded in accrued consideration for business acquisitions.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carrying value of our borrowings outstanding under senior secured credit facility is stated at cost. Our carrying value approximates fair value, using Level 2 inputs, as the senior secured credit facility bears interest at variable rates based on market rates as set forth in the Amended Credit Agreement. Refer to Note 7 “Financing Arrangements.”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and estimated fair value of the Convertible Notes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4"/>
          </w:tcPr>
          <w:p>
            <w:pPr>
              <w:ind w:left="660"/>
              <w:spacing w:after="0"/>
              <w:rPr>
                <w:sz w:val="20"/>
                <w:szCs w:val="20"/>
                <w:color w:val="auto"/>
              </w:rPr>
            </w:pPr>
            <w:r>
              <w:rPr>
                <w:rFonts w:ascii="Arial" w:cs="Arial" w:eastAsia="Arial" w:hAnsi="Arial"/>
                <w:sz w:val="18"/>
                <w:szCs w:val="18"/>
                <w:b w:val="1"/>
                <w:bCs w:val="1"/>
                <w:color w:val="auto"/>
              </w:rPr>
              <w:t>December 31, 2015</w:t>
            </w:r>
          </w:p>
        </w:tc>
        <w:tc>
          <w:tcPr>
            <w:tcW w:w="360" w:type="dxa"/>
            <w:vAlign w:val="bottom"/>
          </w:tcPr>
          <w:p>
            <w:pPr>
              <w:spacing w:after="0"/>
              <w:rPr>
                <w:sz w:val="20"/>
                <w:szCs w:val="20"/>
                <w:color w:val="auto"/>
              </w:rPr>
            </w:pPr>
          </w:p>
        </w:tc>
        <w:tc>
          <w:tcPr>
            <w:tcW w:w="30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b w:val="1"/>
                <w:bCs w:val="1"/>
                <w:color w:val="auto"/>
              </w:rPr>
              <w:t>Estimated</w:t>
            </w:r>
          </w:p>
        </w:tc>
        <w:tc>
          <w:tcPr>
            <w:tcW w:w="36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219,993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248,010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212,852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261,903</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difference between the $250 million principal amount of the Convertible Notes and the carrying amounts represents the unamortized debt discount. As of December 31, 2015 and 2014, the carrying value of the equity component of $39.3 million was unchanged from the date of issuance. Refer to Note 7 “Financing Arrangements” for additional details of our Convertible Notes. The estimated fair value of the Convertible Notes was determined based on the quoted bid price of the Convertible Notes in an over-the-counter market on December 31, 2015 and 2014, which is a Level 2 input.</w:t>
      </w:r>
    </w:p>
    <w:p>
      <w:pPr>
        <w:spacing w:after="0" w:line="10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Based on the closing price of our common stock of $59.40 on December 31, 2015, the if-converted value of the Convertible Notes was less than the principal amount.</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75"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2015, 2014, and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 Flow</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Hedges</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$48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$(83)</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$(223)</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$111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loss on investments, net of tax of $0</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$341</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$(347)</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$(33)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Reclassification adjustment into earnings, net of tax of $0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2,220</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investments, net of tax of $(2,709)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$327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$(320)</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8" w:lineRule="exact"/>
        <w:rPr>
          <w:sz w:val="20"/>
          <w:szCs w:val="20"/>
          <w:color w:val="auto"/>
        </w:rPr>
      </w:pPr>
    </w:p>
    <w:p>
      <w:pPr>
        <w:ind w:left="660" w:right="28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8"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divestiture of Huron Legal, which included the sale of certain wholly-owned foreign subsidiaries, we reclassified $2.2 million of accumulated translation losses to net income from discontinued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and Deferred Compensation Plans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sponsor a qualified defined contribution 401(k) plan covering substantially all of our employees. Under the plan, employees are entitled to make pretax contributions. We match an amount equal to the employees’ contributions up to 6% of the employees’ salaries. Our matching contributions, including those related to our discontinued operations, for the years ended December 31, 2015, 2014, and 2013 were $17.8 million, $16.2 million, and $13.8 million, respectively.</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2015 and 2014 was $13.1 million and $7.5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The 2012 Plan permits the grant of stock options, stock appreciation rights, restricted stock, performance shares and other share-based or cash-based awards valued in whole or in part by reference to, or otherwise based on, our common stock. The 2012 Plan replaced, on a prospective basis, our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was amended on May 2, 2014 to increase the number of shares authorized for issuance by 850,000 shares.</w:t>
      </w:r>
    </w:p>
    <w:p>
      <w:pPr>
        <w:spacing w:after="0" w:line="12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requirement that the purchased shares be held for a specified holding period. The initial shares available for issuance under the SOPP was 300,000. Prior to adopting the SOPP, the matching share grants and the employee purchased shares under the stock ownership participation program were governed by the 2012 Plan.</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of December 31, 2015, approximately 1.2 million shares remain available for issuance under the 2012 Plan and SOPP. It has been our practice to issue shares of common stock upon exercise of stock options and granting of restricted stock from authorized but unissued shares, with the exception of the SOPP under which shares are issued from treasury stock.</w:t>
      </w:r>
    </w:p>
    <w:p>
      <w:pPr>
        <w:spacing w:after="0" w:line="12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SOPP and determining all of the terms and conditions of awards made under the plans, including when the awards will become exercisable or otherwise vest. In the fourth quarter of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This retirement eligibility provision will also apply to future awards granted to eligible employees under the 2012 Plan.</w:t>
      </w:r>
    </w:p>
    <w:p>
      <w:pPr>
        <w:spacing w:after="0" w:line="13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Total share-based compensation cost recognized for the years ended December 31, 2015, 2014, and 2013 was $19.2 million, $18.8 million, and $16.0 million, respectively, with related income tax benefits of $7.6 million, $7.4 million, and $6.3 million, respectively. As of December 31, 2015, there was $24.3 million of total unrecognized compensation cost related to nonvested share-based awards. This cost is expected to be recognized over a weighted average period of 2.4 years.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2013, the Company granted stock option awards to certain named executive officers. No stock option awards were granted in 2014 and 2015. The exercise prices of stock options are equal to the fair value of a share of common stock on the date of grant. Subject to acceleration under certain conditions, our stock options vest annually over four years. All stock options have a ten-year contractual term.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the options granted during 2013 were calculated using the Black-Scholes option-pricing model using the following assumptions: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6.25</w:t>
            </w:r>
          </w:p>
        </w:tc>
      </w:tr>
    </w:tbl>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Expected volatility was based on our historical stock prices, the historical volatility of comparable companies, and implied volatilities from traded options in our stock. The risk-free interest rate was based on the rate of U.S. Treasury bills with equivalent expected terms of the stock options at the time of the option grant. The expected option life was estimated using the simplified method. The simplified method was used due to the lack of sufficient historical data available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 ended December 31, 2015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dollars)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2015</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173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weighted average grant date fair value of stock options granted during the year ended December 31, 2013 was $17.46. No stock options were granted in 2014 and 2015. The aggregate intrinsic value of options exercised during 2014 and 2013 was $1.6 million and $1.7 million, respectively. No options were exercised in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grant date fair values of our restricted stock awards are measured pursuant to ASC 718 and amortized into expense over the service period. Subject to acceleration under certain conditions, the majority of our restricted stock vests annually over four years.</w:t>
      </w:r>
    </w:p>
    <w:p>
      <w:pPr>
        <w:spacing w:after="0" w:line="170"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table below summarizes the restricted stock activity for the year ended December 31, 2015, which includes activity related to our discontinued operations. As of December 31, 2015, there were no nonvested restricted stock awards outstanding related to our discontinued operations.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980" w:type="dxa"/>
            <w:vAlign w:val="bottom"/>
          </w:tcPr>
          <w:p>
            <w:pPr>
              <w:spacing w:after="0"/>
              <w:rPr>
                <w:sz w:val="18"/>
                <w:szCs w:val="18"/>
                <w:color w:val="auto"/>
              </w:rPr>
            </w:pPr>
          </w:p>
        </w:tc>
        <w:tc>
          <w:tcPr>
            <w:tcW w:w="168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Number of</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6980" w:type="dxa"/>
            <w:vAlign w:val="bottom"/>
          </w:tcPr>
          <w:p>
            <w:pPr>
              <w:spacing w:after="0"/>
              <w:rPr>
                <w:sz w:val="18"/>
                <w:szCs w:val="18"/>
                <w:color w:val="auto"/>
              </w:rPr>
            </w:pPr>
          </w:p>
        </w:tc>
        <w:tc>
          <w:tcPr>
            <w:tcW w:w="168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6980" w:type="dxa"/>
            <w:vAlign w:val="bottom"/>
          </w:tcPr>
          <w:p>
            <w:pPr>
              <w:spacing w:after="0"/>
              <w:rPr>
                <w:sz w:val="20"/>
                <w:szCs w:val="20"/>
                <w:color w:val="auto"/>
              </w:rPr>
            </w:pPr>
          </w:p>
        </w:tc>
        <w:tc>
          <w:tcPr>
            <w:tcW w:w="168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6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at December 31, 2014</w:t>
            </w:r>
          </w:p>
        </w:tc>
        <w:tc>
          <w:tcPr>
            <w:tcW w:w="1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66.21</w:t>
            </w:r>
          </w:p>
        </w:tc>
      </w:tr>
      <w:tr>
        <w:trPr>
          <w:trHeight w:val="27"/>
        </w:trPr>
        <w:tc>
          <w:tcPr>
            <w:tcW w:w="6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57.40</w:t>
            </w:r>
          </w:p>
        </w:tc>
      </w:tr>
      <w:tr>
        <w:trPr>
          <w:trHeight w:val="27"/>
        </w:trPr>
        <w:tc>
          <w:tcPr>
            <w:tcW w:w="6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at December 31, 2015</w:t>
            </w:r>
          </w:p>
        </w:tc>
        <w:tc>
          <w:tcPr>
            <w:tcW w:w="16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59.41</w:t>
            </w:r>
          </w:p>
        </w:tc>
      </w:tr>
      <w:tr>
        <w:trPr>
          <w:trHeight w:val="20"/>
        </w:trPr>
        <w:tc>
          <w:tcPr>
            <w:tcW w:w="69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aggregate fair value of restricted stock that vested during the years ended December 31, 2015, 2014, and 2013 was $23.9 million, $19.8 million, and $14.3 million, respectively. The weighted average grant date fair value per share of restricted stock granted during 2014 and 2013 was $66.21 and $39.76,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7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During 2015, 2014, and 2013, the Company granted performance-based share awards to our named executive officers and certain managing directors. The total number of shares earned by recipients of these awards is contingent upon meeting practice and Company-wide performance goals. Following the performance period, the awards are subject to the completion of a service period, which is generally an additional two to three years. The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w:t>
      </w:r>
    </w:p>
    <w:p>
      <w:pPr>
        <w:spacing w:after="0" w:line="178" w:lineRule="exact"/>
        <w:rPr>
          <w:sz w:val="20"/>
          <w:szCs w:val="20"/>
          <w:color w:val="auto"/>
        </w:rPr>
      </w:pPr>
    </w:p>
    <w:p>
      <w:pPr>
        <w:ind w:right="660" w:firstLine="324"/>
        <w:spacing w:after="0" w:line="264" w:lineRule="auto"/>
        <w:rPr>
          <w:sz w:val="20"/>
          <w:szCs w:val="20"/>
          <w:color w:val="auto"/>
        </w:rPr>
      </w:pPr>
      <w:r>
        <w:rPr>
          <w:rFonts w:ascii="Arial" w:cs="Arial" w:eastAsia="Arial" w:hAnsi="Arial"/>
          <w:sz w:val="18"/>
          <w:szCs w:val="18"/>
          <w:color w:val="auto"/>
        </w:rPr>
        <w:t>The table below summarizes the performance-based stock activity for the year ended December 31, 2015, which includes activity related to our discontinued operations. As of December 31, 2015, there were no nonvested performance-based stock awards outstanding related to our discontinued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6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6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6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performance-based stock at December 31, 2014</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55.55</w:t>
            </w:r>
          </w:p>
        </w:tc>
      </w:tr>
      <w:tr>
        <w:trPr>
          <w:trHeight w:val="270"/>
        </w:trPr>
        <w:tc>
          <w:tcPr>
            <w:tcW w:w="7640" w:type="dxa"/>
            <w:vAlign w:val="bottom"/>
          </w:tcPr>
          <w:p>
            <w:pPr>
              <w:ind w:left="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1"/>
                <w:szCs w:val="21"/>
                <w:color w:val="auto"/>
                <w:vertAlign w:val="superscript"/>
              </w:rPr>
              <w:t>(1)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66.63</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47.67</w:t>
            </w:r>
          </w:p>
        </w:tc>
      </w:tr>
      <w:tr>
        <w:trPr>
          <w:trHeight w:val="27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66.21</w:t>
            </w:r>
          </w:p>
        </w:tc>
      </w:tr>
      <w:tr>
        <w:trPr>
          <w:trHeight w:val="26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Nonvested performance-based stock at December 31, 2015 </w:t>
            </w:r>
            <w:r>
              <w:rPr>
                <w:rFonts w:ascii="Arial" w:cs="Arial" w:eastAsia="Arial" w:hAnsi="Arial"/>
                <w:sz w:val="21"/>
                <w:szCs w:val="21"/>
                <w:color w:val="auto"/>
                <w:vertAlign w:val="superscript"/>
              </w:rPr>
              <w:t>(3)</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63.54</w:t>
            </w: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20" w:right="380" w:hanging="812"/>
        <w:spacing w:after="0" w:line="286"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Shares granted in 2015 are presented at the stated target level, which represents the base number of shares that could be earned. Actual shares earned may be below or, for certain grants, above the target level based on the achievement of specific financial goals. Included in the granted shares amount are 8,100 shares earned above the target level for awards granted in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8" w:lineRule="exact"/>
        <w:rPr>
          <w:sz w:val="20"/>
          <w:szCs w:val="20"/>
          <w:color w:val="auto"/>
        </w:rPr>
      </w:pPr>
    </w:p>
    <w:p>
      <w:pPr>
        <w:ind w:left="820" w:right="740" w:hanging="812"/>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Forfeited shares includes shares forfeited as a result of not meeting the performance criteria of the award as well as shares forfeited upon termination.</w:t>
      </w:r>
    </w:p>
    <w:p>
      <w:pPr>
        <w:spacing w:after="0" w:line="170" w:lineRule="exact"/>
        <w:rPr>
          <w:rFonts w:ascii="Arial" w:cs="Arial" w:eastAsia="Arial" w:hAnsi="Arial"/>
          <w:sz w:val="18"/>
          <w:szCs w:val="18"/>
          <w:color w:val="auto"/>
        </w:rPr>
      </w:pPr>
    </w:p>
    <w:p>
      <w:pPr>
        <w:ind w:left="820" w:right="120" w:hanging="812"/>
        <w:spacing w:after="0" w:line="286" w:lineRule="auto"/>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Of the 234,000 nonvested performance-based shares outstanding as of December 31, 2015, 178,100 shares were unearned and subject to achievement of specific financial goals. Once earned, the awards will be subject to time-based vesting according to the terms of the award. Based on 2015 financial results, 111,041 shares that were granted in 2015 will be forfeited in the first quarter of 2016.</w:t>
      </w:r>
    </w:p>
    <w:p>
      <w:pPr>
        <w:spacing w:after="0" w:line="11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2015, 2014, and 2013 was $6.5 million, $5.2 million, and $3.6 million, respectively. The weighted average grant date fair value per share of performance-based stock granted during 2014 and 2013 was $64.52 and $39.19,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expense for continuing operations for the years ended December 31, 2015, 2014, and 2013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9"/>
          </w:tcPr>
          <w:p>
            <w:pPr>
              <w:jc w:val="center"/>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12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Federal</w:t>
            </w:r>
          </w:p>
        </w:tc>
        <w:tc>
          <w:tcPr>
            <w:tcW w:w="1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4,806</w:t>
            </w:r>
          </w:p>
        </w:tc>
        <w:tc>
          <w:tcPr>
            <w:tcW w:w="5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19,760</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24,197</w:t>
            </w: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6,953</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995</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14,134</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8,003</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for continuing operations</w:t>
            </w:r>
          </w:p>
        </w:tc>
        <w:tc>
          <w:tcPr>
            <w:tcW w:w="1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21,670</w:t>
            </w:r>
          </w:p>
        </w:tc>
        <w:tc>
          <w:tcPr>
            <w:tcW w:w="5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32,200</w:t>
            </w:r>
          </w:p>
        </w:tc>
      </w:tr>
      <w:tr>
        <w:trPr>
          <w:trHeight w:val="20"/>
        </w:trPr>
        <w:tc>
          <w:tcPr>
            <w:tcW w:w="6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900" w:type="dxa"/>
            <w:vAlign w:val="bottom"/>
            <w:gridSpan w:val="6"/>
          </w:tcPr>
          <w:p>
            <w:pPr>
              <w:ind w:left="340"/>
              <w:spacing w:after="0"/>
              <w:rPr>
                <w:sz w:val="20"/>
                <w:szCs w:val="20"/>
                <w:color w:val="auto"/>
              </w:rPr>
            </w:pPr>
            <w:r>
              <w:rPr>
                <w:rFonts w:ascii="Arial" w:cs="Arial" w:eastAsia="Arial" w:hAnsi="Arial"/>
                <w:sz w:val="18"/>
                <w:szCs w:val="18"/>
                <w:color w:val="auto"/>
                <w:w w:val="95"/>
              </w:rPr>
              <w:t>The components of income from continuing operations before income tax expense were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5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9"/>
          </w:tcPr>
          <w:p>
            <w:pPr>
              <w:jc w:val="center"/>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126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85,164</w:t>
            </w:r>
          </w:p>
        </w:tc>
        <w:tc>
          <w:tcPr>
            <w:tcW w:w="5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83,851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88,664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(4,887)</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83,565</w:t>
            </w:r>
          </w:p>
        </w:tc>
        <w:tc>
          <w:tcPr>
            <w:tcW w:w="5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80,061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83,777</w:t>
            </w:r>
          </w:p>
        </w:tc>
      </w:tr>
      <w:tr>
        <w:trPr>
          <w:trHeight w:val="20"/>
        </w:trPr>
        <w:tc>
          <w:tcPr>
            <w:tcW w:w="6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800" w:type="dxa"/>
            <w:vAlign w:val="bottom"/>
            <w:gridSpan w:val="14"/>
          </w:tcPr>
          <w:p>
            <w:pPr>
              <w:ind w:left="340"/>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5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10"/>
          </w:tcPr>
          <w:p>
            <w:pPr>
              <w:ind w:left="1140"/>
              <w:spacing w:after="0"/>
              <w:rPr>
                <w:sz w:val="20"/>
                <w:szCs w:val="20"/>
                <w:color w:val="auto"/>
              </w:rPr>
            </w:pPr>
            <w:r>
              <w:rPr>
                <w:rFonts w:ascii="Arial" w:cs="Arial" w:eastAsia="Arial" w:hAnsi="Arial"/>
                <w:sz w:val="18"/>
                <w:szCs w:val="18"/>
                <w:b w:val="1"/>
                <w:bCs w:val="1"/>
                <w:color w:val="auto"/>
                <w:w w:val="89"/>
              </w:rPr>
              <w:t>Year ended December 31,</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pretax income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At U.S. statutory tax rate</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benefit</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Meals and entertainment</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source income</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credits / Section 199 Deduction</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tax (benefit) expense related to “check-the-box” election</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w w:val="95"/>
              </w:rPr>
              <w:t>Effective income tax expense rate for continuing operations</w:t>
            </w:r>
          </w:p>
        </w:tc>
        <w:tc>
          <w:tcPr>
            <w:tcW w:w="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38.4 %</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420" w:type="dxa"/>
            <w:vAlign w:val="bottom"/>
            <w:gridSpan w:val="3"/>
          </w:tcPr>
          <w:p>
            <w:pPr>
              <w:jc w:val="right"/>
              <w:ind w:right="690"/>
              <w:spacing w:after="0"/>
              <w:rPr>
                <w:sz w:val="20"/>
                <w:szCs w:val="20"/>
                <w:color w:val="auto"/>
              </w:rPr>
            </w:pPr>
            <w:r>
              <w:rPr>
                <w:rFonts w:ascii="Arial" w:cs="Arial" w:eastAsia="Arial" w:hAnsi="Arial"/>
                <w:sz w:val="18"/>
                <w:szCs w:val="18"/>
                <w:color w:val="auto"/>
              </w:rPr>
              <w:t>F-34</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2015, we made a tax election to classify two of our wholly-owned foreign subsidiaries as disregarded entities for U.S. federal income tax purposes (commonly referred to as a “check-the-box” election). As a result of this election, we expect to realize an income tax benefit of $13.0 million, of which $0.7 million is unrecognized, resulting in a net recognized tax benefit of $12.3 million.</w:t>
      </w:r>
    </w:p>
    <w:p>
      <w:pPr>
        <w:spacing w:after="0" w:line="12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effective tax rate for discontinued operations in 2015 was 169.0%, based on tax expense of $1.8 million, and was higher than the statutory tax rate primarily due to the tax expense recognized from the sale of the Huron Legal segment. Refer to Note 3 "Discontinued Operations" for further detail on the sale of the Huron Legal segment.</w:t>
      </w:r>
    </w:p>
    <w:p>
      <w:pPr>
        <w:spacing w:after="0" w:line="12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effective tax rate for discontinued operations in 2014 was 7.2%, based on tax expense of $2.5 million, and was lower than the statutory tax rate primarily due to the impact of a "check-the-box" election made in the first quarter of 2014. As a result of this election, we realized an income tax benefit of $13.8 million, of which $2.4 million is unrecognized, resulting in a net recognized tax benefit for discontinued operations of $11.4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for discontinued operations in 2013 was 50.2% based on tax expense of $15.0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deferred tax liabilities for continuing operations at December 31, 2015 and 2014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10,234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other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8,215</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6,143</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Convertible note hedge transactions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15,582</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Revenue recognition</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1,182</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44,396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46,583</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42,154</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44,152</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(56,584)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(33,288)</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Convertible note discount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(11,793)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(76,842)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(56,129)</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deferred tax liability for continuing operations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(34,688)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(11,977)</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As of December 31, 2015 and 2014, we had valuation allowances of $2.2 million and $2.4 million, respectively, primarily due to uncertainties relating to the ability to utilize deferred tax assets recorded for foreign losses and foreign tax credits.</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has federal net operating losses of $1.4 million which expire in 2029 and state net operating loss carry-forwards of $0.6 million which will expire between 2029 and 2030. The Company also has federal and state tax credit carry-forwards of $1.9 million which expire in 2021 and 2020, respectively.</w:t>
      </w:r>
    </w:p>
    <w:p>
      <w:pPr>
        <w:spacing w:after="0" w:line="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ind w:left="340"/>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9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r>
      <w:tr>
        <w:trPr>
          <w:trHeight w:val="243"/>
        </w:trPr>
        <w:tc>
          <w:tcPr>
            <w:tcW w:w="94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prior years</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the prior year</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9460" w:type="dxa"/>
            <w:vAlign w:val="bottom"/>
          </w:tcPr>
          <w:p>
            <w:pPr>
              <w:ind w:left="380"/>
              <w:spacing w:after="0"/>
              <w:rPr>
                <w:sz w:val="20"/>
                <w:szCs w:val="20"/>
                <w:color w:val="auto"/>
              </w:rPr>
            </w:pPr>
            <w:r>
              <w:rPr>
                <w:rFonts w:ascii="Arial" w:cs="Arial" w:eastAsia="Arial" w:hAnsi="Arial"/>
                <w:sz w:val="18"/>
                <w:szCs w:val="18"/>
                <w:color w:val="auto"/>
              </w:rPr>
              <w:t>Decrease based on settlements with taxing authorities</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r>
      <w:tr>
        <w:trPr>
          <w:trHeight w:val="243"/>
        </w:trPr>
        <w:tc>
          <w:tcPr>
            <w:tcW w:w="94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2,410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the prior year</w:t>
            </w: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7"/>
        </w:trPr>
        <w:tc>
          <w:tcPr>
            <w:tcW w:w="946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2,488</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r>
      <w:tr>
        <w:trPr>
          <w:trHeight w:val="237"/>
        </w:trPr>
        <w:tc>
          <w:tcPr>
            <w:tcW w:w="946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3,223</w:t>
            </w:r>
          </w:p>
        </w:tc>
      </w:tr>
      <w:tr>
        <w:trPr>
          <w:trHeight w:val="27"/>
        </w:trPr>
        <w:tc>
          <w:tcPr>
            <w:tcW w:w="9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9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Of the $3.2 million of unrecognized tax benefits at December 31, 2015, $0.8 million would affect the effective tax rate of continuing operations and $2.4 million would affect the effective tax rate of discontinued operations, if recognized. We do not expect that changes in the liability for unrecognized tax benefits during the next 12 months will have a significant impact on our financial position or results of operations.</w:t>
      </w:r>
    </w:p>
    <w:p>
      <w:pPr>
        <w:spacing w:after="0" w:line="12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2015 and 2014, an immaterial amount was accrued for the potential payment of interest and penalties. Accrued interest and penalties are recorded as a component of provision for income taxes on our consolidated statement of operations.</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file income tax returns with federal, state, local and foreign jurisdictions. Tax years 2012, 2013, and 2014 are subject to future examinations by federal tax authorities. Tax years 2009 through 2014 are subject to future examinations by state and local tax authorities. The Company is currently under audit by the states of Illinois, New York, and Florida. Our foreign income tax filings are subject to future examinations by the local foreign tax authorities for tax years 2007 through 2014.</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ind w:right="7620" w:firstLine="8"/>
        <w:spacing w:after="0" w:line="440"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lease office space under non-cancelable operating lease arrangements expiring on various dates through 2026,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require monthly payments of real estate taxes, insurance and other operating expenses applicable to the property. Some of the leases contain provisions whereby the future rental payments may be adjusted for increases in operating expenses above the specified amount. Rental expense, including operating costs and taxes, for the years ended December 31, 2015, 2014, and 2013 was $12.3 million, $9.8 million, and $8.2 million, respectively. Future minimum rental commitments under non-cancelable leases and sublease income as of December 31, 2015,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3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Sublease</w:t>
            </w: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Obligations</w:t>
            </w:r>
          </w:p>
        </w:tc>
        <w:tc>
          <w:tcPr>
            <w:tcW w:w="30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alleged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alleged they were entitled to $50 million for damage to reputation and defamation and another $50 million for breach of contract. Huron submitted its written response on September 25, 2013. The response stated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did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On October 13, 2015, the appellate court ruled in Huron's favor and denied Tamalluk's claims for damage to reputation and defamation. Tamalluk did not appeal to the Court of Cassation in the time period prescribed by law, and therefore the litigation is concluded.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provided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established and funded a Litigation Trust to pursue certain claims on behalf of certain beneficiaries. The Plan disclosed a lengthy list of potential defendants and witnesses regarding these claims, including but not limited to the debtors’ officers, directors, certain employees, former owners, investment bankers, auditors, and various consultants. This list of potential defendants and witnesses included Huron, as well as three of Huron’s current or former employees.</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Plan suggested that Huron, among others, was involved in “actively marketing PA” for sale and provided opinions to unnamed parties “defending the quality of PA’s earnings.” While we believe that we have meritorious defenses, to avoid the time and expense of protracted litigation, in September 2015 we reached an agreement with the Litigation Trust to settle the matter for $3.6 million. As a result, in the third quarter of 2015 we increased our accrued liability from $1.3 million to $3.6 million, and increased our insurance receivable from $0.5 million to $2.8 million. The settlement agreement has been finalized and approved by the Bankruptcy Court.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fourth quarter of 2015, we settled two lawsuits brought by Huron, resulting in a gain of $10.0 million being recorded. We collected the $10.0 million in January 2016.</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Guarantees in the form of letters of credit totaling $4.8 million and $5.1 million were outstanding at December 31, 2015 and 2014, respectively, to support certain office lease obligations as well as Middle East performance and bid bonds.</w:t>
      </w:r>
    </w:p>
    <w:p>
      <w:pPr>
        <w:spacing w:after="0" w:line="116" w:lineRule="exact"/>
        <w:rPr>
          <w:sz w:val="20"/>
          <w:szCs w:val="20"/>
          <w:color w:val="auto"/>
        </w:rPr>
      </w:pPr>
    </w:p>
    <w:p>
      <w:pPr>
        <w:jc w:val="both"/>
        <w:ind w:left="60" w:right="300" w:firstLine="324"/>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 As of December 31, 2015 and 2014, the estimated fair value of our contingent consideration liability was $2.1 million and $0.2 million, respectively.</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7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Segments are defined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four operating segments, which are our reportable segments: Huron Healthcare, Huron Education and Life Sciences, Huron Business Advisory, and All Other.</w:t>
      </w:r>
    </w:p>
    <w:p>
      <w:pPr>
        <w:spacing w:after="0" w:line="12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rFonts w:ascii="Arial" w:cs="Arial" w:eastAsia="Arial" w:hAnsi="Arial"/>
          <w:sz w:val="18"/>
          <w:szCs w:val="18"/>
          <w:color w:val="auto"/>
        </w:rPr>
      </w:pPr>
    </w:p>
    <w:p>
      <w:pPr>
        <w:ind w:left="660" w:right="140"/>
        <w:spacing w:after="0" w:line="279" w:lineRule="auto"/>
        <w:rPr>
          <w:rFonts w:ascii="Arial" w:cs="Arial" w:eastAsia="Arial" w:hAnsi="Arial"/>
          <w:sz w:val="18"/>
          <w:szCs w:val="18"/>
          <w:color w:val="auto"/>
        </w:rPr>
      </w:pPr>
      <w:r>
        <w:rPr>
          <w:rFonts w:ascii="Arial" w:cs="Arial" w:eastAsia="Arial" w:hAnsi="Arial"/>
          <w:sz w:val="17"/>
          <w:szCs w:val="17"/>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Also included in the Huron Business Advisory segment is our Enterprise Performance Management and Analytics practice, which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color w:val="auto"/>
        </w:rPr>
      </w:pPr>
    </w:p>
    <w:p>
      <w:pPr>
        <w:ind w:left="660" w:right="420"/>
        <w:spacing w:after="0" w:line="342" w:lineRule="auto"/>
        <w:rPr>
          <w:rFonts w:ascii="Arial" w:cs="Arial" w:eastAsia="Arial" w:hAnsi="Arial"/>
          <w:sz w:val="18"/>
          <w:szCs w:val="18"/>
          <w:color w:val="auto"/>
        </w:rPr>
      </w:pPr>
      <w:r>
        <w:rPr>
          <w:rFonts w:ascii="Arial" w:cs="Arial" w:eastAsia="Arial" w:hAnsi="Arial"/>
          <w:sz w:val="16"/>
          <w:szCs w:val="16"/>
          <w:color w:val="auto"/>
        </w:rPr>
        <w:t>Our All Other segment consists of any line of business not managed by our other three operating segments. These businesses include our public sector consulting practice and our foreign consulting operations based in the Middle East, both of which we wound down in 2015.</w:t>
      </w:r>
    </w:p>
    <w:p>
      <w:pPr>
        <w:spacing w:after="0" w:line="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8"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The table below sets forth information about our operating segments along with the items necessary to reconcile the segment information to the totals reported in the accompanying consolidated financial statements. We do not present financial information by geographic area because our international operations are immaterial. Refer to Note 3 “Discontinued Operations” for information on the divestiture of the Huron Legal segment completed in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446,887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415,803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358,766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141,870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167,933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145,962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143,609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35,966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82,968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62,840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60" w:type="dxa"/>
            <w:vAlign w:val="bottom"/>
          </w:tcPr>
          <w:p>
            <w:pPr>
              <w:spacing w:after="0"/>
              <w:rPr>
                <w:sz w:val="21"/>
                <w:szCs w:val="21"/>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699,010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627,686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538,128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73,847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64,623</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769,023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701,533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602,751</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Statements of Earnings reconciliation: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231,321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206,715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183,791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operating expenses and gains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102,688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102,924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83,169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19,933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83,777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N/M – Not Meaningful</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Huron Education and Life Sciences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28,973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1,022,271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995,238</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1,164,160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1,155,914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220" w:hanging="328"/>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Unallocated assets includes goodwill and intangible assets, our convertible debt investment, and assets of discontinued operations, as management does not evaluate these items at the segment level when assessing segment performance or allocating resources. See Note 5 “Goodwill and Intangible Assets,” Note 12 "Fair Value of Financial Instruments," and Note 3 “Discontinued Operations” for further information on these assets.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years ended December 31, 2015, 2014, and 2013, substantially all of our revenues and long-lived assets were attributed to or located in the United States.</w:t>
      </w:r>
    </w:p>
    <w:p>
      <w:pPr>
        <w:spacing w:after="0" w:line="11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No single client generated greater than 10% of our consolidated revenues for the years ended December 31, 2015, 2014, and 2013. At December 31, 2015 and 2014, no single client’s total receivables and unbilled services balance represented greater than 10% of our total receivables and unbilled services balance.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activity of the allowances for doubtful accounts and unbilled services and the valuation allowance for deferred tax assets: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r>
      <w:tr>
        <w:trPr>
          <w:trHeight w:val="261"/>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Additions</w:t>
            </w:r>
            <w:r>
              <w:rPr>
                <w:rFonts w:ascii="Arial" w:cs="Arial" w:eastAsia="Arial" w:hAnsi="Arial"/>
                <w:sz w:val="21"/>
                <w:szCs w:val="21"/>
                <w:b w:val="1"/>
                <w:bCs w:val="1"/>
                <w:color w:val="auto"/>
                <w:vertAlign w:val="superscript"/>
              </w:rPr>
              <w:t>(1)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28,948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25,698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14,129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40,003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16,886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20" w:right="180" w:hanging="812"/>
        <w:spacing w:after="0" w:line="25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Data (unaudited)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2015</w:t>
            </w:r>
          </w:p>
        </w:tc>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468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185,100</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16,747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201,847</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75,956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36,709</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32,502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19,343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0.86</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Weighted average shares used in calculating 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22,093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22,551</w:t>
            </w:r>
          </w:p>
        </w:tc>
      </w:tr>
      <w:tr>
        <w:trPr>
          <w:trHeight w:val="45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F-42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2014</w:t>
            </w:r>
          </w:p>
        </w:tc>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Mar. 31</w:t>
            </w:r>
          </w:p>
        </w:tc>
        <w:tc>
          <w:tcPr>
            <w:tcW w:w="260" w:type="dxa"/>
            <w:vAlign w:val="bottom"/>
          </w:tcPr>
          <w:p>
            <w:pPr>
              <w:spacing w:after="0"/>
              <w:rPr>
                <w:sz w:val="17"/>
                <w:szCs w:val="17"/>
                <w:color w:val="auto"/>
              </w:rPr>
            </w:pPr>
          </w:p>
        </w:tc>
        <w:tc>
          <w:tcPr>
            <w:tcW w:w="12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Jun. 30</w:t>
            </w:r>
          </w:p>
        </w:tc>
        <w:tc>
          <w:tcPr>
            <w:tcW w:w="260" w:type="dxa"/>
            <w:vAlign w:val="bottom"/>
          </w:tcPr>
          <w:p>
            <w:pPr>
              <w:spacing w:after="0"/>
              <w:rPr>
                <w:sz w:val="17"/>
                <w:szCs w:val="17"/>
                <w:color w:val="auto"/>
              </w:rPr>
            </w:pPr>
          </w:p>
        </w:tc>
        <w:tc>
          <w:tcPr>
            <w:tcW w:w="12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Sep. 30</w:t>
            </w:r>
          </w:p>
        </w:tc>
        <w:tc>
          <w:tcPr>
            <w:tcW w:w="260" w:type="dxa"/>
            <w:vAlign w:val="bottom"/>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163,917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17,634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181,551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50,862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58,413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9,968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12,793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0.57</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22,010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22,548</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w:t>
      </w:r>
    </w:p>
    <w:p>
      <w:pPr>
        <w:spacing w:after="0" w:line="12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Effective February 1, 2016, we completed our acquisition of MyRounding Solutions LLC ("MyRounding"), a Denver, Colorado-based firm specializing in digital health solutions to improve patient care. The addition of MyRounding strengthens Huron’s cultural transformation services for healthcare providers and expands the integration of Huron’s software and consulting solutions. The results of operations of MyRounding will be included within the Huron Healthcare segment. We have not yet completed a valuation of the assets acquired and liabilities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10.29</w:t>
      </w:r>
    </w:p>
    <w:p>
      <w:pPr>
        <w:spacing w:after="0" w:line="25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HURON CONSULTING GROUP INC. 2012 OMNIBUS INCENTIVE PLAN (As Amended and Restated Effective as of December 17, 2015)</w:t>
      </w:r>
    </w:p>
    <w:p>
      <w:pPr>
        <w:spacing w:after="0" w:line="217" w:lineRule="exact"/>
        <w:rPr>
          <w:sz w:val="20"/>
          <w:szCs w:val="20"/>
          <w:color w:val="auto"/>
        </w:rPr>
      </w:pPr>
    </w:p>
    <w:p>
      <w:pPr>
        <w:ind w:left="660" w:right="40" w:hanging="652"/>
        <w:spacing w:after="0" w:line="291" w:lineRule="auto"/>
        <w:tabs>
          <w:tab w:leader="none" w:pos="66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History and Purpose</w:t>
      </w:r>
      <w:r>
        <w:rPr>
          <w:rFonts w:ascii="Arial" w:cs="Arial" w:eastAsia="Arial" w:hAnsi="Arial"/>
          <w:sz w:val="19"/>
          <w:szCs w:val="19"/>
          <w:b w:val="1"/>
          <w:bCs w:val="1"/>
          <w:color w:val="auto"/>
        </w:rPr>
        <w:t xml:space="preserve">. </w:t>
      </w:r>
      <w:r>
        <w:rPr>
          <w:rFonts w:ascii="Arial" w:cs="Arial" w:eastAsia="Arial" w:hAnsi="Arial"/>
          <w:sz w:val="19"/>
          <w:szCs w:val="19"/>
          <w:color w:val="auto"/>
        </w:rPr>
        <w:t>Huron Consulting Group Inc., a Delaware corporation (“Huron”), previously established the Huron</w:t>
      </w:r>
      <w:r>
        <w:rPr>
          <w:rFonts w:ascii="Arial" w:cs="Arial" w:eastAsia="Arial" w:hAnsi="Arial"/>
          <w:sz w:val="19"/>
          <w:szCs w:val="19"/>
          <w:b w:val="1"/>
          <w:bCs w:val="1"/>
          <w:color w:val="auto"/>
        </w:rPr>
        <w:t xml:space="preserve"> </w:t>
      </w:r>
      <w:r>
        <w:rPr>
          <w:rFonts w:ascii="Arial" w:cs="Arial" w:eastAsia="Arial" w:hAnsi="Arial"/>
          <w:sz w:val="19"/>
          <w:szCs w:val="19"/>
          <w:color w:val="auto"/>
        </w:rPr>
        <w:t>Consulting Group Inc. 2012 Omnibus Incentive Plan (the “Plan”) to attract and retain employees, non-employee directors and independent contractors providing services to Huron and/or the Affiliates, to motivate Participants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 The Plan has been previously amended and the following provisions constitute an amendment, restatement and continuation of the Plan effective as of May 2, 2014.</w:t>
      </w:r>
    </w:p>
    <w:p>
      <w:pPr>
        <w:spacing w:after="0" w:line="149" w:lineRule="exact"/>
        <w:rPr>
          <w:rFonts w:ascii="Arial" w:cs="Arial" w:eastAsia="Arial" w:hAnsi="Arial"/>
          <w:sz w:val="19"/>
          <w:szCs w:val="19"/>
          <w:b w:val="1"/>
          <w:bCs w:val="1"/>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As used in the Plan, the following definitions apply to the terms indicated below:</w:t>
      </w:r>
    </w:p>
    <w:p>
      <w:pPr>
        <w:spacing w:after="0" w:line="219" w:lineRule="exact"/>
        <w:rPr>
          <w:rFonts w:ascii="Arial" w:cs="Arial" w:eastAsia="Arial" w:hAnsi="Arial"/>
          <w:sz w:val="22"/>
          <w:szCs w:val="22"/>
          <w:b w:val="1"/>
          <w:bCs w:val="1"/>
          <w:color w:val="auto"/>
        </w:rPr>
      </w:pPr>
    </w:p>
    <w:p>
      <w:pPr>
        <w:ind w:left="1460" w:hanging="642"/>
        <w:spacing w:after="0"/>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“Administrative Actions” </w:t>
      </w:r>
      <w:r>
        <w:rPr>
          <w:rFonts w:ascii="Arial" w:cs="Arial" w:eastAsia="Arial" w:hAnsi="Arial"/>
          <w:sz w:val="22"/>
          <w:szCs w:val="22"/>
          <w:color w:val="auto"/>
        </w:rPr>
        <w:t>shall have the meaning set forth in Section 5(d).</w:t>
      </w:r>
    </w:p>
    <w:p>
      <w:pPr>
        <w:spacing w:after="0" w:line="219" w:lineRule="exact"/>
        <w:rPr>
          <w:rFonts w:ascii="Arial" w:cs="Arial" w:eastAsia="Arial" w:hAnsi="Arial"/>
          <w:sz w:val="22"/>
          <w:szCs w:val="22"/>
          <w:color w:val="auto"/>
        </w:rPr>
      </w:pPr>
    </w:p>
    <w:p>
      <w:pPr>
        <w:ind w:left="1460" w:right="80" w:hanging="642"/>
        <w:spacing w:after="0" w:line="252" w:lineRule="auto"/>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any corporation, partnership, joint venture or other entity during any period in which (i) Huron,</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owns at least 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180" w:lineRule="exact"/>
        <w:rPr>
          <w:rFonts w:ascii="Arial" w:cs="Arial" w:eastAsia="Arial" w:hAnsi="Arial"/>
          <w:sz w:val="22"/>
          <w:szCs w:val="22"/>
          <w:color w:val="auto"/>
        </w:rPr>
      </w:pPr>
    </w:p>
    <w:p>
      <w:pPr>
        <w:ind w:left="1460" w:right="300" w:hanging="642"/>
        <w:spacing w:after="0" w:line="269" w:lineRule="auto"/>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shall mean an agreement between Huron and a Participant evidencing an Award or a notice of an</w:t>
      </w:r>
      <w:r>
        <w:rPr>
          <w:rFonts w:ascii="Arial" w:cs="Arial" w:eastAsia="Arial" w:hAnsi="Arial"/>
          <w:sz w:val="22"/>
          <w:szCs w:val="22"/>
          <w:b w:val="1"/>
          <w:bCs w:val="1"/>
          <w:color w:val="auto"/>
        </w:rPr>
        <w:t xml:space="preserve"> </w:t>
      </w:r>
      <w:r>
        <w:rPr>
          <w:rFonts w:ascii="Arial" w:cs="Arial" w:eastAsia="Arial" w:hAnsi="Arial"/>
          <w:sz w:val="22"/>
          <w:szCs w:val="22"/>
          <w:color w:val="auto"/>
        </w:rPr>
        <w:t>Award, in a form approved by the Committee.</w:t>
      </w:r>
    </w:p>
    <w:p>
      <w:pPr>
        <w:spacing w:after="0" w:line="162" w:lineRule="exact"/>
        <w:rPr>
          <w:rFonts w:ascii="Arial" w:cs="Arial" w:eastAsia="Arial" w:hAnsi="Arial"/>
          <w:sz w:val="22"/>
          <w:szCs w:val="22"/>
          <w:color w:val="auto"/>
        </w:rPr>
      </w:pPr>
    </w:p>
    <w:p>
      <w:pPr>
        <w:ind w:left="1460" w:right="200" w:hanging="642"/>
        <w:spacing w:after="0" w:line="256" w:lineRule="auto"/>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“Alternative Agreement” </w:t>
      </w:r>
      <w:r>
        <w:rPr>
          <w:rFonts w:ascii="Arial" w:cs="Arial" w:eastAsia="Arial" w:hAnsi="Arial"/>
          <w:sz w:val="22"/>
          <w:szCs w:val="22"/>
          <w:color w:val="auto"/>
        </w:rPr>
        <w:t>shall mean, with respect to any Participant, an employment agreement, senior</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agreement or other written agreement describing the Participant’s terms of employment with Huron or an Affiliate.</w:t>
      </w:r>
    </w:p>
    <w:p>
      <w:pPr>
        <w:spacing w:after="0" w:line="176" w:lineRule="exact"/>
        <w:rPr>
          <w:rFonts w:ascii="Arial" w:cs="Arial" w:eastAsia="Arial" w:hAnsi="Arial"/>
          <w:sz w:val="22"/>
          <w:szCs w:val="22"/>
          <w:color w:val="auto"/>
        </w:rPr>
      </w:pPr>
    </w:p>
    <w:p>
      <w:pPr>
        <w:ind w:left="1460" w:hanging="642"/>
        <w:spacing w:after="0"/>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shall mean any award described in Section 7 or 8 of the Plan.</w:t>
      </w:r>
    </w:p>
    <w:p>
      <w:pPr>
        <w:spacing w:after="0" w:line="219" w:lineRule="exact"/>
        <w:rPr>
          <w:rFonts w:ascii="Arial" w:cs="Arial" w:eastAsia="Arial" w:hAnsi="Arial"/>
          <w:sz w:val="22"/>
          <w:szCs w:val="22"/>
          <w:color w:val="auto"/>
        </w:rPr>
      </w:pPr>
    </w:p>
    <w:p>
      <w:pPr>
        <w:ind w:left="1460" w:hanging="642"/>
        <w:spacing w:after="0"/>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“Board of Directors” </w:t>
      </w:r>
      <w:r>
        <w:rPr>
          <w:rFonts w:ascii="Arial" w:cs="Arial" w:eastAsia="Arial" w:hAnsi="Arial"/>
          <w:sz w:val="22"/>
          <w:szCs w:val="22"/>
          <w:color w:val="auto"/>
        </w:rPr>
        <w:t>shall mean the Board of Directors of Huron.</w:t>
      </w:r>
    </w:p>
    <w:p>
      <w:pPr>
        <w:spacing w:after="0" w:line="219" w:lineRule="exact"/>
        <w:rPr>
          <w:rFonts w:ascii="Arial" w:cs="Arial" w:eastAsia="Arial" w:hAnsi="Arial"/>
          <w:sz w:val="22"/>
          <w:szCs w:val="22"/>
          <w:color w:val="auto"/>
        </w:rPr>
      </w:pPr>
    </w:p>
    <w:p>
      <w:pPr>
        <w:ind w:left="1460" w:right="480" w:hanging="642"/>
        <w:spacing w:after="0" w:line="269" w:lineRule="auto"/>
        <w:tabs>
          <w:tab w:leader="none" w:pos="14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“Business Criteria” </w:t>
      </w:r>
      <w:r>
        <w:rPr>
          <w:rFonts w:ascii="Arial" w:cs="Arial" w:eastAsia="Arial" w:hAnsi="Arial"/>
          <w:sz w:val="22"/>
          <w:szCs w:val="22"/>
          <w:color w:val="auto"/>
        </w:rPr>
        <w:t>shall mean (i) return on total stockholder equity; (ii) earnings or book value per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(“EPS”); (iii)</w:t>
      </w:r>
    </w:p>
    <w:p>
      <w:pPr>
        <w:sectPr>
          <w:pgSz w:w="11900" w:h="16838" w:orient="portrait"/>
          <w:cols w:equalWidth="0" w:num="1">
            <w:col w:w="11420"/>
          </w:cols>
          <w:pgMar w:left="240" w:top="121" w:right="239" w:bottom="1440" w:gutter="0" w:footer="0" w:header="0"/>
        </w:sectPr>
      </w:pPr>
    </w:p>
    <w:bookmarkStart w:id="99" w:name="page100"/>
    <w:bookmarkEnd w:id="99"/>
    <w:p>
      <w:pPr>
        <w:ind w:left="642" w:right="220" w:hanging="642"/>
        <w:spacing w:after="0" w:line="291" w:lineRule="auto"/>
        <w:tabs>
          <w:tab w:leader="none" w:pos="642" w:val="left"/>
        </w:tabs>
        <w:numPr>
          <w:ilvl w:val="0"/>
          <w:numId w:val="43"/>
        </w:numPr>
        <w:rPr>
          <w:rFonts w:ascii="Arial" w:cs="Arial" w:eastAsia="Arial" w:hAnsi="Arial"/>
          <w:sz w:val="19"/>
          <w:szCs w:val="19"/>
          <w:color w:val="auto"/>
        </w:rPr>
      </w:pPr>
      <w:r>
        <w:rPr>
          <w:rFonts w:ascii="Arial" w:cs="Arial" w:eastAsia="Arial" w:hAnsi="Arial"/>
          <w:sz w:val="19"/>
          <w:szCs w:val="19"/>
          <w:color w:val="auto"/>
        </w:rPr>
        <w:t>adjusted EPS; (iv) net income (before or after taxes); (v) earnings before all or any interest, taxes, depreciation and/or amortization (“EBIT”, “EBITA” or “EBITDA”) measured as a dollar amount or a percentage of revenue;</w:t>
      </w:r>
    </w:p>
    <w:p>
      <w:pPr>
        <w:spacing w:after="0" w:line="1" w:lineRule="exact"/>
        <w:rPr>
          <w:rFonts w:ascii="Arial" w:cs="Arial" w:eastAsia="Arial" w:hAnsi="Arial"/>
          <w:sz w:val="19"/>
          <w:szCs w:val="19"/>
          <w:color w:val="auto"/>
        </w:rPr>
      </w:pPr>
    </w:p>
    <w:p>
      <w:pPr>
        <w:ind w:left="1022" w:hanging="373"/>
        <w:spacing w:after="0"/>
        <w:tabs>
          <w:tab w:leader="none" w:pos="1022" w:val="left"/>
        </w:tabs>
        <w:numPr>
          <w:ilvl w:val="1"/>
          <w:numId w:val="43"/>
        </w:numPr>
        <w:rPr>
          <w:rFonts w:ascii="Arial" w:cs="Arial" w:eastAsia="Arial" w:hAnsi="Arial"/>
          <w:sz w:val="19"/>
          <w:szCs w:val="19"/>
          <w:color w:val="auto"/>
        </w:rPr>
      </w:pPr>
      <w:r>
        <w:rPr>
          <w:rFonts w:ascii="Arial" w:cs="Arial" w:eastAsia="Arial" w:hAnsi="Arial"/>
          <w:sz w:val="19"/>
          <w:szCs w:val="19"/>
          <w:color w:val="auto"/>
        </w:rPr>
        <w:t>return on assets, capital or investment; (vii) market share; (viii) market capitalization (ix) cost reduction goals;</w:t>
      </w:r>
    </w:p>
    <w:p>
      <w:pPr>
        <w:spacing w:after="0" w:line="38" w:lineRule="exact"/>
        <w:rPr>
          <w:rFonts w:ascii="Arial" w:cs="Arial" w:eastAsia="Arial" w:hAnsi="Arial"/>
          <w:sz w:val="19"/>
          <w:szCs w:val="19"/>
          <w:color w:val="auto"/>
        </w:rPr>
      </w:pPr>
    </w:p>
    <w:p>
      <w:pPr>
        <w:ind w:left="642" w:firstLine="7"/>
        <w:spacing w:after="0" w:line="283" w:lineRule="auto"/>
        <w:tabs>
          <w:tab w:leader="none" w:pos="948" w:val="left"/>
        </w:tabs>
        <w:numPr>
          <w:ilvl w:val="1"/>
          <w:numId w:val="44"/>
        </w:numPr>
        <w:rPr>
          <w:rFonts w:ascii="Arial" w:cs="Arial" w:eastAsia="Arial" w:hAnsi="Arial"/>
          <w:sz w:val="19"/>
          <w:szCs w:val="19"/>
          <w:color w:val="auto"/>
        </w:rPr>
      </w:pPr>
      <w:r>
        <w:rPr>
          <w:rFonts w:ascii="Arial" w:cs="Arial" w:eastAsia="Arial" w:hAnsi="Arial"/>
          <w:sz w:val="19"/>
          <w:szCs w:val="19"/>
          <w:color w:val="auto"/>
        </w:rPr>
        <w:t>levels of expense, costs or liabilities; (xi) department, division or business unit level performance; (xii) operating income; (xiii) sales or revenues; (xiv) stock price appreciation; (xv) total stockholder return (TSR); (xvi) implementation or completion of critical projects or processes; (xvii) adjusted EBITDA; (xviii) days sales outstanding (DSO); (xix) financial coverage ratios; (xx) other non-GAAP financial measures, or (xxi) any combination of the foregoing. Where applicable,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(5) litigation, claim judgments, settlements or restatement related expenses, (6) accruals for reorganization and restructuring programs, (7) acquisitions or divestitures (including expenses related thereto), and (8) an event either not directly related to the operations of the Company or not within the reasonable control of the Company’s management. To the extent that such inclusions or exclusions affect Awards to Covered Employees which are intended to qualify as “performance-based compensation”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62"/>
          </w:cols>
          <w:pgMar w:left="1058" w:top="375" w:right="279" w:bottom="1440" w:gutter="0" w:footer="0" w:header="0"/>
        </w:sectPr>
      </w:pPr>
    </w:p>
    <w:bookmarkStart w:id="100" w:name="page101"/>
    <w:bookmarkEnd w:id="100"/>
    <w:p>
      <w:pPr>
        <w:ind w:left="642" w:right="140"/>
        <w:spacing w:after="0" w:line="263" w:lineRule="auto"/>
        <w:rPr>
          <w:sz w:val="20"/>
          <w:szCs w:val="20"/>
          <w:color w:val="auto"/>
        </w:rPr>
      </w:pPr>
      <w:r>
        <w:rPr>
          <w:rFonts w:ascii="Arial" w:cs="Arial" w:eastAsia="Arial" w:hAnsi="Arial"/>
          <w:sz w:val="22"/>
          <w:szCs w:val="22"/>
          <w:color w:val="auto"/>
        </w:rPr>
        <w:t>Section 162(m) of the Code and regulations thereunder, such adjustments shall be prescribed in a form that meets the requirements of Section 162(m) of the Code.</w:t>
      </w:r>
    </w:p>
    <w:p>
      <w:pPr>
        <w:spacing w:after="0" w:line="169" w:lineRule="exact"/>
        <w:rPr>
          <w:sz w:val="20"/>
          <w:szCs w:val="20"/>
          <w:color w:val="auto"/>
        </w:rPr>
      </w:pPr>
    </w:p>
    <w:p>
      <w:pPr>
        <w:jc w:val="both"/>
        <w:ind w:left="642" w:right="80" w:hanging="642"/>
        <w:spacing w:after="0" w:line="298" w:lineRule="auto"/>
        <w:tabs>
          <w:tab w:leader="none" w:pos="642"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“Cash Incentive Award” </w:t>
      </w:r>
      <w:r>
        <w:rPr>
          <w:rFonts w:ascii="Arial" w:cs="Arial" w:eastAsia="Arial" w:hAnsi="Arial"/>
          <w:sz w:val="19"/>
          <w:szCs w:val="19"/>
          <w:color w:val="auto"/>
        </w:rPr>
        <w:t>shall mean the grant of a right to receive a payment of cash (or, in the discretion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shares of Common 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42" w:lineRule="exact"/>
        <w:rPr>
          <w:rFonts w:ascii="Arial" w:cs="Arial" w:eastAsia="Arial" w:hAnsi="Arial"/>
          <w:sz w:val="19"/>
          <w:szCs w:val="19"/>
          <w:color w:val="auto"/>
        </w:rPr>
      </w:pPr>
    </w:p>
    <w:p>
      <w:pPr>
        <w:ind w:left="642" w:hanging="642"/>
        <w:spacing w:after="0" w:line="258" w:lineRule="auto"/>
        <w:tabs>
          <w:tab w:leader="none" w:pos="642"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shall mean, unless otherwise defined in a Participant’s Agreement or an Alternative Agreement, any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actions or failures 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 (iv) embezzlement, misappropriation of corporate funds, any act of fraud, dishonesty or self-dealing, or the commission of a felony or any significant violation of any statutory or common law duty of loyalty to Huron or any Affiliate; (v) an act or omission that could adversely and materially affect the business or reputation of Huron or any Affiliate or involves moral turpitude; or (vi) a breach of a material provision of this Plan, the Agreement evidencing an Award or an Alternate Agreement.</w:t>
      </w:r>
    </w:p>
    <w:p>
      <w:pPr>
        <w:spacing w:after="0" w:line="180" w:lineRule="exact"/>
        <w:rPr>
          <w:rFonts w:ascii="Arial" w:cs="Arial" w:eastAsia="Arial" w:hAnsi="Arial"/>
          <w:sz w:val="21"/>
          <w:szCs w:val="21"/>
          <w:color w:val="auto"/>
        </w:rPr>
      </w:pPr>
    </w:p>
    <w:p>
      <w:pPr>
        <w:ind w:left="642" w:hanging="642"/>
        <w:spacing w:after="0"/>
        <w:tabs>
          <w:tab w:leader="none" w:pos="642"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shall mean the first to occur of the following events:</w:t>
      </w:r>
    </w:p>
    <w:p>
      <w:pPr>
        <w:spacing w:after="0" w:line="225" w:lineRule="exact"/>
        <w:rPr>
          <w:rFonts w:ascii="Arial" w:cs="Arial" w:eastAsia="Arial" w:hAnsi="Arial"/>
          <w:sz w:val="22"/>
          <w:szCs w:val="22"/>
          <w:color w:val="auto"/>
        </w:rPr>
      </w:pPr>
    </w:p>
    <w:p>
      <w:pPr>
        <w:ind w:left="1142" w:right="180" w:hanging="655"/>
        <w:spacing w:after="0" w:line="250" w:lineRule="auto"/>
        <w:tabs>
          <w:tab w:leader="none" w:pos="1142"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188" w:lineRule="exact"/>
        <w:rPr>
          <w:rFonts w:ascii="Arial" w:cs="Arial" w:eastAsia="Arial" w:hAnsi="Arial"/>
          <w:sz w:val="22"/>
          <w:szCs w:val="22"/>
          <w:color w:val="auto"/>
        </w:rPr>
      </w:pPr>
    </w:p>
    <w:p>
      <w:pPr>
        <w:ind w:left="1142" w:right="140" w:hanging="655"/>
        <w:spacing w:after="0" w:line="253" w:lineRule="auto"/>
        <w:tabs>
          <w:tab w:leader="none" w:pos="1142"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there is consummated a merger or consolidation of Huron or any direct or indirect subsidiary of Huron with any Person, other than (1) a merger or consolidation which would result in the voting securities of Huron outstanding immediately prior to such merger</w:t>
      </w:r>
    </w:p>
    <w:p>
      <w:pPr>
        <w:spacing w:after="0" w:line="200" w:lineRule="exact"/>
        <w:rPr>
          <w:sz w:val="20"/>
          <w:szCs w:val="20"/>
          <w:color w:val="auto"/>
        </w:rPr>
      </w:pPr>
    </w:p>
    <w:p>
      <w:pPr>
        <w:spacing w:after="0" w:line="220"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2"/>
          </w:cols>
          <w:pgMar w:left="1058" w:top="375" w:right="259" w:bottom="1440" w:gutter="0" w:footer="0" w:header="0"/>
        </w:sectPr>
      </w:pPr>
    </w:p>
    <w:bookmarkStart w:id="101" w:name="page102"/>
    <w:bookmarkEnd w:id="101"/>
    <w:p>
      <w:pPr>
        <w:ind w:left="760" w:right="20"/>
        <w:spacing w:after="0" w:line="289" w:lineRule="auto"/>
        <w:rPr>
          <w:sz w:val="20"/>
          <w:szCs w:val="20"/>
          <w:color w:val="auto"/>
        </w:rPr>
      </w:pPr>
      <w:r>
        <w:rPr>
          <w:rFonts w:ascii="Arial" w:cs="Arial" w:eastAsia="Arial" w:hAnsi="Arial"/>
          <w:sz w:val="19"/>
          <w:szCs w:val="19"/>
          <w:color w:val="auto"/>
        </w:rPr>
        <w:t>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(2) a merger or consolidation effected to implement a recapitalization of Huron (or similar transaction) in which no Person other than existing security holders is or becomes the Beneficial Owner, directly or indirectly, of securities of Huron (not including in the amount Beneficially Owned by such Person any Common Stock or voting securities acquired directly from Huron or any Affiliate) representing 50% or more of the combined voting power of Huron’s then outstanding securities; or (3) a merger or consolidation of a subsidiary of Huron that does not represent a sale of all or substantially all of the assets of Huron;</w:t>
      </w:r>
    </w:p>
    <w:p>
      <w:pPr>
        <w:spacing w:after="0" w:line="158" w:lineRule="exact"/>
        <w:rPr>
          <w:sz w:val="20"/>
          <w:szCs w:val="20"/>
          <w:color w:val="auto"/>
        </w:rPr>
      </w:pPr>
    </w:p>
    <w:p>
      <w:pPr>
        <w:ind w:left="760" w:right="160" w:hanging="655"/>
        <w:spacing w:after="0" w:line="253" w:lineRule="auto"/>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185" w:lineRule="exact"/>
        <w:rPr>
          <w:rFonts w:ascii="Arial" w:cs="Arial" w:eastAsia="Arial" w:hAnsi="Arial"/>
          <w:sz w:val="22"/>
          <w:szCs w:val="22"/>
          <w:color w:val="auto"/>
        </w:rPr>
      </w:pPr>
    </w:p>
    <w:p>
      <w:pPr>
        <w:ind w:left="760" w:hanging="655"/>
        <w:spacing w:after="0" w:line="250" w:lineRule="auto"/>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188" w:lineRule="exact"/>
        <w:rPr>
          <w:sz w:val="20"/>
          <w:szCs w:val="20"/>
          <w:color w:val="auto"/>
        </w:rPr>
      </w:pPr>
    </w:p>
    <w:p>
      <w:pPr>
        <w:ind w:left="100" w:right="160"/>
        <w:spacing w:after="0" w:line="263" w:lineRule="auto"/>
        <w:rPr>
          <w:sz w:val="20"/>
          <w:szCs w:val="20"/>
          <w:color w:val="auto"/>
        </w:rPr>
      </w:pPr>
      <w:r>
        <w:rPr>
          <w:rFonts w:ascii="Arial" w:cs="Arial" w:eastAsia="Arial" w:hAnsi="Arial"/>
          <w:sz w:val="21"/>
          <w:szCs w:val="21"/>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68" w:lineRule="exact"/>
        <w:rPr>
          <w:sz w:val="20"/>
          <w:szCs w:val="20"/>
          <w:color w:val="auto"/>
        </w:rPr>
      </w:pPr>
    </w:p>
    <w:p>
      <w:pPr>
        <w:ind w:left="100" w:right="180"/>
        <w:spacing w:after="0" w:line="247" w:lineRule="auto"/>
        <w:rPr>
          <w:sz w:val="20"/>
          <w:szCs w:val="20"/>
          <w:color w:val="auto"/>
        </w:rPr>
      </w:pPr>
      <w:r>
        <w:rPr>
          <w:rFonts w:ascii="Arial" w:cs="Arial" w:eastAsia="Arial" w:hAnsi="Arial"/>
          <w:sz w:val="22"/>
          <w:szCs w:val="22"/>
          <w:color w:val="auto"/>
        </w:rPr>
        <w:t>For purposes of this Change of Control definition, (I) “Beneficial Owner” shall have the meaning set forth in Rule 13d-3 under the Exchange Act; (II) “Person”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w:t>
      </w:r>
    </w:p>
    <w:p>
      <w:pPr>
        <w:spacing w:after="0" w:line="32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00"/>
          </w:cols>
          <w:pgMar w:left="1440" w:top="375" w:right="259" w:bottom="1440" w:gutter="0" w:footer="0" w:header="0"/>
        </w:sectPr>
      </w:pPr>
    </w:p>
    <w:bookmarkStart w:id="102" w:name="page103"/>
    <w:bookmarkEnd w:id="102"/>
    <w:p>
      <w:pPr>
        <w:ind w:left="482"/>
        <w:spacing w:after="0" w:line="253" w:lineRule="auto"/>
        <w:rPr>
          <w:sz w:val="20"/>
          <w:szCs w:val="20"/>
          <w:color w:val="auto"/>
        </w:rPr>
      </w:pPr>
      <w:r>
        <w:rPr>
          <w:rFonts w:ascii="Arial" w:cs="Arial" w:eastAsia="Arial" w:hAnsi="Arial"/>
          <w:sz w:val="22"/>
          <w:szCs w:val="22"/>
          <w:color w:val="auto"/>
        </w:rPr>
        <w:t>securities; or (z) a corporation owned, directly or indirectly, by the stockholders of Huron in substantially the same proportions as their ownership of stock of Huron; and (III) “Affiliate” shall have the meaning set forth in Rule 12b-2 promulgated under Section 12 of the Exchange Act.</w:t>
      </w:r>
    </w:p>
    <w:p>
      <w:pPr>
        <w:spacing w:after="0" w:line="72" w:lineRule="exact"/>
        <w:rPr>
          <w:sz w:val="20"/>
          <w:szCs w:val="20"/>
          <w:color w:val="auto"/>
        </w:rPr>
      </w:pPr>
    </w:p>
    <w:p>
      <w:pPr>
        <w:ind w:left="642" w:right="660" w:hanging="642"/>
        <w:spacing w:after="0" w:line="269" w:lineRule="auto"/>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 from time to time, and any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62" w:lineRule="exact"/>
        <w:rPr>
          <w:rFonts w:ascii="Arial" w:cs="Arial" w:eastAsia="Arial" w:hAnsi="Arial"/>
          <w:sz w:val="22"/>
          <w:szCs w:val="22"/>
          <w:color w:val="auto"/>
        </w:rPr>
      </w:pPr>
    </w:p>
    <w:p>
      <w:pPr>
        <w:ind w:left="642" w:hanging="642"/>
        <w:spacing w:after="0" w:line="304" w:lineRule="auto"/>
        <w:tabs>
          <w:tab w:leader="none" w:pos="64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“Committee” </w:t>
      </w:r>
      <w:r>
        <w:rPr>
          <w:rFonts w:ascii="Arial" w:cs="Arial" w:eastAsia="Arial" w:hAnsi="Arial"/>
          <w:sz w:val="19"/>
          <w:szCs w:val="19"/>
          <w:color w:val="auto"/>
        </w:rPr>
        <w:t>shall mean a committee of the Board of Directors consisting of two or more persons each of whom</w:t>
      </w:r>
      <w:r>
        <w:rPr>
          <w:rFonts w:ascii="Arial" w:cs="Arial" w:eastAsia="Arial" w:hAnsi="Arial"/>
          <w:sz w:val="19"/>
          <w:szCs w:val="19"/>
          <w:b w:val="1"/>
          <w:bCs w:val="1"/>
          <w:color w:val="auto"/>
        </w:rPr>
        <w:t xml:space="preserve"> </w:t>
      </w:r>
      <w:r>
        <w:rPr>
          <w:rFonts w:ascii="Arial" w:cs="Arial" w:eastAsia="Arial" w:hAnsi="Arial"/>
          <w:sz w:val="19"/>
          <w:szCs w:val="19"/>
          <w:color w:val="auto"/>
        </w:rPr>
        <w:t>shall qualify as an “outside 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135" w:lineRule="exact"/>
        <w:rPr>
          <w:rFonts w:ascii="Arial" w:cs="Arial" w:eastAsia="Arial" w:hAnsi="Arial"/>
          <w:sz w:val="19"/>
          <w:szCs w:val="19"/>
          <w:color w:val="auto"/>
        </w:rPr>
      </w:pPr>
    </w:p>
    <w:p>
      <w:pPr>
        <w:ind w:left="642" w:hanging="642"/>
        <w:spacing w:after="0"/>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“Common Stock” </w:t>
      </w:r>
      <w:r>
        <w:rPr>
          <w:rFonts w:ascii="Arial" w:cs="Arial" w:eastAsia="Arial" w:hAnsi="Arial"/>
          <w:sz w:val="22"/>
          <w:szCs w:val="22"/>
          <w:color w:val="auto"/>
        </w:rPr>
        <w:t>shall mean the common stock of Huron, par value $.01 per share.</w:t>
      </w:r>
    </w:p>
    <w:p>
      <w:pPr>
        <w:spacing w:after="0" w:line="219" w:lineRule="exact"/>
        <w:rPr>
          <w:rFonts w:ascii="Arial" w:cs="Arial" w:eastAsia="Arial" w:hAnsi="Arial"/>
          <w:sz w:val="22"/>
          <w:szCs w:val="22"/>
          <w:color w:val="auto"/>
        </w:rPr>
      </w:pPr>
    </w:p>
    <w:p>
      <w:pPr>
        <w:ind w:left="642" w:hanging="642"/>
        <w:spacing w:after="0"/>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“Covered Employee</w:t>
      </w:r>
      <w:r>
        <w:rPr>
          <w:rFonts w:ascii="Arial" w:cs="Arial" w:eastAsia="Arial" w:hAnsi="Arial"/>
          <w:sz w:val="22"/>
          <w:szCs w:val="22"/>
          <w:color w:val="auto"/>
        </w:rPr>
        <w:t>” shall have the meaning set forth in Section 162(m) of the Code.</w:t>
      </w:r>
    </w:p>
    <w:p>
      <w:pPr>
        <w:spacing w:after="0" w:line="219" w:lineRule="exact"/>
        <w:rPr>
          <w:rFonts w:ascii="Arial" w:cs="Arial" w:eastAsia="Arial" w:hAnsi="Arial"/>
          <w:sz w:val="22"/>
          <w:szCs w:val="22"/>
          <w:color w:val="auto"/>
        </w:rPr>
      </w:pPr>
    </w:p>
    <w:p>
      <w:pPr>
        <w:ind w:left="642" w:hanging="642"/>
        <w:spacing w:after="0"/>
        <w:tabs>
          <w:tab w:leader="none" w:pos="64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“Disabled” </w:t>
      </w:r>
      <w:r>
        <w:rPr>
          <w:rFonts w:ascii="Arial" w:cs="Arial" w:eastAsia="Arial" w:hAnsi="Arial"/>
          <w:sz w:val="19"/>
          <w:szCs w:val="19"/>
          <w:color w:val="auto"/>
        </w:rPr>
        <w:t>shall mean permanently and totally disabled within the meaning of Section 22(e)(3) of the Code.</w:t>
      </w:r>
    </w:p>
    <w:p>
      <w:pPr>
        <w:spacing w:after="0" w:line="254" w:lineRule="exact"/>
        <w:rPr>
          <w:rFonts w:ascii="Arial" w:cs="Arial" w:eastAsia="Arial" w:hAnsi="Arial"/>
          <w:sz w:val="19"/>
          <w:szCs w:val="19"/>
          <w:color w:val="auto"/>
        </w:rPr>
      </w:pPr>
    </w:p>
    <w:p>
      <w:pPr>
        <w:ind w:left="642" w:hanging="642"/>
        <w:spacing w:after="0"/>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shall have the meaning set forth in Section 3.</w:t>
      </w:r>
    </w:p>
    <w:p>
      <w:pPr>
        <w:spacing w:after="0" w:line="219" w:lineRule="exact"/>
        <w:rPr>
          <w:rFonts w:ascii="Arial" w:cs="Arial" w:eastAsia="Arial" w:hAnsi="Arial"/>
          <w:sz w:val="22"/>
          <w:szCs w:val="22"/>
          <w:color w:val="auto"/>
        </w:rPr>
      </w:pPr>
    </w:p>
    <w:p>
      <w:pPr>
        <w:jc w:val="both"/>
        <w:ind w:left="642" w:right="40" w:hanging="642"/>
        <w:spacing w:after="0" w:line="256" w:lineRule="auto"/>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“Eligible Individuals” </w:t>
      </w:r>
      <w:r>
        <w:rPr>
          <w:rFonts w:ascii="Arial" w:cs="Arial" w:eastAsia="Arial" w:hAnsi="Arial"/>
          <w:sz w:val="22"/>
          <w:szCs w:val="22"/>
          <w:color w:val="auto"/>
        </w:rPr>
        <w:t>shall mean employees of Huron or any of the Affiliates (including officers,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they are directors of Huron or any Affiliate), independent contractors providing services to Huron or any Affiliate and non-employee directors of Huron or any Affiliate.</w:t>
      </w:r>
    </w:p>
    <w:p>
      <w:pPr>
        <w:spacing w:after="0" w:line="176" w:lineRule="exact"/>
        <w:rPr>
          <w:rFonts w:ascii="Arial" w:cs="Arial" w:eastAsia="Arial" w:hAnsi="Arial"/>
          <w:sz w:val="22"/>
          <w:szCs w:val="22"/>
          <w:color w:val="auto"/>
        </w:rPr>
      </w:pPr>
    </w:p>
    <w:p>
      <w:pPr>
        <w:ind w:left="642" w:hanging="642"/>
        <w:spacing w:after="0"/>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shall mean the Securities Exchange Act of 1934, as amended from time to time.</w:t>
      </w:r>
    </w:p>
    <w:p>
      <w:pPr>
        <w:spacing w:after="0" w:line="219" w:lineRule="exact"/>
        <w:rPr>
          <w:rFonts w:ascii="Arial" w:cs="Arial" w:eastAsia="Arial" w:hAnsi="Arial"/>
          <w:sz w:val="22"/>
          <w:szCs w:val="22"/>
          <w:color w:val="auto"/>
        </w:rPr>
      </w:pPr>
    </w:p>
    <w:p>
      <w:pPr>
        <w:ind w:left="642" w:hanging="642"/>
        <w:spacing w:after="0"/>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shall have the meaning set forth in Section 7(d).</w:t>
      </w:r>
    </w:p>
    <w:p>
      <w:pPr>
        <w:spacing w:after="0" w:line="219" w:lineRule="exact"/>
        <w:rPr>
          <w:rFonts w:ascii="Arial" w:cs="Arial" w:eastAsia="Arial" w:hAnsi="Arial"/>
          <w:sz w:val="22"/>
          <w:szCs w:val="22"/>
          <w:color w:val="auto"/>
        </w:rPr>
      </w:pPr>
    </w:p>
    <w:p>
      <w:pPr>
        <w:ind w:left="642" w:right="100" w:hanging="642"/>
        <w:spacing w:after="0" w:line="269" w:lineRule="auto"/>
        <w:tabs>
          <w:tab w:leader="none" w:pos="6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“Fair Market Value” </w:t>
      </w:r>
      <w:r>
        <w:rPr>
          <w:rFonts w:ascii="Arial" w:cs="Arial" w:eastAsia="Arial" w:hAnsi="Arial"/>
          <w:sz w:val="22"/>
          <w:szCs w:val="22"/>
          <w:color w:val="auto"/>
        </w:rPr>
        <w:t>of a share of Common Stock as of any date shall mean the value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following rules:</w:t>
      </w:r>
    </w:p>
    <w:p>
      <w:pPr>
        <w:spacing w:after="0" w:line="168" w:lineRule="exact"/>
        <w:rPr>
          <w:rFonts w:ascii="Arial" w:cs="Arial" w:eastAsia="Arial" w:hAnsi="Arial"/>
          <w:sz w:val="22"/>
          <w:szCs w:val="22"/>
          <w:color w:val="auto"/>
        </w:rPr>
      </w:pPr>
    </w:p>
    <w:p>
      <w:pPr>
        <w:ind w:left="1142" w:right="40" w:hanging="655"/>
        <w:spacing w:after="0" w:line="250" w:lineRule="auto"/>
        <w:tabs>
          <w:tab w:leader="none" w:pos="1142"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Common Stock is at the time listed or admitted to trading on any stock exchange, then the Fair Market Value shall be the closing price per share of Common Stock on the trading day immediately preceding such date on the principal exchange on which the Common Stock is then listed or admitted to trading or, if no such</w:t>
      </w:r>
    </w:p>
    <w:p>
      <w:pPr>
        <w:spacing w:after="0" w:line="200" w:lineRule="exact"/>
        <w:rPr>
          <w:sz w:val="20"/>
          <w:szCs w:val="20"/>
          <w:color w:val="auto"/>
        </w:rPr>
      </w:pPr>
    </w:p>
    <w:p>
      <w:pPr>
        <w:spacing w:after="0" w:line="223"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62"/>
          </w:cols>
          <w:pgMar w:left="1058" w:top="375" w:right="279" w:bottom="1440" w:gutter="0" w:footer="0" w:header="0"/>
        </w:sectPr>
      </w:pPr>
    </w:p>
    <w:bookmarkStart w:id="103" w:name="page104"/>
    <w:bookmarkEnd w:id="103"/>
    <w:p>
      <w:pPr>
        <w:ind w:left="1142"/>
        <w:spacing w:after="0"/>
        <w:rPr>
          <w:sz w:val="20"/>
          <w:szCs w:val="20"/>
          <w:color w:val="auto"/>
        </w:rPr>
      </w:pPr>
      <w:r>
        <w:rPr>
          <w:rFonts w:ascii="Arial" w:cs="Arial" w:eastAsia="Arial" w:hAnsi="Arial"/>
          <w:sz w:val="21"/>
          <w:szCs w:val="21"/>
          <w:color w:val="auto"/>
        </w:rPr>
        <w:t>sale is reported on such preceding date, on the last preceding date on which a sale was so reported.</w:t>
      </w:r>
    </w:p>
    <w:p>
      <w:pPr>
        <w:spacing w:after="0" w:line="231" w:lineRule="exact"/>
        <w:rPr>
          <w:sz w:val="20"/>
          <w:szCs w:val="20"/>
          <w:color w:val="auto"/>
        </w:rPr>
      </w:pPr>
    </w:p>
    <w:p>
      <w:pPr>
        <w:ind w:left="1142" w:right="20" w:hanging="655"/>
        <w:spacing w:after="0" w:line="297" w:lineRule="auto"/>
        <w:tabs>
          <w:tab w:leader="none" w:pos="1142"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the trading day immediately preceding such date or, if no bid and asked prices for Common Stock are reported on such preceding date, on the most recent day immediately prior thereto on which bid and asked prices were so reported.</w:t>
      </w:r>
    </w:p>
    <w:p>
      <w:pPr>
        <w:spacing w:after="0" w:line="147" w:lineRule="exact"/>
        <w:rPr>
          <w:rFonts w:ascii="Arial" w:cs="Arial" w:eastAsia="Arial" w:hAnsi="Arial"/>
          <w:sz w:val="19"/>
          <w:szCs w:val="19"/>
          <w:color w:val="auto"/>
        </w:rPr>
      </w:pPr>
    </w:p>
    <w:p>
      <w:pPr>
        <w:ind w:left="1142" w:right="340" w:hanging="655"/>
        <w:spacing w:after="0" w:line="265" w:lineRule="auto"/>
        <w:tabs>
          <w:tab w:leader="none" w:pos="1142" w:val="left"/>
        </w:tabs>
        <w:numPr>
          <w:ilvl w:val="1"/>
          <w:numId w:val="48"/>
        </w:numPr>
        <w:rPr>
          <w:rFonts w:ascii="Arial" w:cs="Arial" w:eastAsia="Arial" w:hAnsi="Arial"/>
          <w:sz w:val="21"/>
          <w:szCs w:val="21"/>
          <w:color w:val="auto"/>
        </w:rPr>
      </w:pPr>
      <w:r>
        <w:rPr>
          <w:rFonts w:ascii="Arial" w:cs="Arial" w:eastAsia="Arial" w:hAnsi="Arial"/>
          <w:sz w:val="21"/>
          <w:szCs w:val="21"/>
          <w:color w:val="auto"/>
        </w:rPr>
        <w:t>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spacing w:after="0" w:line="175" w:lineRule="exact"/>
        <w:rPr>
          <w:rFonts w:ascii="Arial" w:cs="Arial" w:eastAsia="Arial" w:hAnsi="Arial"/>
          <w:sz w:val="21"/>
          <w:szCs w:val="21"/>
          <w:color w:val="auto"/>
        </w:rPr>
      </w:pPr>
    </w:p>
    <w:p>
      <w:pPr>
        <w:ind w:left="1142" w:hanging="655"/>
        <w:spacing w:after="0" w:line="343" w:lineRule="auto"/>
        <w:tabs>
          <w:tab w:leader="none" w:pos="1142" w:val="left"/>
        </w:tabs>
        <w:numPr>
          <w:ilvl w:val="1"/>
          <w:numId w:val="48"/>
        </w:numPr>
        <w:rPr>
          <w:rFonts w:ascii="Arial" w:cs="Arial" w:eastAsia="Arial" w:hAnsi="Arial"/>
          <w:sz w:val="19"/>
          <w:szCs w:val="19"/>
          <w:color w:val="auto"/>
        </w:rPr>
      </w:pPr>
      <w:r>
        <w:rPr>
          <w:rFonts w:ascii="Arial" w:cs="Arial" w:eastAsia="Arial" w:hAnsi="Arial"/>
          <w:sz w:val="19"/>
          <w:szCs w:val="19"/>
          <w:color w:val="auto"/>
        </w:rPr>
        <w:t>For purposes of determining the Fair Market Value of shares of Common Stock that are sold pursuant to a broker-assisted cashless exercise program, Fair Market Value shall be the price at which such shares are sold.</w:t>
      </w:r>
    </w:p>
    <w:p>
      <w:pPr>
        <w:spacing w:after="0" w:line="98" w:lineRule="exact"/>
        <w:rPr>
          <w:rFonts w:ascii="Arial" w:cs="Arial" w:eastAsia="Arial" w:hAnsi="Arial"/>
          <w:sz w:val="19"/>
          <w:szCs w:val="19"/>
          <w:color w:val="auto"/>
        </w:rPr>
      </w:pPr>
    </w:p>
    <w:p>
      <w:pPr>
        <w:ind w:left="642" w:right="100" w:hanging="642"/>
        <w:spacing w:after="0" w:line="315" w:lineRule="auto"/>
        <w:tabs>
          <w:tab w:leader="none" w:pos="642"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 xml:space="preserve">“Full Value Award” </w:t>
      </w:r>
      <w:r>
        <w:rPr>
          <w:rFonts w:ascii="Arial" w:cs="Arial" w:eastAsia="Arial" w:hAnsi="Arial"/>
          <w:sz w:val="19"/>
          <w:szCs w:val="19"/>
          <w:color w:val="auto"/>
        </w:rPr>
        <w:t>shall mean an Award that is granted pursuant to Section 8 hereof and that is the grant of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shares of Common Stock or a right to receive one or more shares of Common Stock in the future, which grant may be subject to one or more of the following, as determined by the Committee:</w:t>
      </w:r>
    </w:p>
    <w:p>
      <w:pPr>
        <w:spacing w:after="0" w:line="131" w:lineRule="exact"/>
        <w:rPr>
          <w:rFonts w:ascii="Arial" w:cs="Arial" w:eastAsia="Arial" w:hAnsi="Arial"/>
          <w:sz w:val="19"/>
          <w:szCs w:val="19"/>
          <w:color w:val="auto"/>
        </w:rPr>
      </w:pPr>
    </w:p>
    <w:p>
      <w:pPr>
        <w:ind w:left="1142" w:right="460" w:hanging="655"/>
        <w:spacing w:after="0" w:line="263" w:lineRule="auto"/>
        <w:tabs>
          <w:tab w:leader="none" w:pos="114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grant may be in consideration of a Participant’s previously performed services or surrender of other compensation that may be due.</w:t>
      </w:r>
    </w:p>
    <w:p>
      <w:pPr>
        <w:spacing w:after="0" w:line="174" w:lineRule="exact"/>
        <w:rPr>
          <w:rFonts w:ascii="Arial" w:cs="Arial" w:eastAsia="Arial" w:hAnsi="Arial"/>
          <w:sz w:val="22"/>
          <w:szCs w:val="22"/>
          <w:color w:val="auto"/>
        </w:rPr>
      </w:pPr>
    </w:p>
    <w:p>
      <w:pPr>
        <w:ind w:left="1142" w:right="580" w:hanging="655"/>
        <w:spacing w:after="0" w:line="263" w:lineRule="auto"/>
        <w:tabs>
          <w:tab w:leader="none" w:pos="114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grant may be contingent on the achievement of performance or other objectives during a specified period.</w:t>
      </w:r>
    </w:p>
    <w:p>
      <w:pPr>
        <w:spacing w:after="0" w:line="174" w:lineRule="exact"/>
        <w:rPr>
          <w:rFonts w:ascii="Arial" w:cs="Arial" w:eastAsia="Arial" w:hAnsi="Arial"/>
          <w:sz w:val="22"/>
          <w:szCs w:val="22"/>
          <w:color w:val="auto"/>
        </w:rPr>
      </w:pPr>
    </w:p>
    <w:p>
      <w:pPr>
        <w:ind w:left="1142" w:right="220" w:hanging="655"/>
        <w:spacing w:after="0" w:line="253" w:lineRule="auto"/>
        <w:tabs>
          <w:tab w:leader="none" w:pos="114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186" w:lineRule="exact"/>
        <w:rPr>
          <w:sz w:val="20"/>
          <w:szCs w:val="20"/>
          <w:color w:val="auto"/>
        </w:rPr>
      </w:pPr>
    </w:p>
    <w:p>
      <w:pPr>
        <w:ind w:left="482" w:right="540"/>
        <w:spacing w:after="0" w:line="287" w:lineRule="auto"/>
        <w:rPr>
          <w:sz w:val="20"/>
          <w:szCs w:val="20"/>
          <w:color w:val="auto"/>
        </w:rPr>
      </w:pPr>
      <w:r>
        <w:rPr>
          <w:rFonts w:ascii="Arial" w:cs="Arial" w:eastAsia="Arial" w:hAnsi="Arial"/>
          <w:sz w:val="21"/>
          <w:szCs w:val="21"/>
          <w:color w:val="auto"/>
        </w:rPr>
        <w:t>The grant of Full Value Awards may also be subject to such other conditions, restrictions and contingencies, as determined by the Committee, including provisions relating to dividend or dividend</w:t>
      </w:r>
    </w:p>
    <w:p>
      <w:pPr>
        <w:spacing w:after="0" w:line="386"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2"/>
          </w:cols>
          <w:pgMar w:left="1058" w:top="375" w:right="259" w:bottom="1440" w:gutter="0" w:footer="0" w:header="0"/>
        </w:sectPr>
      </w:pPr>
    </w:p>
    <w:bookmarkStart w:id="104" w:name="page105"/>
    <w:bookmarkEnd w:id="104"/>
    <w:p>
      <w:pPr>
        <w:ind w:left="482" w:right="220"/>
        <w:spacing w:after="0" w:line="253" w:lineRule="auto"/>
        <w:rPr>
          <w:sz w:val="20"/>
          <w:szCs w:val="20"/>
          <w:color w:val="auto"/>
        </w:rPr>
      </w:pPr>
      <w:r>
        <w:rPr>
          <w:rFonts w:ascii="Arial" w:cs="Arial" w:eastAsia="Arial" w:hAnsi="Arial"/>
          <w:sz w:val="22"/>
          <w:szCs w:val="22"/>
          <w:color w:val="auto"/>
        </w:rPr>
        <w:t>equivalent rights, deferred payment or settlement and purchase in the open market (including with a Participant’s own funds). Full Value Awards may include, but are not limited to, restricted stock, stock units, performance stock units, and bonus stock.</w:t>
      </w:r>
    </w:p>
    <w:p>
      <w:pPr>
        <w:spacing w:after="0" w:line="180" w:lineRule="exact"/>
        <w:rPr>
          <w:sz w:val="20"/>
          <w:szCs w:val="20"/>
          <w:color w:val="auto"/>
        </w:rPr>
      </w:pPr>
    </w:p>
    <w:p>
      <w:pPr>
        <w:ind w:left="642" w:hanging="642"/>
        <w:spacing w:after="0"/>
        <w:tabs>
          <w:tab w:leader="none" w:pos="64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“Huron” </w:t>
      </w:r>
      <w:r>
        <w:rPr>
          <w:rFonts w:ascii="Arial" w:cs="Arial" w:eastAsia="Arial" w:hAnsi="Arial"/>
          <w:sz w:val="22"/>
          <w:szCs w:val="22"/>
          <w:color w:val="auto"/>
        </w:rPr>
        <w:t>shall have the meaning set forth in Section 1.</w:t>
      </w:r>
    </w:p>
    <w:p>
      <w:pPr>
        <w:spacing w:after="0" w:line="219" w:lineRule="exact"/>
        <w:rPr>
          <w:rFonts w:ascii="Arial" w:cs="Arial" w:eastAsia="Arial" w:hAnsi="Arial"/>
          <w:sz w:val="22"/>
          <w:szCs w:val="22"/>
          <w:color w:val="auto"/>
        </w:rPr>
      </w:pPr>
    </w:p>
    <w:p>
      <w:pPr>
        <w:jc w:val="both"/>
        <w:ind w:left="642" w:right="100" w:hanging="642"/>
        <w:spacing w:after="0" w:line="256" w:lineRule="auto"/>
        <w:tabs>
          <w:tab w:leader="none" w:pos="64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“Incentive Stock Option” </w:t>
      </w:r>
      <w:r>
        <w:rPr>
          <w:rFonts w:ascii="Arial" w:cs="Arial" w:eastAsia="Arial" w:hAnsi="Arial"/>
          <w:sz w:val="22"/>
          <w:szCs w:val="22"/>
          <w:color w:val="auto"/>
        </w:rPr>
        <w:t>shall mean an Option that qualifies as an “incentive stock option” within the meaning</w:t>
      </w:r>
      <w:r>
        <w:rPr>
          <w:rFonts w:ascii="Arial" w:cs="Arial" w:eastAsia="Arial" w:hAnsi="Arial"/>
          <w:sz w:val="22"/>
          <w:szCs w:val="22"/>
          <w:b w:val="1"/>
          <w:bCs w:val="1"/>
          <w:color w:val="auto"/>
        </w:rPr>
        <w:t xml:space="preserve"> </w:t>
      </w:r>
      <w:r>
        <w:rPr>
          <w:rFonts w:ascii="Arial" w:cs="Arial" w:eastAsia="Arial" w:hAnsi="Arial"/>
          <w:sz w:val="22"/>
          <w:szCs w:val="22"/>
          <w:color w:val="auto"/>
        </w:rPr>
        <w:t>of Section 422 of the Code, or any successor provision, and which is designated by the Committee as an Incentive Stock Option.</w:t>
      </w:r>
    </w:p>
    <w:p>
      <w:pPr>
        <w:spacing w:after="0" w:line="176" w:lineRule="exact"/>
        <w:rPr>
          <w:rFonts w:ascii="Arial" w:cs="Arial" w:eastAsia="Arial" w:hAnsi="Arial"/>
          <w:sz w:val="22"/>
          <w:szCs w:val="22"/>
          <w:color w:val="auto"/>
        </w:rPr>
      </w:pPr>
    </w:p>
    <w:p>
      <w:pPr>
        <w:ind w:left="642" w:hanging="642"/>
        <w:spacing w:after="0"/>
        <w:tabs>
          <w:tab w:leader="none" w:pos="64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“Nonqualified Stock Option” </w:t>
      </w:r>
      <w:r>
        <w:rPr>
          <w:rFonts w:ascii="Arial" w:cs="Arial" w:eastAsia="Arial" w:hAnsi="Arial"/>
          <w:sz w:val="22"/>
          <w:szCs w:val="22"/>
          <w:color w:val="auto"/>
        </w:rPr>
        <w:t>shall mean an Option other than an Incentive Stock Option.</w:t>
      </w:r>
    </w:p>
    <w:p>
      <w:pPr>
        <w:spacing w:after="0" w:line="219" w:lineRule="exact"/>
        <w:rPr>
          <w:rFonts w:ascii="Arial" w:cs="Arial" w:eastAsia="Arial" w:hAnsi="Arial"/>
          <w:sz w:val="22"/>
          <w:szCs w:val="22"/>
          <w:color w:val="auto"/>
        </w:rPr>
      </w:pPr>
    </w:p>
    <w:p>
      <w:pPr>
        <w:ind w:left="642" w:right="220" w:hanging="642"/>
        <w:spacing w:after="0" w:line="293" w:lineRule="auto"/>
        <w:tabs>
          <w:tab w:leader="none" w:pos="642"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“Option” </w:t>
      </w:r>
      <w:r>
        <w:rPr>
          <w:rFonts w:ascii="Arial" w:cs="Arial" w:eastAsia="Arial" w:hAnsi="Arial"/>
          <w:sz w:val="21"/>
          <w:szCs w:val="21"/>
          <w:color w:val="auto"/>
        </w:rPr>
        <w:t>shall mean an Award that is granted pursuant to Section 7 hereof that entitles a Participant to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Common Stock at the applicable Exercise Price established by the Committee.</w:t>
      </w:r>
    </w:p>
    <w:p>
      <w:pPr>
        <w:spacing w:after="0" w:line="140" w:lineRule="exact"/>
        <w:rPr>
          <w:sz w:val="20"/>
          <w:szCs w:val="20"/>
          <w:color w:val="auto"/>
        </w:rPr>
      </w:pPr>
    </w:p>
    <w:p>
      <w:pPr>
        <w:ind w:left="642" w:hanging="642"/>
        <w:spacing w:after="0"/>
        <w:tabs>
          <w:tab w:leader="none" w:pos="6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shall mean an Eligible Individual to whom an Award is granted pursuant to the Plan.</w:t>
      </w:r>
    </w:p>
    <w:p>
      <w:pPr>
        <w:spacing w:after="0" w:line="219" w:lineRule="exact"/>
        <w:rPr>
          <w:rFonts w:ascii="Arial" w:cs="Arial" w:eastAsia="Arial" w:hAnsi="Arial"/>
          <w:sz w:val="22"/>
          <w:szCs w:val="22"/>
          <w:color w:val="auto"/>
        </w:rPr>
      </w:pPr>
    </w:p>
    <w:p>
      <w:pPr>
        <w:ind w:left="642" w:hanging="642"/>
        <w:spacing w:after="0"/>
        <w:tabs>
          <w:tab w:leader="none" w:pos="6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“Performance-Based Compensation” </w:t>
      </w:r>
      <w:r>
        <w:rPr>
          <w:rFonts w:ascii="Arial" w:cs="Arial" w:eastAsia="Arial" w:hAnsi="Arial"/>
          <w:sz w:val="22"/>
          <w:szCs w:val="22"/>
          <w:color w:val="auto"/>
        </w:rPr>
        <w:t>shall have the meaning set forth in Section 9.</w:t>
      </w:r>
    </w:p>
    <w:p>
      <w:pPr>
        <w:spacing w:after="0" w:line="219" w:lineRule="exact"/>
        <w:rPr>
          <w:rFonts w:ascii="Arial" w:cs="Arial" w:eastAsia="Arial" w:hAnsi="Arial"/>
          <w:sz w:val="22"/>
          <w:szCs w:val="22"/>
          <w:color w:val="auto"/>
        </w:rPr>
      </w:pPr>
    </w:p>
    <w:p>
      <w:pPr>
        <w:ind w:left="642" w:hanging="642"/>
        <w:spacing w:after="0"/>
        <w:tabs>
          <w:tab w:leader="none" w:pos="6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shall mean the Huron Consulting Group Inc. 2012 Omnibus Incentive Plan as set forth herein.</w:t>
      </w:r>
    </w:p>
    <w:p>
      <w:pPr>
        <w:spacing w:after="0" w:line="219" w:lineRule="exact"/>
        <w:rPr>
          <w:rFonts w:ascii="Arial" w:cs="Arial" w:eastAsia="Arial" w:hAnsi="Arial"/>
          <w:sz w:val="22"/>
          <w:szCs w:val="22"/>
          <w:color w:val="auto"/>
        </w:rPr>
      </w:pPr>
    </w:p>
    <w:p>
      <w:pPr>
        <w:ind w:left="642" w:hanging="642"/>
        <w:spacing w:after="0" w:line="295" w:lineRule="auto"/>
        <w:tabs>
          <w:tab w:leader="none" w:pos="642"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shall mean the voluntary termination with Huron and the Affiliates of a Participant who is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position of corporate vice president, managing director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 A Participant’s termination of employment shall not be considered to be on account of Retirement if the employment is terminated by Huron or any Affiliate for any reason.</w:t>
      </w:r>
    </w:p>
    <w:p>
      <w:pPr>
        <w:spacing w:after="0" w:line="144" w:lineRule="exact"/>
        <w:rPr>
          <w:rFonts w:ascii="Arial" w:cs="Arial" w:eastAsia="Arial" w:hAnsi="Arial"/>
          <w:sz w:val="19"/>
          <w:szCs w:val="19"/>
          <w:color w:val="auto"/>
        </w:rPr>
      </w:pPr>
    </w:p>
    <w:p>
      <w:pPr>
        <w:ind w:left="642" w:right="160" w:hanging="642"/>
        <w:spacing w:after="0" w:line="249" w:lineRule="auto"/>
        <w:tabs>
          <w:tab w:leader="none" w:pos="6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“Stock Appreciation Right” </w:t>
      </w:r>
      <w:r>
        <w:rPr>
          <w:rFonts w:ascii="Arial" w:cs="Arial" w:eastAsia="Arial" w:hAnsi="Arial"/>
          <w:sz w:val="22"/>
          <w:szCs w:val="22"/>
          <w:color w:val="auto"/>
        </w:rPr>
        <w:t>shall mean an Award is granted pursuant to Section 7 hereof that entitles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receive, upon exercise of the Award, an amount of cash or shares of Common Stock (as determined in accordance with the terms of the Plan and the Award) having a value equal to the excess of: (i) the Fair Market Value, determined at the time of exercise, of a specified number of shares of Common Stock; over (ii) the applicable Exercise Price.</w:t>
      </w:r>
    </w:p>
    <w:p>
      <w:pPr>
        <w:spacing w:after="0" w:line="200" w:lineRule="exact"/>
        <w:rPr>
          <w:sz w:val="20"/>
          <w:szCs w:val="20"/>
          <w:color w:val="auto"/>
        </w:rPr>
      </w:pPr>
    </w:p>
    <w:p>
      <w:pPr>
        <w:spacing w:after="0" w:line="227"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602"/>
          </w:cols>
          <w:pgMar w:left="1058" w:top="375" w:right="239" w:bottom="1440" w:gutter="0" w:footer="0" w:header="0"/>
        </w:sectPr>
      </w:pPr>
    </w:p>
    <w:bookmarkStart w:id="105" w:name="page106"/>
    <w:bookmarkEnd w:id="105"/>
    <w:p>
      <w:pPr>
        <w:ind w:left="1452" w:hanging="642"/>
        <w:spacing w:after="0"/>
        <w:tabs>
          <w:tab w:leader="none" w:pos="1452" w:val="left"/>
        </w:tabs>
        <w:numPr>
          <w:ilvl w:val="1"/>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shall mean a “subsidiary corporation” of Huron within the meaning of Section 424(f) of the Code.</w:t>
      </w:r>
    </w:p>
    <w:p>
      <w:pPr>
        <w:spacing w:after="0" w:line="254" w:lineRule="exact"/>
        <w:rPr>
          <w:rFonts w:ascii="Arial" w:cs="Arial" w:eastAsia="Arial" w:hAnsi="Arial"/>
          <w:sz w:val="19"/>
          <w:szCs w:val="19"/>
          <w:color w:val="auto"/>
        </w:rPr>
      </w:pPr>
    </w:p>
    <w:p>
      <w:pPr>
        <w:ind w:left="652" w:right="80" w:hanging="652"/>
        <w:spacing w:after="0" w:line="264" w:lineRule="auto"/>
        <w:tabs>
          <w:tab w:leader="none" w:pos="652"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Effective Date and Duration of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as amended and restated, will be effective as of the date (the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that it is approved by the Board of Directors, subject to approval by Huron’s stockholders.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w:t>
      </w:r>
    </w:p>
    <w:p>
      <w:pPr>
        <w:spacing w:after="0" w:line="170" w:lineRule="exact"/>
        <w:rPr>
          <w:rFonts w:ascii="Arial" w:cs="Arial" w:eastAsia="Arial" w:hAnsi="Arial"/>
          <w:sz w:val="21"/>
          <w:szCs w:val="21"/>
          <w:b w:val="1"/>
          <w:bCs w:val="1"/>
          <w:color w:val="auto"/>
        </w:rPr>
      </w:pPr>
    </w:p>
    <w:p>
      <w:pPr>
        <w:ind w:left="652" w:hanging="652"/>
        <w:spacing w:after="0"/>
        <w:tabs>
          <w:tab w:leader="none" w:pos="65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Reserved and Other Limitations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right="140" w:hanging="642"/>
        <w:spacing w:after="0" w:line="271" w:lineRule="auto"/>
        <w:tabs>
          <w:tab w:leader="none" w:pos="1452"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Source of Shares</w:t>
      </w:r>
      <w:r>
        <w:rPr>
          <w:rFonts w:ascii="Arial" w:cs="Arial" w:eastAsia="Arial" w:hAnsi="Arial"/>
          <w:sz w:val="21"/>
          <w:szCs w:val="21"/>
          <w:color w:val="auto"/>
        </w:rPr>
        <w:t>. Shares of Common Stock reserved for issuance under the Plan may be authorized but unissued shares of Common Stock or authorized and issued shares of Common Stock held in Huron’s treasury, including shares purchased in the open market or in private transactions.</w:t>
      </w:r>
    </w:p>
    <w:p>
      <w:pPr>
        <w:spacing w:after="0" w:line="167" w:lineRule="exact"/>
        <w:rPr>
          <w:rFonts w:ascii="Arial" w:cs="Arial" w:eastAsia="Arial" w:hAnsi="Arial"/>
          <w:sz w:val="21"/>
          <w:szCs w:val="21"/>
          <w:color w:val="auto"/>
        </w:rPr>
      </w:pPr>
    </w:p>
    <w:p>
      <w:pPr>
        <w:jc w:val="both"/>
        <w:ind w:left="1452" w:right="240" w:hanging="642"/>
        <w:spacing w:after="0" w:line="343" w:lineRule="auto"/>
        <w:tabs>
          <w:tab w:leader="none" w:pos="1452"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Shares Available for Awards</w:t>
      </w:r>
      <w:r>
        <w:rPr>
          <w:rFonts w:ascii="Arial" w:cs="Arial" w:eastAsia="Arial" w:hAnsi="Arial"/>
          <w:sz w:val="19"/>
          <w:szCs w:val="19"/>
          <w:color w:val="auto"/>
        </w:rPr>
        <w:t>. Subject to the terms and conditions of the Plan, the number of shares of Common Stock reserved for issuance under the Plan shall be 2,248,204 shares (subject to adjustment as provided herein).</w:t>
      </w:r>
    </w:p>
    <w:p>
      <w:pPr>
        <w:spacing w:after="0" w:line="104" w:lineRule="exact"/>
        <w:rPr>
          <w:rFonts w:ascii="Arial" w:cs="Arial" w:eastAsia="Arial" w:hAnsi="Arial"/>
          <w:sz w:val="19"/>
          <w:szCs w:val="19"/>
          <w:color w:val="auto"/>
        </w:rPr>
      </w:pPr>
    </w:p>
    <w:p>
      <w:pPr>
        <w:ind w:left="1452" w:hanging="642"/>
        <w:spacing w:after="0"/>
        <w:tabs>
          <w:tab w:leader="none" w:pos="1452" w:val="left"/>
        </w:tabs>
        <w:numPr>
          <w:ilvl w:val="1"/>
          <w:numId w:val="53"/>
        </w:numPr>
        <w:rPr>
          <w:rFonts w:ascii="Arial" w:cs="Arial" w:eastAsia="Arial" w:hAnsi="Arial"/>
          <w:sz w:val="22"/>
          <w:szCs w:val="22"/>
          <w:color w:val="auto"/>
        </w:rPr>
      </w:pPr>
      <w:r>
        <w:rPr>
          <w:rFonts w:ascii="Arial" w:cs="Arial" w:eastAsia="Arial" w:hAnsi="Arial"/>
          <w:sz w:val="22"/>
          <w:szCs w:val="22"/>
          <w:color w:val="auto"/>
        </w:rPr>
        <w:t>Individual Limitations on Awards.</w:t>
      </w:r>
    </w:p>
    <w:p>
      <w:pPr>
        <w:spacing w:after="0" w:line="219" w:lineRule="exact"/>
        <w:rPr>
          <w:rFonts w:ascii="Arial" w:cs="Arial" w:eastAsia="Arial" w:hAnsi="Arial"/>
          <w:sz w:val="22"/>
          <w:szCs w:val="22"/>
          <w:color w:val="auto"/>
        </w:rPr>
      </w:pPr>
    </w:p>
    <w:p>
      <w:pPr>
        <w:ind w:left="1952" w:right="180" w:hanging="655"/>
        <w:spacing w:after="0" w:line="312" w:lineRule="auto"/>
        <w:tabs>
          <w:tab w:leader="none" w:pos="1952" w:val="left"/>
        </w:tabs>
        <w:numPr>
          <w:ilvl w:val="2"/>
          <w:numId w:val="53"/>
        </w:numPr>
        <w:rPr>
          <w:rFonts w:ascii="Arial" w:cs="Arial" w:eastAsia="Arial" w:hAnsi="Arial"/>
          <w:sz w:val="19"/>
          <w:szCs w:val="19"/>
          <w:color w:val="auto"/>
        </w:rPr>
      </w:pPr>
      <w:r>
        <w:rPr>
          <w:rFonts w:ascii="Arial" w:cs="Arial" w:eastAsia="Arial" w:hAnsi="Arial"/>
          <w:sz w:val="19"/>
          <w:szCs w:val="19"/>
          <w:color w:val="auto"/>
        </w:rPr>
        <w:t>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spacing w:after="0" w:line="133" w:lineRule="exact"/>
        <w:rPr>
          <w:rFonts w:ascii="Arial" w:cs="Arial" w:eastAsia="Arial" w:hAnsi="Arial"/>
          <w:sz w:val="19"/>
          <w:szCs w:val="19"/>
          <w:color w:val="auto"/>
        </w:rPr>
      </w:pPr>
    </w:p>
    <w:p>
      <w:pPr>
        <w:ind w:left="2592" w:hanging="647"/>
        <w:spacing w:after="0" w:line="253" w:lineRule="auto"/>
        <w:tabs>
          <w:tab w:leader="none" w:pos="2592" w:val="left"/>
        </w:tabs>
        <w:numPr>
          <w:ilvl w:val="3"/>
          <w:numId w:val="53"/>
        </w:numPr>
        <w:rPr>
          <w:rFonts w:ascii="Arial" w:cs="Arial" w:eastAsia="Arial" w:hAnsi="Arial"/>
          <w:sz w:val="22"/>
          <w:szCs w:val="22"/>
          <w:color w:val="auto"/>
        </w:rPr>
      </w:pPr>
      <w:r>
        <w:rPr>
          <w:rFonts w:ascii="Arial" w:cs="Arial" w:eastAsia="Arial" w:hAnsi="Arial"/>
          <w:sz w:val="22"/>
          <w:szCs w:val="22"/>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185" w:lineRule="exact"/>
        <w:rPr>
          <w:rFonts w:ascii="Arial" w:cs="Arial" w:eastAsia="Arial" w:hAnsi="Arial"/>
          <w:sz w:val="22"/>
          <w:szCs w:val="22"/>
          <w:color w:val="auto"/>
        </w:rPr>
      </w:pPr>
    </w:p>
    <w:p>
      <w:pPr>
        <w:ind w:left="2592" w:right="140" w:hanging="647"/>
        <w:spacing w:after="0" w:line="271" w:lineRule="auto"/>
        <w:tabs>
          <w:tab w:leader="none" w:pos="2592" w:val="left"/>
        </w:tabs>
        <w:numPr>
          <w:ilvl w:val="3"/>
          <w:numId w:val="53"/>
        </w:numPr>
        <w:rPr>
          <w:rFonts w:ascii="Arial" w:cs="Arial" w:eastAsia="Arial" w:hAnsi="Arial"/>
          <w:sz w:val="21"/>
          <w:szCs w:val="21"/>
          <w:color w:val="auto"/>
        </w:rPr>
      </w:pPr>
      <w:r>
        <w:rPr>
          <w:rFonts w:ascii="Arial" w:cs="Arial" w:eastAsia="Arial" w:hAnsi="Arial"/>
          <w:sz w:val="21"/>
          <w:szCs w:val="21"/>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167" w:lineRule="exact"/>
        <w:rPr>
          <w:rFonts w:ascii="Arial" w:cs="Arial" w:eastAsia="Arial" w:hAnsi="Arial"/>
          <w:sz w:val="21"/>
          <w:szCs w:val="21"/>
          <w:color w:val="auto"/>
        </w:rPr>
      </w:pPr>
    </w:p>
    <w:p>
      <w:pPr>
        <w:ind w:left="1952" w:right="40" w:hanging="655"/>
        <w:spacing w:after="0" w:line="287" w:lineRule="auto"/>
        <w:tabs>
          <w:tab w:leader="none" w:pos="1952" w:val="left"/>
        </w:tabs>
        <w:numPr>
          <w:ilvl w:val="2"/>
          <w:numId w:val="53"/>
        </w:numPr>
        <w:rPr>
          <w:rFonts w:ascii="Arial" w:cs="Arial" w:eastAsia="Arial" w:hAnsi="Arial"/>
          <w:sz w:val="21"/>
          <w:szCs w:val="21"/>
          <w:color w:val="auto"/>
        </w:rPr>
      </w:pPr>
      <w:r>
        <w:rPr>
          <w:rFonts w:ascii="Arial" w:cs="Arial" w:eastAsia="Arial" w:hAnsi="Arial"/>
          <w:sz w:val="21"/>
          <w:szCs w:val="21"/>
          <w:color w:val="auto"/>
        </w:rPr>
        <w:t>In any fiscal year of Huron, no Participant who is a non-employee director of Huron may be granted Awards under the Plan valued at more than $1,000,000 at the time of grant. For the avoidance of</w:t>
      </w: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52"/>
          </w:cols>
          <w:pgMar w:left="248" w:top="369" w:right="299" w:bottom="1440" w:gutter="0" w:footer="0" w:header="0"/>
        </w:sectPr>
      </w:pPr>
    </w:p>
    <w:bookmarkStart w:id="106" w:name="page107"/>
    <w:bookmarkEnd w:id="106"/>
    <w:p>
      <w:pPr>
        <w:ind w:left="1142" w:right="120"/>
        <w:spacing w:after="0" w:line="253" w:lineRule="auto"/>
        <w:rPr>
          <w:sz w:val="20"/>
          <w:szCs w:val="20"/>
          <w:color w:val="auto"/>
        </w:rPr>
      </w:pPr>
      <w:r>
        <w:rPr>
          <w:rFonts w:ascii="Arial" w:cs="Arial" w:eastAsia="Arial" w:hAnsi="Arial"/>
          <w:sz w:val="22"/>
          <w:szCs w:val="22"/>
          <w:color w:val="auto"/>
        </w:rPr>
        <w:t>doubt, the following amounts paid to non-employee directors shall be excluded for purposes of applying the limit contained in the preceding sentence: annual cash retainers, annual committee chairperson retainer, board and committee meeting fees, and any similar cash retainers or fees.</w:t>
      </w:r>
    </w:p>
    <w:p>
      <w:pPr>
        <w:spacing w:after="0" w:line="186" w:lineRule="exact"/>
        <w:rPr>
          <w:sz w:val="20"/>
          <w:szCs w:val="20"/>
          <w:color w:val="auto"/>
        </w:rPr>
      </w:pPr>
    </w:p>
    <w:p>
      <w:pPr>
        <w:ind w:left="642" w:right="220" w:hanging="642"/>
        <w:spacing w:after="0" w:line="343" w:lineRule="auto"/>
        <w:tabs>
          <w:tab w:leader="none" w:pos="64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Limits on Incentive Stock Options</w:t>
      </w:r>
      <w:r>
        <w:rPr>
          <w:rFonts w:ascii="Arial" w:cs="Arial" w:eastAsia="Arial" w:hAnsi="Arial"/>
          <w:sz w:val="19"/>
          <w:szCs w:val="19"/>
          <w:color w:val="auto"/>
        </w:rPr>
        <w:t>. The maximum number of shares of Common Stock to which Incentive Stock Options relate that may be granted under the Plan shall be 325,000 (subject to adjustment as provided herein).</w:t>
      </w:r>
    </w:p>
    <w:p>
      <w:pPr>
        <w:spacing w:after="0" w:line="104" w:lineRule="exact"/>
        <w:rPr>
          <w:rFonts w:ascii="Arial" w:cs="Arial" w:eastAsia="Arial" w:hAnsi="Arial"/>
          <w:sz w:val="19"/>
          <w:szCs w:val="19"/>
          <w:color w:val="auto"/>
        </w:rPr>
      </w:pPr>
    </w:p>
    <w:p>
      <w:pPr>
        <w:ind w:left="642" w:right="340" w:hanging="642"/>
        <w:spacing w:after="0" w:line="250" w:lineRule="auto"/>
        <w:tabs>
          <w:tab w:leader="none" w:pos="64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Individual Limitations on Cash Incentive Awards</w:t>
      </w:r>
      <w:r>
        <w:rPr>
          <w:rFonts w:ascii="Arial" w:cs="Arial" w:eastAsia="Arial" w:hAnsi="Arial"/>
          <w:sz w:val="22"/>
          <w:szCs w:val="22"/>
          <w:color w:val="auto"/>
        </w:rPr>
        <w:t>. The maximum amount payable to any Participant for any 12 month performance period with respect to a Cash Incentive Award granted under the Plan that is intended to be Performance-Based Compensation shall be $10,000,000 (prorated for performance periods that are greater or lesser than 12 months). For purposes of this Section 4(e):</w:t>
      </w:r>
    </w:p>
    <w:p>
      <w:pPr>
        <w:spacing w:after="0" w:line="188" w:lineRule="exact"/>
        <w:rPr>
          <w:rFonts w:ascii="Arial" w:cs="Arial" w:eastAsia="Arial" w:hAnsi="Arial"/>
          <w:sz w:val="22"/>
          <w:szCs w:val="22"/>
          <w:color w:val="auto"/>
        </w:rPr>
      </w:pPr>
    </w:p>
    <w:p>
      <w:pPr>
        <w:jc w:val="both"/>
        <w:ind w:left="1162" w:right="560" w:hanging="621"/>
        <w:spacing w:after="0" w:line="253" w:lineRule="auto"/>
        <w:tabs>
          <w:tab w:leader="none" w:pos="1162"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185" w:lineRule="exact"/>
        <w:rPr>
          <w:rFonts w:ascii="Arial" w:cs="Arial" w:eastAsia="Arial" w:hAnsi="Arial"/>
          <w:sz w:val="22"/>
          <w:szCs w:val="22"/>
          <w:color w:val="auto"/>
        </w:rPr>
      </w:pPr>
    </w:p>
    <w:p>
      <w:pPr>
        <w:jc w:val="both"/>
        <w:ind w:left="1162" w:hanging="621"/>
        <w:spacing w:after="0" w:line="253" w:lineRule="auto"/>
        <w:tabs>
          <w:tab w:leader="none" w:pos="1162"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185" w:lineRule="exact"/>
        <w:rPr>
          <w:rFonts w:ascii="Arial" w:cs="Arial" w:eastAsia="Arial" w:hAnsi="Arial"/>
          <w:sz w:val="22"/>
          <w:szCs w:val="22"/>
          <w:color w:val="auto"/>
        </w:rPr>
      </w:pPr>
    </w:p>
    <w:p>
      <w:pPr>
        <w:ind w:left="642" w:hanging="642"/>
        <w:spacing w:after="0" w:line="288" w:lineRule="auto"/>
        <w:tabs>
          <w:tab w:leader="none" w:pos="64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Adjustments for Change in Capitalization</w:t>
      </w:r>
      <w:r>
        <w:rPr>
          <w:rFonts w:ascii="Arial" w:cs="Arial" w:eastAsia="Arial" w:hAnsi="Arial"/>
          <w:sz w:val="19"/>
          <w:szCs w:val="19"/>
          <w:color w:val="auto"/>
        </w:rPr>
        <w:t>. In the event that any dividend or other distribution is declared (whether in the 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w:t>
      </w:r>
    </w:p>
    <w:p>
      <w:pPr>
        <w:spacing w:after="0" w:line="389" w:lineRule="exact"/>
        <w:rPr>
          <w:sz w:val="20"/>
          <w:szCs w:val="20"/>
          <w:color w:val="auto"/>
        </w:rPr>
      </w:pPr>
    </w:p>
    <w:p>
      <w:pPr>
        <w:ind w:left="484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602"/>
          </w:cols>
          <w:pgMar w:left="1058" w:top="375" w:right="239" w:bottom="1440" w:gutter="0" w:footer="0" w:header="0"/>
        </w:sectPr>
      </w:pPr>
    </w:p>
    <w:bookmarkStart w:id="107" w:name="page108"/>
    <w:bookmarkEnd w:id="107"/>
    <w:p>
      <w:pPr>
        <w:ind w:left="1452"/>
        <w:spacing w:after="0" w:line="294" w:lineRule="auto"/>
        <w:rPr>
          <w:sz w:val="20"/>
          <w:szCs w:val="20"/>
          <w:color w:val="auto"/>
        </w:rPr>
      </w:pPr>
      <w:r>
        <w:rPr>
          <w:rFonts w:ascii="Arial" w:cs="Arial" w:eastAsia="Arial" w:hAnsi="Arial"/>
          <w:sz w:val="19"/>
          <w:szCs w:val="19"/>
          <w:color w:val="auto"/>
        </w:rPr>
        <w:t>without limitation, (1)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150" w:lineRule="exact"/>
        <w:rPr>
          <w:sz w:val="20"/>
          <w:szCs w:val="20"/>
          <w:color w:val="auto"/>
        </w:rPr>
      </w:pPr>
    </w:p>
    <w:p>
      <w:pPr>
        <w:ind w:left="1452" w:hanging="642"/>
        <w:spacing w:after="0" w:line="287" w:lineRule="auto"/>
        <w:tabs>
          <w:tab w:leader="none" w:pos="1452"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Reuse of Shares</w:t>
      </w:r>
      <w:r>
        <w:rPr>
          <w:rFonts w:ascii="Arial" w:cs="Arial" w:eastAsia="Arial" w:hAnsi="Arial"/>
          <w:sz w:val="19"/>
          <w:szCs w:val="19"/>
          <w:color w:val="auto"/>
        </w:rPr>
        <w:t>. Except to the extent that to do so would prevent the grant of Incentive Stock Options hereunder, the following shares of Common Stock shall again become available for Awards: (i) any shares subject to an Award that remain unissued upon the cancellation, surrender, exchange, forfeiture or termination of such Award without having been exercised or settled, (ii) any shares subject to an Award that are retained as payment of the exercise price or tax withholding obligations with respect to an Award, and (iii) a number of shares equal to the number of previously owned shares of Common Stock surrendered as payment of the exercise price of an Option or to satisfy tax withholding obligations with respect to an Award. In addition, (x) to the extent an Award is paid or settled in cash, the number of shares of Common Stock with respect to which such payment or settlement is made shall again be available for grants of Awards pursuant to the Plan and (y) in the event of the exercise of a Stock Appreciation Right granted in relation to an Option, the excess of the number of shares subject to the Stock Appreciation Right over the number of shares delivered upon the exercise of the Stock Appreciation Right shall again be available for grants of Awards pursuant to the Plan.</w:t>
      </w:r>
    </w:p>
    <w:p>
      <w:pPr>
        <w:spacing w:after="0" w:line="153" w:lineRule="exact"/>
        <w:rPr>
          <w:rFonts w:ascii="Arial" w:cs="Arial" w:eastAsia="Arial" w:hAnsi="Arial"/>
          <w:sz w:val="19"/>
          <w:szCs w:val="19"/>
          <w:color w:val="auto"/>
        </w:rPr>
      </w:pPr>
    </w:p>
    <w:p>
      <w:pPr>
        <w:ind w:left="652" w:hanging="652"/>
        <w:spacing w:after="0"/>
        <w:tabs>
          <w:tab w:leader="none" w:pos="65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 of the Plan</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right="40" w:hanging="642"/>
        <w:spacing w:after="0" w:line="259" w:lineRule="auto"/>
        <w:tabs>
          <w:tab w:leader="none" w:pos="1452"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92"/>
          </w:cols>
          <w:pgMar w:left="248" w:top="375" w:right="259" w:bottom="1440" w:gutter="0" w:footer="0" w:header="0"/>
        </w:sectPr>
      </w:pPr>
    </w:p>
    <w:bookmarkStart w:id="108" w:name="page109"/>
    <w:bookmarkEnd w:id="108"/>
    <w:p>
      <w:pPr>
        <w:ind w:left="1452" w:right="100"/>
        <w:spacing w:after="0" w:line="288" w:lineRule="auto"/>
        <w:rPr>
          <w:sz w:val="20"/>
          <w:szCs w:val="20"/>
          <w:color w:val="auto"/>
        </w:rPr>
      </w:pPr>
      <w:r>
        <w:rPr>
          <w:rFonts w:ascii="Arial" w:cs="Arial" w:eastAsia="Arial" w:hAnsi="Arial"/>
          <w:sz w:val="19"/>
          <w:szCs w:val="19"/>
          <w:color w:val="auto"/>
        </w:rPr>
        <w:t>or surrendered; (v) conclusively construe and interpret the Plan and all Awards; (vi) prescribe, amend and rescind rules and regulations relating to the Plan; (vii) determine the terms and provisions of Agreements; and (viii) 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spacing w:after="0" w:line="160" w:lineRule="exact"/>
        <w:rPr>
          <w:sz w:val="20"/>
          <w:szCs w:val="20"/>
          <w:color w:val="auto"/>
        </w:rPr>
      </w:pPr>
    </w:p>
    <w:p>
      <w:pPr>
        <w:ind w:left="1452" w:right="100" w:hanging="642"/>
        <w:spacing w:after="0" w:line="263" w:lineRule="auto"/>
        <w:tabs>
          <w:tab w:leader="none" w:pos="1452"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Decisions Binding</w:t>
      </w:r>
      <w:r>
        <w:rPr>
          <w:rFonts w:ascii="Arial" w:cs="Arial" w:eastAsia="Arial" w:hAnsi="Arial"/>
          <w:sz w:val="22"/>
          <w:szCs w:val="22"/>
          <w:color w:val="auto"/>
        </w:rPr>
        <w:t>. Any interpretations of the Plan by the Committee and any decisions made by it under the Plan are final and binding on all persons.</w:t>
      </w:r>
    </w:p>
    <w:p>
      <w:pPr>
        <w:spacing w:after="0" w:line="174" w:lineRule="exact"/>
        <w:rPr>
          <w:rFonts w:ascii="Arial" w:cs="Arial" w:eastAsia="Arial" w:hAnsi="Arial"/>
          <w:sz w:val="22"/>
          <w:szCs w:val="22"/>
          <w:color w:val="auto"/>
        </w:rPr>
      </w:pPr>
    </w:p>
    <w:p>
      <w:pPr>
        <w:ind w:left="1452" w:right="220" w:hanging="642"/>
        <w:spacing w:after="0" w:line="302" w:lineRule="auto"/>
        <w:tabs>
          <w:tab w:leader="none" w:pos="1452"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Delegation</w:t>
      </w:r>
      <w:r>
        <w:rPr>
          <w:rFonts w:ascii="Arial" w:cs="Arial" w:eastAsia="Arial" w:hAnsi="Arial"/>
          <w:sz w:val="19"/>
          <w:szCs w:val="19"/>
          <w:color w:val="auto"/>
        </w:rPr>
        <w:t>. Except to the extent prohibited by the applicable rules of any stock exchange, the Committee may allocate all or any portion of its responsibilities and powers to any one or more of its members and may delegate all or any part of its administrative responsibilities and powers to any person or persons selected by it. Any such allocation or delegation may be revoked by the Committee at any time.</w:t>
      </w:r>
    </w:p>
    <w:p>
      <w:pPr>
        <w:spacing w:after="0" w:line="142" w:lineRule="exact"/>
        <w:rPr>
          <w:rFonts w:ascii="Arial" w:cs="Arial" w:eastAsia="Arial" w:hAnsi="Arial"/>
          <w:sz w:val="19"/>
          <w:szCs w:val="19"/>
          <w:color w:val="auto"/>
        </w:rPr>
      </w:pPr>
    </w:p>
    <w:p>
      <w:pPr>
        <w:ind w:left="1452" w:hanging="642"/>
        <w:spacing w:after="0" w:line="258" w:lineRule="auto"/>
        <w:tabs>
          <w:tab w:leader="none" w:pos="1452"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No member of the Committee (or an authorized delegate of the Committee), and no officer of Huron or any of 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“Administrative Actions”). 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180" w:lineRule="exact"/>
        <w:rPr>
          <w:rFonts w:ascii="Arial" w:cs="Arial" w:eastAsia="Arial" w:hAnsi="Arial"/>
          <w:sz w:val="21"/>
          <w:szCs w:val="21"/>
          <w:color w:val="auto"/>
        </w:rPr>
      </w:pPr>
    </w:p>
    <w:p>
      <w:pPr>
        <w:ind w:left="652" w:right="200" w:hanging="652"/>
        <w:spacing w:after="0" w:line="269" w:lineRule="auto"/>
        <w:tabs>
          <w:tab w:leader="none" w:pos="65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of the Plan, the Committee shall determine and designate,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from among the Eligible</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92"/>
          </w:cols>
          <w:pgMar w:left="248" w:top="375" w:right="259" w:bottom="1440" w:gutter="0" w:footer="0" w:header="0"/>
        </w:sectPr>
      </w:pPr>
    </w:p>
    <w:bookmarkStart w:id="109" w:name="page110"/>
    <w:bookmarkEnd w:id="109"/>
    <w:p>
      <w:pPr>
        <w:ind w:left="652" w:right="200"/>
        <w:spacing w:after="0" w:line="259" w:lineRule="auto"/>
        <w:rPr>
          <w:sz w:val="20"/>
          <w:szCs w:val="20"/>
          <w:color w:val="auto"/>
        </w:rPr>
      </w:pPr>
      <w:r>
        <w:rPr>
          <w:rFonts w:ascii="Arial" w:cs="Arial" w:eastAsia="Arial" w:hAnsi="Arial"/>
          <w:sz w:val="21"/>
          <w:szCs w:val="21"/>
          <w:color w:val="auto"/>
        </w:rPr>
        <w:t>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174" w:lineRule="exact"/>
        <w:rPr>
          <w:sz w:val="20"/>
          <w:szCs w:val="20"/>
          <w:color w:val="auto"/>
        </w:rPr>
      </w:pPr>
    </w:p>
    <w:p>
      <w:pPr>
        <w:ind w:left="652" w:hanging="652"/>
        <w:spacing w:after="0"/>
        <w:tabs>
          <w:tab w:leader="none" w:pos="652"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Options and Stock Appreciation Rights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right="400" w:hanging="642"/>
        <w:spacing w:after="0" w:line="263" w:lineRule="auto"/>
        <w:tabs>
          <w:tab w:leader="none" w:pos="1452"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Grant of Awards</w:t>
      </w:r>
      <w:r>
        <w:rPr>
          <w:rFonts w:ascii="Arial" w:cs="Arial" w:eastAsia="Arial" w:hAnsi="Arial"/>
          <w:sz w:val="22"/>
          <w:szCs w:val="22"/>
          <w:color w:val="auto"/>
        </w:rPr>
        <w:t>. The Committee may grant Options and/or Stock Appreciation Rights to Eligible Individuals, subject to the terms and conditions of the Plan.</w:t>
      </w:r>
    </w:p>
    <w:p>
      <w:pPr>
        <w:spacing w:after="0" w:line="174" w:lineRule="exact"/>
        <w:rPr>
          <w:rFonts w:ascii="Arial" w:cs="Arial" w:eastAsia="Arial" w:hAnsi="Arial"/>
          <w:sz w:val="22"/>
          <w:szCs w:val="22"/>
          <w:color w:val="auto"/>
        </w:rPr>
      </w:pPr>
    </w:p>
    <w:p>
      <w:pPr>
        <w:ind w:left="1452" w:right="900" w:hanging="642"/>
        <w:spacing w:after="0" w:line="263" w:lineRule="auto"/>
        <w:tabs>
          <w:tab w:leader="none" w:pos="1452"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Identification of Options</w:t>
      </w:r>
      <w:r>
        <w:rPr>
          <w:rFonts w:ascii="Arial" w:cs="Arial" w:eastAsia="Arial" w:hAnsi="Arial"/>
          <w:sz w:val="22"/>
          <w:szCs w:val="22"/>
          <w:color w:val="auto"/>
        </w:rPr>
        <w:t>. Each Option shall be clearly identified as either an Incentive Stock Option or a Nonqualified Stock Option.</w:t>
      </w:r>
    </w:p>
    <w:p>
      <w:pPr>
        <w:spacing w:after="0" w:line="174" w:lineRule="exact"/>
        <w:rPr>
          <w:rFonts w:ascii="Arial" w:cs="Arial" w:eastAsia="Arial" w:hAnsi="Arial"/>
          <w:sz w:val="22"/>
          <w:szCs w:val="22"/>
          <w:color w:val="auto"/>
        </w:rPr>
      </w:pPr>
    </w:p>
    <w:p>
      <w:pPr>
        <w:ind w:left="1452" w:hanging="642"/>
        <w:spacing w:after="0" w:line="288" w:lineRule="auto"/>
        <w:tabs>
          <w:tab w:leader="none" w:pos="145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Tandem Awards</w:t>
      </w:r>
      <w:r>
        <w:rPr>
          <w:rFonts w:ascii="Arial" w:cs="Arial" w:eastAsia="Arial" w:hAnsi="Arial"/>
          <w:sz w:val="19"/>
          <w:szCs w:val="19"/>
          <w:color w:val="auto"/>
        </w:rPr>
        <w:t>. An Option may but need not be in tandem with a Stock Appreciation Right, and a Stock Appreciation Right may but need not be in tandem with an Option (in either case, regardless of whether the original award was granted under this Plan or another plan or arrangement.) If an Option is in tandem with a Stock Appreciation Right, the exercise price of both the Option and Stock Appreciation Right shall be the same, and the exercise of the Option or Stock Appreciation Right with respect to a share of Common Stock shall cancel the corresponding tandem Stock Appreciation Right or Option right with respect to such share. If a Stock Appreciation Right is in tandem with an Option but is granted after the grant of the Option, or if an Option is in tandem with an Stock Appreciation Right but is granted after the grant of the Stock Appreciation Right, the later granted tandem Award shall have the same exercise price as the earlier granted Award, but in no event less than the Fair Market Value of a share of Common Stock at the time of such grant.</w:t>
      </w:r>
    </w:p>
    <w:p>
      <w:pPr>
        <w:spacing w:after="0" w:line="160" w:lineRule="exact"/>
        <w:rPr>
          <w:rFonts w:ascii="Arial" w:cs="Arial" w:eastAsia="Arial" w:hAnsi="Arial"/>
          <w:sz w:val="19"/>
          <w:szCs w:val="19"/>
          <w:color w:val="auto"/>
        </w:rPr>
      </w:pPr>
    </w:p>
    <w:p>
      <w:pPr>
        <w:ind w:left="1452" w:right="20" w:hanging="642"/>
        <w:spacing w:after="0" w:line="265" w:lineRule="auto"/>
        <w:tabs>
          <w:tab w:leader="none" w:pos="1452"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of an Option or Stock Appreciation Right shall be established by the Committee at the time the Option or Stock 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12"/>
          </w:cols>
          <w:pgMar w:left="248" w:top="375" w:right="239" w:bottom="1440" w:gutter="0" w:footer="0" w:header="0"/>
        </w:sectPr>
      </w:pPr>
    </w:p>
    <w:bookmarkStart w:id="110" w:name="page111"/>
    <w:bookmarkEnd w:id="110"/>
    <w:p>
      <w:pPr>
        <w:ind w:left="642" w:right="20" w:hanging="642"/>
        <w:spacing w:after="0" w:line="288" w:lineRule="auto"/>
        <w:tabs>
          <w:tab w:leader="none" w:pos="642"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 Repricing/Prohibition on Buy-Back</w:t>
      </w:r>
      <w:r>
        <w:rPr>
          <w:rFonts w:ascii="Arial" w:cs="Arial" w:eastAsia="Arial" w:hAnsi="Arial"/>
          <w:sz w:val="19"/>
          <w:szCs w:val="19"/>
          <w:color w:val="auto"/>
        </w:rPr>
        <w:t>. Except for either adjustments pursuant to Section 3(g) or reductions of the Exercise 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160" w:lineRule="exact"/>
        <w:rPr>
          <w:rFonts w:ascii="Arial" w:cs="Arial" w:eastAsia="Arial" w:hAnsi="Arial"/>
          <w:sz w:val="19"/>
          <w:szCs w:val="19"/>
          <w:color w:val="auto"/>
        </w:rPr>
      </w:pPr>
    </w:p>
    <w:p>
      <w:pPr>
        <w:ind w:left="642" w:hanging="642"/>
        <w:spacing w:after="0"/>
        <w:tabs>
          <w:tab w:leader="none" w:pos="64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 and Exercise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42" w:hanging="655"/>
        <w:spacing w:after="0" w:line="289" w:lineRule="auto"/>
        <w:tabs>
          <w:tab w:leader="none" w:pos="1142" w:val="left"/>
        </w:tabs>
        <w:numPr>
          <w:ilvl w:val="1"/>
          <w:numId w:val="60"/>
        </w:numPr>
        <w:rPr>
          <w:rFonts w:ascii="Arial" w:cs="Arial" w:eastAsia="Arial" w:hAnsi="Arial"/>
          <w:sz w:val="19"/>
          <w:szCs w:val="19"/>
          <w:color w:val="auto"/>
        </w:rPr>
      </w:pPr>
      <w:r>
        <w:rPr>
          <w:rFonts w:ascii="Arial" w:cs="Arial" w:eastAsia="Arial" w:hAnsi="Arial"/>
          <w:sz w:val="19"/>
          <w:szCs w:val="19"/>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w:t>
      </w:r>
    </w:p>
    <w:p>
      <w:pPr>
        <w:spacing w:after="0" w:line="157" w:lineRule="exact"/>
        <w:rPr>
          <w:rFonts w:ascii="Arial" w:cs="Arial" w:eastAsia="Arial" w:hAnsi="Arial"/>
          <w:sz w:val="19"/>
          <w:szCs w:val="19"/>
          <w:color w:val="auto"/>
        </w:rPr>
      </w:pPr>
    </w:p>
    <w:p>
      <w:pPr>
        <w:ind w:left="1142" w:right="660" w:hanging="655"/>
        <w:spacing w:after="0" w:line="263" w:lineRule="auto"/>
        <w:tabs>
          <w:tab w:leader="none" w:pos="1142"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Option or Stock Appreciation Right shall be exercised by delivering the form of notice of exercise provided by Huron.</w:t>
      </w:r>
    </w:p>
    <w:p>
      <w:pPr>
        <w:spacing w:after="0" w:line="174" w:lineRule="exact"/>
        <w:rPr>
          <w:rFonts w:ascii="Arial" w:cs="Arial" w:eastAsia="Arial" w:hAnsi="Arial"/>
          <w:sz w:val="22"/>
          <w:szCs w:val="22"/>
          <w:color w:val="auto"/>
        </w:rPr>
      </w:pPr>
    </w:p>
    <w:p>
      <w:pPr>
        <w:ind w:left="1142" w:right="380" w:hanging="655"/>
        <w:spacing w:after="0" w:line="263" w:lineRule="auto"/>
        <w:tabs>
          <w:tab w:leader="none" w:pos="1142" w:val="left"/>
        </w:tabs>
        <w:numPr>
          <w:ilvl w:val="1"/>
          <w:numId w:val="60"/>
        </w:numPr>
        <w:rPr>
          <w:rFonts w:ascii="Arial" w:cs="Arial" w:eastAsia="Arial" w:hAnsi="Arial"/>
          <w:sz w:val="21"/>
          <w:szCs w:val="21"/>
          <w:color w:val="auto"/>
        </w:rPr>
      </w:pPr>
      <w:r>
        <w:rPr>
          <w:rFonts w:ascii="Arial" w:cs="Arial" w:eastAsia="Arial" w:hAnsi="Arial"/>
          <w:sz w:val="21"/>
          <w:szCs w:val="21"/>
          <w:color w:val="auto"/>
        </w:rPr>
        <w:t>Payment for shares of Common Stock purchased upon the exercise of the Option shall be made on the effective date of such exercise by one or a combination of the following means (except that in the case of exercise using a broker assisted cashless exercise, payment may be made as soon as practicable after exercise): (1) in cash or cash equivalents; (2) by tendering, by actual delivery or attestation, shares of Common Stock owned by the Participant for at least six</w:t>
      </w:r>
    </w:p>
    <w:p>
      <w:pPr>
        <w:spacing w:after="0" w:line="200" w:lineRule="exact"/>
        <w:rPr>
          <w:sz w:val="20"/>
          <w:szCs w:val="20"/>
          <w:color w:val="auto"/>
        </w:rPr>
      </w:pPr>
    </w:p>
    <w:p>
      <w:pPr>
        <w:spacing w:after="0" w:line="210" w:lineRule="exact"/>
        <w:rPr>
          <w:sz w:val="20"/>
          <w:szCs w:val="20"/>
          <w:color w:val="auto"/>
        </w:rPr>
      </w:pPr>
    </w:p>
    <w:p>
      <w:pPr>
        <w:ind w:left="480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602"/>
          </w:cols>
          <w:pgMar w:left="1058" w:top="375" w:right="239" w:bottom="1440" w:gutter="0" w:footer="0" w:header="0"/>
        </w:sectPr>
      </w:pPr>
    </w:p>
    <w:bookmarkStart w:id="111" w:name="page112"/>
    <w:bookmarkEnd w:id="111"/>
    <w:p>
      <w:pPr>
        <w:ind w:left="1142" w:right="80"/>
        <w:spacing w:after="0" w:line="302" w:lineRule="auto"/>
        <w:rPr>
          <w:sz w:val="20"/>
          <w:szCs w:val="20"/>
          <w:color w:val="auto"/>
        </w:rPr>
      </w:pPr>
      <w:r>
        <w:rPr>
          <w:rFonts w:ascii="Arial" w:cs="Arial" w:eastAsia="Arial" w:hAnsi="Arial"/>
          <w:sz w:val="19"/>
          <w:szCs w:val="19"/>
          <w:color w:val="auto"/>
        </w:rPr>
        <w:t>months prior to the date of exercise and valued at their Fair Market Value on the effective date of such exercise; or (3) by any such other methods (including broker assisted cashless exercise via a broker selected by the Committee) as the Committee may from time to time authorize; provided, however, that in all cases, the method of making such payment shall be in compliance with applicable law.</w:t>
      </w:r>
    </w:p>
    <w:p>
      <w:pPr>
        <w:spacing w:after="0" w:line="143" w:lineRule="exact"/>
        <w:rPr>
          <w:sz w:val="20"/>
          <w:szCs w:val="20"/>
          <w:color w:val="auto"/>
        </w:rPr>
      </w:pPr>
    </w:p>
    <w:p>
      <w:pPr>
        <w:ind w:left="1142" w:right="20" w:hanging="655"/>
        <w:spacing w:after="0" w:line="297" w:lineRule="auto"/>
        <w:tabs>
          <w:tab w:leader="none" w:pos="1142" w:val="left"/>
        </w:tabs>
        <w:numPr>
          <w:ilvl w:val="1"/>
          <w:numId w:val="61"/>
        </w:numPr>
        <w:rPr>
          <w:rFonts w:ascii="Arial" w:cs="Arial" w:eastAsia="Arial" w:hAnsi="Arial"/>
          <w:sz w:val="19"/>
          <w:szCs w:val="19"/>
          <w:color w:val="auto"/>
        </w:rPr>
      </w:pPr>
      <w:r>
        <w:rPr>
          <w:rFonts w:ascii="Arial" w:cs="Arial" w:eastAsia="Arial" w:hAnsi="Arial"/>
          <w:sz w:val="19"/>
          <w:szCs w:val="19"/>
          <w:color w:val="auto"/>
        </w:rPr>
        <w:t>Payment in settlement of a Stock Appreciation Right may be made solely in whole shares of Common Stock valued at their Fair Market Value on the date of exercise of the Stock Appreciation Right or alternatively, in the sole discretion of the Committee, solely in cash or a combination of cash and shares. If the Committee decides that payment will be made in shares of Common Stock, and the amount payable results in a fractional share, payment for the fractional share will be made in cash.</w:t>
      </w:r>
    </w:p>
    <w:p>
      <w:pPr>
        <w:spacing w:after="0" w:line="147" w:lineRule="exact"/>
        <w:rPr>
          <w:rFonts w:ascii="Arial" w:cs="Arial" w:eastAsia="Arial" w:hAnsi="Arial"/>
          <w:sz w:val="19"/>
          <w:szCs w:val="19"/>
          <w:color w:val="auto"/>
        </w:rPr>
      </w:pPr>
    </w:p>
    <w:p>
      <w:pPr>
        <w:ind w:left="1142" w:hanging="655"/>
        <w:spacing w:after="0" w:line="294" w:lineRule="auto"/>
        <w:tabs>
          <w:tab w:leader="none" w:pos="1142" w:val="left"/>
        </w:tabs>
        <w:numPr>
          <w:ilvl w:val="1"/>
          <w:numId w:val="61"/>
        </w:numPr>
        <w:rPr>
          <w:rFonts w:ascii="Arial" w:cs="Arial" w:eastAsia="Arial" w:hAnsi="Arial"/>
          <w:sz w:val="19"/>
          <w:szCs w:val="19"/>
          <w:color w:val="auto"/>
        </w:rPr>
      </w:pPr>
      <w:r>
        <w:rPr>
          <w:rFonts w:ascii="Arial" w:cs="Arial" w:eastAsia="Arial" w:hAnsi="Arial"/>
          <w:sz w:val="19"/>
          <w:szCs w:val="19"/>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149" w:lineRule="exact"/>
        <w:rPr>
          <w:rFonts w:ascii="Arial" w:cs="Arial" w:eastAsia="Arial" w:hAnsi="Arial"/>
          <w:sz w:val="19"/>
          <w:szCs w:val="19"/>
          <w:color w:val="auto"/>
        </w:rPr>
      </w:pPr>
    </w:p>
    <w:p>
      <w:pPr>
        <w:ind w:left="642" w:right="40" w:hanging="642"/>
        <w:spacing w:after="0" w:line="288" w:lineRule="auto"/>
        <w:tabs>
          <w:tab w:leader="none" w:pos="64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Provisions Relating to Incentive Stock Options</w:t>
      </w:r>
      <w:r>
        <w:rPr>
          <w:rFonts w:ascii="Arial" w:cs="Arial" w:eastAsia="Arial" w:hAnsi="Arial"/>
          <w:sz w:val="19"/>
          <w:szCs w:val="19"/>
          <w:color w:val="auto"/>
        </w:rPr>
        <w:t>. Incentive Stock Options may only be granted to employees of Huron and its Subsidiaries, in accordance with the provisions of Section 422 of the Code. To the extent that the aggregate Fair Market Value of shares of Common Stock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 (i) the exercise price of such Incentive Stock Option is at least 110% of the Fair Market Value of a share of Common Stock at the time such Incentive Stock Option is granted and</w:t>
      </w:r>
    </w:p>
    <w:p>
      <w:pPr>
        <w:spacing w:after="0" w:line="389" w:lineRule="exact"/>
        <w:rPr>
          <w:sz w:val="20"/>
          <w:szCs w:val="20"/>
          <w:color w:val="auto"/>
        </w:rPr>
      </w:pPr>
    </w:p>
    <w:p>
      <w:pPr>
        <w:ind w:left="4802"/>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542"/>
          </w:cols>
          <w:pgMar w:left="1058" w:top="375" w:right="299" w:bottom="1440" w:gutter="0" w:footer="0" w:header="0"/>
        </w:sectPr>
      </w:pPr>
    </w:p>
    <w:bookmarkStart w:id="112" w:name="page113"/>
    <w:bookmarkEnd w:id="112"/>
    <w:p>
      <w:pPr>
        <w:jc w:val="both"/>
        <w:ind w:left="642" w:right="220"/>
        <w:spacing w:after="0" w:line="302" w:lineRule="auto"/>
        <w:rPr>
          <w:sz w:val="20"/>
          <w:szCs w:val="20"/>
          <w:color w:val="auto"/>
        </w:rPr>
      </w:pPr>
      <w:r>
        <w:rPr>
          <w:rFonts w:ascii="Arial" w:cs="Arial" w:eastAsia="Arial" w:hAnsi="Arial"/>
          <w:sz w:val="19"/>
          <w:szCs w:val="19"/>
          <w:color w:val="auto"/>
        </w:rPr>
        <w:t>(ii)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142" w:lineRule="exact"/>
        <w:rPr>
          <w:sz w:val="20"/>
          <w:szCs w:val="20"/>
          <w:color w:val="auto"/>
        </w:rPr>
      </w:pPr>
    </w:p>
    <w:p>
      <w:pPr>
        <w:ind w:left="642" w:right="160" w:hanging="642"/>
        <w:spacing w:after="0" w:line="250" w:lineRule="auto"/>
        <w:tabs>
          <w:tab w:leader="none" w:pos="64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Employment or Provision of Services on Options and Stock Appreciation Rights</w:t>
      </w:r>
      <w:r>
        <w:rPr>
          <w:rFonts w:ascii="Arial" w:cs="Arial" w:eastAsia="Arial" w:hAnsi="Arial"/>
          <w:sz w:val="22"/>
          <w:szCs w:val="22"/>
          <w:color w:val="auto"/>
        </w:rPr>
        <w:t>. The Committee shall determine the effect of termination of employment or termination of service on each Option and Stock Appreciation Right, subject to the terms and conditions of the Plan. Unless otherwise provided by the Committee:</w:t>
      </w:r>
    </w:p>
    <w:p>
      <w:pPr>
        <w:spacing w:after="0" w:line="188" w:lineRule="exact"/>
        <w:rPr>
          <w:rFonts w:ascii="Arial" w:cs="Arial" w:eastAsia="Arial" w:hAnsi="Arial"/>
          <w:sz w:val="22"/>
          <w:szCs w:val="22"/>
          <w:color w:val="auto"/>
        </w:rPr>
      </w:pPr>
    </w:p>
    <w:p>
      <w:pPr>
        <w:ind w:left="1142" w:right="80" w:hanging="655"/>
        <w:spacing w:after="0" w:line="302" w:lineRule="auto"/>
        <w:tabs>
          <w:tab w:leader="none" w:pos="11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142" w:lineRule="exact"/>
        <w:rPr>
          <w:rFonts w:ascii="Arial" w:cs="Arial" w:eastAsia="Arial" w:hAnsi="Arial"/>
          <w:sz w:val="19"/>
          <w:szCs w:val="19"/>
          <w:color w:val="auto"/>
        </w:rPr>
      </w:pPr>
    </w:p>
    <w:p>
      <w:pPr>
        <w:ind w:left="1142" w:right="80" w:hanging="655"/>
        <w:spacing w:after="0" w:line="312" w:lineRule="auto"/>
        <w:tabs>
          <w:tab w:leader="none" w:pos="11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 and</w:t>
      </w:r>
    </w:p>
    <w:p>
      <w:pPr>
        <w:spacing w:after="0" w:line="133" w:lineRule="exact"/>
        <w:rPr>
          <w:rFonts w:ascii="Arial" w:cs="Arial" w:eastAsia="Arial" w:hAnsi="Arial"/>
          <w:sz w:val="19"/>
          <w:szCs w:val="19"/>
          <w:color w:val="auto"/>
        </w:rPr>
      </w:pPr>
    </w:p>
    <w:p>
      <w:pPr>
        <w:ind w:left="1142" w:right="180" w:hanging="655"/>
        <w:spacing w:after="0" w:line="286" w:lineRule="auto"/>
        <w:tabs>
          <w:tab w:leader="none" w:pos="11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Option or Stock Appreciation Right that is outstanding on the date that a Participant’s employment or service with Huron and the Affiliates terminates for any reason other than Cause, death, or the Participant’s being Disabled, (1) shall remain exercisable for the 90 day period following such termination to the extent that it is exercisable at the time of such termination, but in no event following the expiration of its term and</w:t>
      </w:r>
    </w:p>
    <w:p>
      <w:pPr>
        <w:spacing w:after="0" w:line="2" w:lineRule="exact"/>
        <w:rPr>
          <w:rFonts w:ascii="Arial" w:cs="Arial" w:eastAsia="Arial" w:hAnsi="Arial"/>
          <w:sz w:val="19"/>
          <w:szCs w:val="19"/>
          <w:color w:val="auto"/>
        </w:rPr>
      </w:pPr>
    </w:p>
    <w:p>
      <w:pPr>
        <w:ind w:left="1142" w:right="140"/>
        <w:spacing w:after="0" w:line="246" w:lineRule="auto"/>
        <w:rPr>
          <w:rFonts w:ascii="Arial" w:cs="Arial" w:eastAsia="Arial" w:hAnsi="Arial"/>
          <w:sz w:val="19"/>
          <w:szCs w:val="19"/>
          <w:color w:val="auto"/>
        </w:rPr>
      </w:pPr>
      <w:r>
        <w:rPr>
          <w:rFonts w:ascii="Arial" w:cs="Arial" w:eastAsia="Arial" w:hAnsi="Arial"/>
          <w:sz w:val="22"/>
          <w:szCs w:val="22"/>
          <w:color w:val="auto"/>
        </w:rPr>
        <w:t>(2) shall be terminated effective as of the date of termination to the extent it remains unexercisable as of the date of termination; and</w:t>
      </w:r>
    </w:p>
    <w:p>
      <w:pPr>
        <w:spacing w:after="0" w:line="192" w:lineRule="exact"/>
        <w:rPr>
          <w:rFonts w:ascii="Arial" w:cs="Arial" w:eastAsia="Arial" w:hAnsi="Arial"/>
          <w:sz w:val="19"/>
          <w:szCs w:val="19"/>
          <w:color w:val="auto"/>
        </w:rPr>
      </w:pPr>
    </w:p>
    <w:p>
      <w:pPr>
        <w:ind w:left="1142" w:hanging="655"/>
        <w:spacing w:after="0" w:line="297" w:lineRule="auto"/>
        <w:tabs>
          <w:tab w:leader="none" w:pos="11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with respect to any Participant who is an employee of Huron or any Affiliate and who is in a position of corporate vice president, managing director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w:t>
      </w:r>
    </w:p>
    <w:p>
      <w:pPr>
        <w:spacing w:after="0" w:line="381" w:lineRule="exact"/>
        <w:rPr>
          <w:sz w:val="20"/>
          <w:szCs w:val="20"/>
          <w:color w:val="auto"/>
        </w:rPr>
      </w:pPr>
    </w:p>
    <w:p>
      <w:pPr>
        <w:ind w:left="4802"/>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582"/>
          </w:cols>
          <w:pgMar w:left="1058" w:top="375" w:right="259" w:bottom="1440" w:gutter="0" w:footer="0" w:header="0"/>
        </w:sectPr>
      </w:pPr>
    </w:p>
    <w:bookmarkStart w:id="113" w:name="page114"/>
    <w:bookmarkEnd w:id="113"/>
    <w:p>
      <w:pPr>
        <w:ind w:left="1960" w:right="140"/>
        <w:spacing w:after="0" w:line="250" w:lineRule="auto"/>
        <w:rPr>
          <w:sz w:val="20"/>
          <w:szCs w:val="20"/>
          <w:color w:val="auto"/>
        </w:rPr>
      </w:pPr>
      <w:r>
        <w:rPr>
          <w:rFonts w:ascii="Arial" w:cs="Arial" w:eastAsia="Arial" w:hAnsi="Arial"/>
          <w:sz w:val="22"/>
          <w:szCs w:val="22"/>
          <w:color w:val="auto"/>
        </w:rPr>
        <w:t>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w:t>
      </w:r>
    </w:p>
    <w:p>
      <w:pPr>
        <w:spacing w:after="0" w:line="188" w:lineRule="exact"/>
        <w:rPr>
          <w:sz w:val="20"/>
          <w:szCs w:val="20"/>
          <w:color w:val="auto"/>
        </w:rPr>
      </w:pPr>
    </w:p>
    <w:p>
      <w:pPr>
        <w:ind w:left="1460" w:right="120" w:hanging="642"/>
        <w:spacing w:after="0" w:line="292" w:lineRule="auto"/>
        <w:tabs>
          <w:tab w:leader="none" w:pos="146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Unless otherwise provided by the Committee and, with respect to Incentive Stock Options, to the extent 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outstanding Options and Stock Appreciation Rights under the Plan during the first 30 days of such leave of absence; and (iii) the Participant shall cease to vest in his outstanding Options and Stock Appreciation Rights under the Plan during any period of such leave of absence which exceeds 30 days.</w:t>
      </w:r>
    </w:p>
    <w:p>
      <w:pPr>
        <w:spacing w:after="0" w:line="151" w:lineRule="exact"/>
        <w:rPr>
          <w:rFonts w:ascii="Arial" w:cs="Arial" w:eastAsia="Arial" w:hAnsi="Arial"/>
          <w:sz w:val="19"/>
          <w:szCs w:val="19"/>
          <w:color w:val="auto"/>
        </w:rPr>
      </w:pPr>
    </w:p>
    <w:p>
      <w:pPr>
        <w:ind w:left="1460" w:hanging="642"/>
        <w:spacing w:after="0" w:line="261" w:lineRule="auto"/>
        <w:tabs>
          <w:tab w:leader="none" w:pos="1460"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Post-Exercise Limitations</w:t>
      </w:r>
      <w:r>
        <w:rPr>
          <w:rFonts w:ascii="Arial" w:cs="Arial" w:eastAsia="Arial" w:hAnsi="Arial"/>
          <w:sz w:val="21"/>
          <w:szCs w:val="21"/>
          <w:color w:val="auto"/>
        </w:rPr>
        <w:t>. Without otherwise limiting the Committee’s authority under the Plan, the Committee, in its 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74" w:lineRule="exact"/>
        <w:rPr>
          <w:rFonts w:ascii="Arial" w:cs="Arial" w:eastAsia="Arial" w:hAnsi="Arial"/>
          <w:sz w:val="21"/>
          <w:szCs w:val="21"/>
          <w:color w:val="auto"/>
        </w:rPr>
      </w:pPr>
    </w:p>
    <w:p>
      <w:pPr>
        <w:ind w:left="660" w:hanging="652"/>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Full Value Awards and Cash Incentive Awards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60" w:right="860" w:hanging="642"/>
        <w:spacing w:after="0" w:line="263" w:lineRule="auto"/>
        <w:tabs>
          <w:tab w:leader="none" w:pos="146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Grant of Awards</w:t>
      </w:r>
      <w:r>
        <w:rPr>
          <w:rFonts w:ascii="Arial" w:cs="Arial" w:eastAsia="Arial" w:hAnsi="Arial"/>
          <w:sz w:val="22"/>
          <w:szCs w:val="22"/>
          <w:color w:val="auto"/>
        </w:rPr>
        <w:t>. The Committee may grant Full Value Awards and/or Cash Incentive Awards to Eligible Individuals, subject to the terms and conditions of the Plan.</w:t>
      </w:r>
    </w:p>
    <w:p>
      <w:pPr>
        <w:spacing w:after="0" w:line="174" w:lineRule="exact"/>
        <w:rPr>
          <w:rFonts w:ascii="Arial" w:cs="Arial" w:eastAsia="Arial" w:hAnsi="Arial"/>
          <w:sz w:val="22"/>
          <w:szCs w:val="22"/>
          <w:color w:val="auto"/>
        </w:rPr>
      </w:pPr>
    </w:p>
    <w:p>
      <w:pPr>
        <w:ind w:left="1460" w:right="100" w:hanging="642"/>
        <w:spacing w:after="0" w:line="292" w:lineRule="auto"/>
        <w:tabs>
          <w:tab w:leader="none" w:pos="146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Special Vesting Rules for Full Value Awards</w:t>
      </w:r>
      <w:r>
        <w:rPr>
          <w:rFonts w:ascii="Arial" w:cs="Arial" w:eastAsia="Arial" w:hAnsi="Arial"/>
          <w:sz w:val="19"/>
          <w:szCs w:val="19"/>
          <w:color w:val="auto"/>
        </w:rPr>
        <w:t>. Notwithstanding any other provision of the Plan or an Agreement to the contrary (other than Section 8(c)(i)), except for (i) Awards (when aggregated with all other Awards under the Plan) which do not exceed 5% of the total number of shares of Common Stock reserved for issuance under the Plan in the aggregate, (ii) grants made to newly eligible Participants to replace awards from a prior employer, and (iii) grants that are a form of payment of earned performance awards, (1) if an employee’s right to become vested in a Full Value Award is conditioned on the completion of a specified period of service with Huron or the Affiliates, without achievement of performance targets or other performance objectives (whether or not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75" w:right="239" w:bottom="1440" w:gutter="0" w:footer="0" w:header="0"/>
        </w:sectPr>
      </w:pPr>
    </w:p>
    <w:bookmarkStart w:id="114" w:name="page115"/>
    <w:bookmarkEnd w:id="114"/>
    <w:p>
      <w:pPr>
        <w:ind w:left="642" w:right="140"/>
        <w:spacing w:after="0" w:line="248" w:lineRule="auto"/>
        <w:rPr>
          <w:sz w:val="20"/>
          <w:szCs w:val="20"/>
          <w:color w:val="auto"/>
        </w:rPr>
      </w:pPr>
      <w:r>
        <w:rPr>
          <w:rFonts w:ascii="Arial" w:cs="Arial" w:eastAsia="Arial" w:hAnsi="Arial"/>
          <w:sz w:val="22"/>
          <w:szCs w:val="22"/>
          <w:color w:val="auto"/>
        </w:rPr>
        <w:t>related to performance measures) being required as a condition of vesting, and without it being granted in lieu of other compensation, then in no event shall the required period of service for full vesting be less than three years (subject, to the extent provided by the Committee, to prorated vesting over the course of such three year period and to acceleration of vesting in the event of the Participant’s death, Disability, Retirement, Change of Control or involuntary termination).</w:t>
      </w:r>
    </w:p>
    <w:p>
      <w:pPr>
        <w:spacing w:after="0" w:line="192" w:lineRule="exact"/>
        <w:rPr>
          <w:sz w:val="20"/>
          <w:szCs w:val="20"/>
          <w:color w:val="auto"/>
        </w:rPr>
      </w:pPr>
    </w:p>
    <w:p>
      <w:pPr>
        <w:ind w:left="642" w:right="120" w:hanging="642"/>
        <w:spacing w:after="0" w:line="271" w:lineRule="auto"/>
        <w:tabs>
          <w:tab w:leader="none" w:pos="642"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Effect of Termination of Employment or Provision of Services on Full Value Awards</w:t>
      </w:r>
      <w:r>
        <w:rPr>
          <w:rFonts w:ascii="Arial" w:cs="Arial" w:eastAsia="Arial" w:hAnsi="Arial"/>
          <w:sz w:val="21"/>
          <w:szCs w:val="21"/>
          <w:color w:val="auto"/>
        </w:rPr>
        <w:t>. The Committee shall determine the effect of termination of employment or termination of service on each Full Value Award, subject to the terms and conditions of the Plan. Unless otherwise provided by the Committee:</w:t>
      </w:r>
    </w:p>
    <w:p>
      <w:pPr>
        <w:spacing w:after="0" w:line="167" w:lineRule="exact"/>
        <w:rPr>
          <w:rFonts w:ascii="Arial" w:cs="Arial" w:eastAsia="Arial" w:hAnsi="Arial"/>
          <w:sz w:val="21"/>
          <w:szCs w:val="21"/>
          <w:color w:val="auto"/>
        </w:rPr>
      </w:pPr>
    </w:p>
    <w:p>
      <w:pPr>
        <w:ind w:left="1142" w:right="300" w:hanging="655"/>
        <w:spacing w:after="0" w:line="302" w:lineRule="auto"/>
        <w:tabs>
          <w:tab w:leader="none" w:pos="114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142" w:lineRule="exact"/>
        <w:rPr>
          <w:rFonts w:ascii="Arial" w:cs="Arial" w:eastAsia="Arial" w:hAnsi="Arial"/>
          <w:sz w:val="19"/>
          <w:szCs w:val="19"/>
          <w:color w:val="auto"/>
        </w:rPr>
      </w:pPr>
    </w:p>
    <w:p>
      <w:pPr>
        <w:ind w:left="1142" w:hanging="655"/>
        <w:spacing w:after="0" w:line="302" w:lineRule="auto"/>
        <w:tabs>
          <w:tab w:leader="none" w:pos="114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spacing w:after="0" w:line="142" w:lineRule="exact"/>
        <w:rPr>
          <w:rFonts w:ascii="Arial" w:cs="Arial" w:eastAsia="Arial" w:hAnsi="Arial"/>
          <w:sz w:val="19"/>
          <w:szCs w:val="19"/>
          <w:color w:val="auto"/>
        </w:rPr>
      </w:pPr>
    </w:p>
    <w:p>
      <w:pPr>
        <w:ind w:left="1142" w:right="160" w:hanging="655"/>
        <w:spacing w:after="0" w:line="302" w:lineRule="auto"/>
        <w:tabs>
          <w:tab w:leader="none" w:pos="114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any Full Value Award that is outstanding on the date that a Participant’s employment or service with Huron and the Affiliates terminates for any reason other than Cause, death, the Participant’s being Disabled or Retirement and that has not vested on the date of termination (and all rights with respect thereto, such as dividends or dividend equivalents) shall be terminated effective as of the date of termination; and</w:t>
      </w:r>
    </w:p>
    <w:p>
      <w:pPr>
        <w:spacing w:after="0" w:line="142" w:lineRule="exact"/>
        <w:rPr>
          <w:rFonts w:ascii="Arial" w:cs="Arial" w:eastAsia="Arial" w:hAnsi="Arial"/>
          <w:sz w:val="19"/>
          <w:szCs w:val="19"/>
          <w:color w:val="auto"/>
        </w:rPr>
      </w:pPr>
    </w:p>
    <w:p>
      <w:pPr>
        <w:ind w:left="1142" w:right="20" w:hanging="655"/>
        <w:spacing w:after="0" w:line="297" w:lineRule="auto"/>
        <w:tabs>
          <w:tab w:leader="none" w:pos="1142" w:val="left"/>
        </w:tabs>
        <w:numPr>
          <w:ilvl w:val="1"/>
          <w:numId w:val="66"/>
        </w:numPr>
        <w:rPr>
          <w:rFonts w:ascii="Arial" w:cs="Arial" w:eastAsia="Arial" w:hAnsi="Arial"/>
          <w:sz w:val="19"/>
          <w:szCs w:val="19"/>
          <w:color w:val="auto"/>
        </w:rPr>
      </w:pPr>
      <w:r>
        <w:rPr>
          <w:rFonts w:ascii="Arial" w:cs="Arial" w:eastAsia="Arial" w:hAnsi="Arial"/>
          <w:sz w:val="19"/>
          <w:szCs w:val="19"/>
          <w:color w:val="auto"/>
        </w:rPr>
        <w:t>with respect to any Participant who is an employee of Huron or any Affiliate and who is in a position of corporate vice president, managing director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 with the terms</w:t>
      </w:r>
    </w:p>
    <w:p>
      <w:pPr>
        <w:spacing w:after="0" w:line="381" w:lineRule="exact"/>
        <w:rPr>
          <w:sz w:val="20"/>
          <w:szCs w:val="20"/>
          <w:color w:val="auto"/>
        </w:rPr>
      </w:pPr>
    </w:p>
    <w:p>
      <w:pPr>
        <w:ind w:left="4802"/>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562"/>
          </w:cols>
          <w:pgMar w:left="1058" w:top="375" w:right="279" w:bottom="1440" w:gutter="0" w:footer="0" w:header="0"/>
        </w:sectPr>
      </w:pPr>
    </w:p>
    <w:bookmarkStart w:id="115" w:name="page116"/>
    <w:bookmarkEnd w:id="115"/>
    <w:p>
      <w:pPr>
        <w:ind w:left="1952" w:right="20"/>
        <w:spacing w:after="0" w:line="312" w:lineRule="auto"/>
        <w:rPr>
          <w:sz w:val="20"/>
          <w:szCs w:val="20"/>
          <w:color w:val="auto"/>
        </w:rPr>
      </w:pPr>
      <w:r>
        <w:rPr>
          <w:rFonts w:ascii="Arial" w:cs="Arial" w:eastAsia="Arial" w:hAnsi="Arial"/>
          <w:sz w:val="19"/>
          <w:szCs w:val="19"/>
          <w:color w:val="auto"/>
        </w:rPr>
        <w:t>of the non-competition agreement and non-solicitation agreement in the form determined by Huron and signed by the Participant; provided further, however, that the foregoing provisions of this paragraph (iv) shall not apply with respect to any Full Value Award that is subject to Section 409A of the Code.</w:t>
      </w:r>
    </w:p>
    <w:p>
      <w:pPr>
        <w:spacing w:after="0" w:line="134" w:lineRule="exact"/>
        <w:rPr>
          <w:sz w:val="20"/>
          <w:szCs w:val="20"/>
          <w:color w:val="auto"/>
        </w:rPr>
      </w:pPr>
    </w:p>
    <w:p>
      <w:pPr>
        <w:ind w:left="1452" w:right="180" w:hanging="642"/>
        <w:spacing w:after="0" w:line="294" w:lineRule="auto"/>
        <w:tabs>
          <w:tab w:leader="none" w:pos="1452"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Unless otherwise provided by the Committee,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outstanding Full Value Awards under the Plan during the first 30 days of such leave of absence; and (iii) the Participant shall cease to vest in his outstanding Full Value Awards under the Plan during any period of such leave of absence which exceeds 30 days.</w:t>
      </w:r>
    </w:p>
    <w:p>
      <w:pPr>
        <w:spacing w:after="0" w:line="149" w:lineRule="exact"/>
        <w:rPr>
          <w:rFonts w:ascii="Arial" w:cs="Arial" w:eastAsia="Arial" w:hAnsi="Arial"/>
          <w:sz w:val="19"/>
          <w:szCs w:val="19"/>
          <w:color w:val="auto"/>
        </w:rPr>
      </w:pPr>
    </w:p>
    <w:p>
      <w:pPr>
        <w:ind w:left="1452" w:right="160" w:hanging="642"/>
        <w:spacing w:after="0" w:line="261" w:lineRule="auto"/>
        <w:tabs>
          <w:tab w:leader="none" w:pos="1452"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Without otherwise limiting the Committee’s authority under the Plan, the Committee, in its discretion, may 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74" w:lineRule="exact"/>
        <w:rPr>
          <w:rFonts w:ascii="Arial" w:cs="Arial" w:eastAsia="Arial" w:hAnsi="Arial"/>
          <w:sz w:val="21"/>
          <w:szCs w:val="21"/>
          <w:color w:val="auto"/>
        </w:rPr>
      </w:pPr>
    </w:p>
    <w:p>
      <w:pPr>
        <w:ind w:left="652" w:right="60" w:hanging="652"/>
        <w:spacing w:after="0" w:line="249" w:lineRule="auto"/>
        <w:tabs>
          <w:tab w:leader="none" w:pos="652"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Performance-Based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designate any Full Value Award or a Cash Incentive Award</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to a Participant under the Plan as “Performance-Based Compensation” within the meaning of Section 162(m) of the Code and regulations thereunder. To the extent required by Section 162(m) of the Code, any such Award so designated shall be conditioned on the achievement of one or more performance targets as determined by the Committee and the following shall apply:</w:t>
      </w:r>
    </w:p>
    <w:p>
      <w:pPr>
        <w:spacing w:after="0" w:line="192" w:lineRule="exact"/>
        <w:rPr>
          <w:rFonts w:ascii="Arial" w:cs="Arial" w:eastAsia="Arial" w:hAnsi="Arial"/>
          <w:sz w:val="22"/>
          <w:szCs w:val="22"/>
          <w:b w:val="1"/>
          <w:bCs w:val="1"/>
          <w:color w:val="auto"/>
        </w:rPr>
      </w:pPr>
    </w:p>
    <w:p>
      <w:pPr>
        <w:ind w:left="1452" w:hanging="642"/>
        <w:spacing w:after="0" w:line="246" w:lineRule="auto"/>
        <w:tabs>
          <w:tab w:leader="none" w:pos="1452"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Establishment of Performance Criteria</w:t>
      </w:r>
      <w:r>
        <w:rPr>
          <w:rFonts w:ascii="Arial" w:cs="Arial" w:eastAsia="Arial" w:hAnsi="Arial"/>
          <w:sz w:val="22"/>
          <w:szCs w:val="22"/>
          <w:color w:val="auto"/>
        </w:rPr>
        <w:t>. The performance targets established for the performance period established by the 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12"/>
          </w:cols>
          <w:pgMar w:left="248" w:top="375" w:right="239" w:bottom="1440" w:gutter="0" w:footer="0" w:header="0"/>
        </w:sectPr>
      </w:pPr>
    </w:p>
    <w:bookmarkStart w:id="116" w:name="page117"/>
    <w:bookmarkEnd w:id="116"/>
    <w:p>
      <w:pPr>
        <w:ind w:left="1452"/>
        <w:spacing w:after="0"/>
        <w:rPr>
          <w:sz w:val="20"/>
          <w:szCs w:val="20"/>
          <w:color w:val="auto"/>
        </w:rPr>
      </w:pPr>
      <w:r>
        <w:rPr>
          <w:rFonts w:ascii="Arial" w:cs="Arial" w:eastAsia="Arial" w:hAnsi="Arial"/>
          <w:sz w:val="19"/>
          <w:szCs w:val="19"/>
          <w:color w:val="auto"/>
        </w:rPr>
        <w:t>individual performance, or division performance, and shall be based on one or more of the Business Criteria.</w:t>
      </w:r>
    </w:p>
    <w:p>
      <w:pPr>
        <w:spacing w:after="0" w:line="254" w:lineRule="exact"/>
        <w:rPr>
          <w:sz w:val="20"/>
          <w:szCs w:val="20"/>
          <w:color w:val="auto"/>
        </w:rPr>
      </w:pPr>
    </w:p>
    <w:p>
      <w:pPr>
        <w:ind w:left="1452" w:hanging="642"/>
        <w:spacing w:after="0" w:line="263" w:lineRule="auto"/>
        <w:tabs>
          <w:tab w:leader="none" w:pos="1452"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Certification of Targets</w:t>
      </w:r>
      <w:r>
        <w:rPr>
          <w:rFonts w:ascii="Arial" w:cs="Arial" w:eastAsia="Arial" w:hAnsi="Arial"/>
          <w:sz w:val="21"/>
          <w:szCs w:val="21"/>
          <w:color w:val="auto"/>
        </w:rPr>
        <w:t>. A Participant otherwise entitled to receive a Performance-Based Compensation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175" w:lineRule="exact"/>
        <w:rPr>
          <w:rFonts w:ascii="Arial" w:cs="Arial" w:eastAsia="Arial" w:hAnsi="Arial"/>
          <w:sz w:val="21"/>
          <w:szCs w:val="21"/>
          <w:color w:val="auto"/>
        </w:rPr>
      </w:pPr>
    </w:p>
    <w:p>
      <w:pPr>
        <w:ind w:left="1452" w:hanging="642"/>
        <w:spacing w:after="0" w:line="297" w:lineRule="auto"/>
        <w:tabs>
          <w:tab w:leader="none" w:pos="145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Special Termination Rules</w:t>
      </w:r>
      <w:r>
        <w:rPr>
          <w:rFonts w:ascii="Arial" w:cs="Arial" w:eastAsia="Arial" w:hAnsi="Arial"/>
          <w:sz w:val="19"/>
          <w:szCs w:val="19"/>
          <w:color w:val="auto"/>
        </w:rPr>
        <w:t>. Subject to the other terms and conditions of the Plan, if an Award is intended to constitute 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w:t>
      </w:r>
    </w:p>
    <w:p>
      <w:pPr>
        <w:spacing w:after="0" w:line="147" w:lineRule="exact"/>
        <w:rPr>
          <w:sz w:val="20"/>
          <w:szCs w:val="20"/>
          <w:color w:val="auto"/>
        </w:rPr>
      </w:pPr>
    </w:p>
    <w:p>
      <w:pPr>
        <w:ind w:left="812" w:right="20"/>
        <w:spacing w:after="0" w:line="260" w:lineRule="auto"/>
        <w:rPr>
          <w:sz w:val="20"/>
          <w:szCs w:val="20"/>
          <w:color w:val="auto"/>
        </w:rPr>
      </w:pPr>
      <w:r>
        <w:rPr>
          <w:rFonts w:ascii="Arial" w:cs="Arial" w:eastAsia="Arial" w:hAnsi="Arial"/>
          <w:sz w:val="21"/>
          <w:szCs w:val="21"/>
          <w:color w:val="auto"/>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 provisions of this Section 9 reflect the requirements applicable to Performance-Based Compensation, such provisions shall not apply to the portion of an Award, if any, that is not intended to constitute Performance-Based Compensation.</w:t>
      </w:r>
    </w:p>
    <w:p>
      <w:pPr>
        <w:spacing w:after="0" w:line="175" w:lineRule="exact"/>
        <w:rPr>
          <w:sz w:val="20"/>
          <w:szCs w:val="20"/>
          <w:color w:val="auto"/>
        </w:rPr>
      </w:pPr>
    </w:p>
    <w:p>
      <w:pPr>
        <w:ind w:left="652" w:right="60" w:hanging="652"/>
        <w:spacing w:after="0" w:line="290" w:lineRule="auto"/>
        <w:tabs>
          <w:tab w:leader="none" w:pos="652"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in an Agreement or an Alternative Agreement, in the event that (a)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is employed on the 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all Options and Stock Appreciation Rights which are then outstanding shall become immediately exercisable and all other Awards shall become fully vested. If, (i) upon a Change of Control, awards in other shares or securities are substituted for outstanding Awards under the Plan and immediately following the Change of Control the Participant becomes employed (if the Participant was an employee immediately prior to the Change of Control)</w:t>
      </w:r>
    </w:p>
    <w:p>
      <w:pPr>
        <w:spacing w:after="0" w:line="390"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352"/>
          </w:cols>
          <w:pgMar w:left="248" w:top="375" w:right="299" w:bottom="1440" w:gutter="0" w:footer="0" w:header="0"/>
        </w:sectPr>
      </w:pPr>
    </w:p>
    <w:bookmarkStart w:id="117" w:name="page118"/>
    <w:bookmarkEnd w:id="117"/>
    <w:p>
      <w:pPr>
        <w:ind w:left="652" w:right="20"/>
        <w:spacing w:after="0" w:line="258" w:lineRule="auto"/>
        <w:rPr>
          <w:sz w:val="20"/>
          <w:szCs w:val="20"/>
          <w:color w:val="auto"/>
        </w:rPr>
      </w:pPr>
      <w:r>
        <w:rPr>
          <w:rFonts w:ascii="Arial" w:cs="Arial" w:eastAsia="Arial" w:hAnsi="Arial"/>
          <w:sz w:val="21"/>
          <w:szCs w:val="21"/>
          <w:color w:val="auto"/>
        </w:rPr>
        <w:t>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 Participant shall not be treated as having terminated employment or service for purposes of this Section 10 until such time as the Participant terminates employment or service with the merged entity or purchaser (or successor), as applicable, and (ii) if, in connection with a Change of Control,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if the Participant does not accept the offer of employment and if, as a result, the Participant’s employment with Huron, the Affiliates and their respective successors is terminated, the Participant shall not be treated as having a termination of employment for purposes of this Section 10.</w:t>
      </w:r>
    </w:p>
    <w:p>
      <w:pPr>
        <w:spacing w:after="0" w:line="177" w:lineRule="exact"/>
        <w:rPr>
          <w:sz w:val="20"/>
          <w:szCs w:val="20"/>
          <w:color w:val="auto"/>
        </w:rPr>
      </w:pPr>
    </w:p>
    <w:p>
      <w:pPr>
        <w:ind w:left="652" w:right="40" w:hanging="652"/>
        <w:spacing w:after="0" w:line="298" w:lineRule="auto"/>
        <w:tabs>
          <w:tab w:leader="none" w:pos="652"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r>
        <w:rPr>
          <w:rFonts w:ascii="Arial" w:cs="Arial" w:eastAsia="Arial" w:hAnsi="Arial"/>
          <w:sz w:val="19"/>
          <w:szCs w:val="19"/>
          <w:b w:val="1"/>
          <w:bCs w:val="1"/>
          <w:color w:val="auto"/>
        </w:rPr>
        <w:t xml:space="preserve">. </w:t>
      </w:r>
      <w:r>
        <w:rPr>
          <w:rFonts w:ascii="Arial" w:cs="Arial" w:eastAsia="Arial" w:hAnsi="Arial"/>
          <w:sz w:val="19"/>
          <w:szCs w:val="19"/>
          <w:color w:val="auto"/>
        </w:rPr>
        <w:t>No person shall have any rights as a stockholder with respect to any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by or relating to any Award until the date of issuance of a stock certificate with respect to such shares or the date of crediting such shares to such person’s account via book-entry transfer. Except for adjustments pursuant to Section 3(g), no adjustment to any Award shall be made for dividends or other rights for which the record date occurs prior to the date such stock certificate is issued or credit via book-entry transfer is made.</w:t>
      </w:r>
    </w:p>
    <w:p>
      <w:pPr>
        <w:spacing w:after="0" w:line="142" w:lineRule="exact"/>
        <w:rPr>
          <w:rFonts w:ascii="Arial" w:cs="Arial" w:eastAsia="Arial" w:hAnsi="Arial"/>
          <w:sz w:val="19"/>
          <w:szCs w:val="19"/>
          <w:b w:val="1"/>
          <w:bCs w:val="1"/>
          <w:color w:val="auto"/>
        </w:rPr>
      </w:pPr>
    </w:p>
    <w:p>
      <w:pPr>
        <w:ind w:left="652" w:hanging="652"/>
        <w:spacing w:after="0"/>
        <w:tabs>
          <w:tab w:leader="none" w:pos="65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Limitations of Implied Rights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hanging="642"/>
        <w:spacing w:after="0" w:line="248" w:lineRule="auto"/>
        <w:tabs>
          <w:tab w:leader="none" w:pos="1452"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No Right to Employment or Continued Service</w:t>
      </w:r>
      <w:r>
        <w:rPr>
          <w:rFonts w:ascii="Arial" w:cs="Arial" w:eastAsia="Arial" w:hAnsi="Arial"/>
          <w:sz w:val="22"/>
          <w:szCs w:val="22"/>
          <w:color w:val="auto"/>
        </w:rPr>
        <w:t>. Nothing contained in the Plan or any Agreement shall confer upon any 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192" w:lineRule="exact"/>
        <w:rPr>
          <w:rFonts w:ascii="Arial" w:cs="Arial" w:eastAsia="Arial" w:hAnsi="Arial"/>
          <w:sz w:val="22"/>
          <w:szCs w:val="22"/>
          <w:color w:val="auto"/>
        </w:rPr>
      </w:pPr>
    </w:p>
    <w:p>
      <w:pPr>
        <w:ind w:left="1452" w:hanging="642"/>
        <w:spacing w:after="0" w:line="250" w:lineRule="auto"/>
        <w:tabs>
          <w:tab w:leader="none" w:pos="1452"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No Claim to Award</w:t>
      </w:r>
      <w:r>
        <w:rPr>
          <w:rFonts w:ascii="Arial" w:cs="Arial" w:eastAsia="Arial" w:hAnsi="Arial"/>
          <w:sz w:val="22"/>
          <w:szCs w:val="22"/>
          <w:color w:val="auto"/>
        </w:rPr>
        <w:t>. No person shall have any claim or right to receive an Award hereunder. The grant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88" w:lineRule="exact"/>
        <w:rPr>
          <w:rFonts w:ascii="Arial" w:cs="Arial" w:eastAsia="Arial" w:hAnsi="Arial"/>
          <w:sz w:val="22"/>
          <w:szCs w:val="22"/>
          <w:color w:val="auto"/>
        </w:rPr>
      </w:pPr>
    </w:p>
    <w:p>
      <w:pPr>
        <w:jc w:val="both"/>
        <w:ind w:left="1452" w:right="20" w:hanging="642"/>
        <w:spacing w:after="0" w:line="312" w:lineRule="auto"/>
        <w:tabs>
          <w:tab w:leader="none" w:pos="1452"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No Right to Assets or Property</w:t>
      </w:r>
      <w:r>
        <w:rPr>
          <w:rFonts w:ascii="Arial" w:cs="Arial" w:eastAsia="Arial" w:hAnsi="Arial"/>
          <w:sz w:val="19"/>
          <w:szCs w:val="19"/>
          <w:color w:val="auto"/>
        </w:rPr>
        <w:t>. Neither a Participant nor any other person shall, by reason of the Plan, acquire any right in or title to any assets, funds or property of Huron or any Affiliate whatsoever, including, without limitation, any specific funds, assets, or other property which Huron or any Affiliate, in its sole discretion, may set</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392"/>
          </w:cols>
          <w:pgMar w:left="248" w:top="375" w:right="259" w:bottom="1440" w:gutter="0" w:footer="0" w:header="0"/>
        </w:sectPr>
      </w:pPr>
    </w:p>
    <w:bookmarkStart w:id="118" w:name="page119"/>
    <w:bookmarkEnd w:id="118"/>
    <w:p>
      <w:pPr>
        <w:jc w:val="both"/>
        <w:ind w:left="1452" w:right="100"/>
        <w:spacing w:after="0" w:line="250" w:lineRule="auto"/>
        <w:rPr>
          <w:sz w:val="20"/>
          <w:szCs w:val="20"/>
          <w:color w:val="auto"/>
        </w:rPr>
      </w:pPr>
      <w:r>
        <w:rPr>
          <w:rFonts w:ascii="Arial" w:cs="Arial" w:eastAsia="Arial" w:hAnsi="Arial"/>
          <w:sz w:val="22"/>
          <w:szCs w:val="22"/>
          <w:color w:val="auto"/>
        </w:rPr>
        <w:t>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182"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Securities Matters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hanging="642"/>
        <w:spacing w:after="0" w:line="289" w:lineRule="auto"/>
        <w:tabs>
          <w:tab w:leader="none" w:pos="1452"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anything herein to the contrary, Huron shall not be obligated to cause to be issued or 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spacing w:after="0" w:line="157" w:lineRule="exact"/>
        <w:rPr>
          <w:rFonts w:ascii="Arial" w:cs="Arial" w:eastAsia="Arial" w:hAnsi="Arial"/>
          <w:sz w:val="19"/>
          <w:szCs w:val="19"/>
          <w:color w:val="auto"/>
        </w:rPr>
      </w:pPr>
    </w:p>
    <w:p>
      <w:pPr>
        <w:ind w:left="1452" w:right="20" w:hanging="642"/>
        <w:spacing w:after="0" w:line="288" w:lineRule="auto"/>
        <w:tabs>
          <w:tab w:leader="none" w:pos="1452"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Transfer of Shares</w:t>
      </w:r>
      <w:r>
        <w:rPr>
          <w:rFonts w:ascii="Arial" w:cs="Arial" w:eastAsia="Arial" w:hAnsi="Arial"/>
          <w:sz w:val="19"/>
          <w:szCs w:val="19"/>
          <w:color w:val="auto"/>
        </w:rPr>
        <w:t>. The transfer of any shares of Common Stock hereunder shall be effective only at such time as counsel to Huron (which may be 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54" w:lineRule="exact"/>
        <w:rPr>
          <w:rFonts w:ascii="Arial" w:cs="Arial" w:eastAsia="Arial" w:hAnsi="Arial"/>
          <w:sz w:val="19"/>
          <w:szCs w:val="19"/>
          <w:color w:val="auto"/>
        </w:rPr>
      </w:pPr>
    </w:p>
    <w:p>
      <w:pPr>
        <w:ind w:left="652" w:right="440" w:hanging="652"/>
        <w:spacing w:after="0" w:line="350" w:lineRule="auto"/>
        <w:tabs>
          <w:tab w:leader="none" w:pos="652"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 xml:space="preserve">. </w:t>
      </w:r>
      <w:r>
        <w:rPr>
          <w:rFonts w:ascii="Arial" w:cs="Arial" w:eastAsia="Arial" w:hAnsi="Arial"/>
          <w:sz w:val="19"/>
          <w:szCs w:val="19"/>
          <w:color w:val="auto"/>
        </w:rPr>
        <w:t>All Awards and other payments under the Plan are subject to withholding of all applicable taxes.</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cash is to be paid pursuant to an Award, Huron and the Affiliates shall have the right to deduct therefrom an</w:t>
      </w:r>
    </w:p>
    <w:p>
      <w:pPr>
        <w:spacing w:after="0" w:line="332"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52"/>
          </w:cols>
          <w:pgMar w:left="248" w:top="375" w:right="299" w:bottom="1440" w:gutter="0" w:footer="0" w:header="0"/>
        </w:sectPr>
      </w:pPr>
    </w:p>
    <w:bookmarkStart w:id="119" w:name="page120"/>
    <w:bookmarkEnd w:id="119"/>
    <w:p>
      <w:pPr>
        <w:ind w:left="652" w:right="200"/>
        <w:spacing w:after="0" w:line="287" w:lineRule="auto"/>
        <w:rPr>
          <w:sz w:val="20"/>
          <w:szCs w:val="20"/>
          <w:color w:val="auto"/>
        </w:rPr>
      </w:pPr>
      <w:r>
        <w:rPr>
          <w:rFonts w:ascii="Arial" w:cs="Arial" w:eastAsia="Arial" w:hAnsi="Arial"/>
          <w:sz w:val="19"/>
          <w:szCs w:val="19"/>
          <w:color w:val="auto"/>
        </w:rPr>
        <w:t>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 cash an 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provided, however, that previously-owned shares of Common Stock that have been held by the Participant or shares to which the Participant is entitled under the Plan may only be used to satisfy the minimum tax withholding required by applicable law (or other rates that will not have a negative accounting impact). Any shares used to satisfy the withholding obligation shall be valued at their Fair Market Value on the date of which the amount of tax to be withheld is determined. Such a withholding election may be made with respect to all or any portion of the shares to be delivered pursuant to an Award.</w:t>
      </w:r>
    </w:p>
    <w:p>
      <w:pPr>
        <w:spacing w:after="0" w:line="154" w:lineRule="exact"/>
        <w:rPr>
          <w:sz w:val="20"/>
          <w:szCs w:val="20"/>
          <w:color w:val="auto"/>
        </w:rPr>
      </w:pPr>
    </w:p>
    <w:p>
      <w:pPr>
        <w:ind w:left="652" w:right="260" w:hanging="652"/>
        <w:spacing w:after="0" w:line="315" w:lineRule="auto"/>
        <w:tabs>
          <w:tab w:leader="none" w:pos="652"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Notification of Election Under Section 83(b)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If any Participant shall, in connection with the acquisition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under the Plan, make the election permitted under Section 83(b) of the Code, such Participant shall notify Huron of such election within 10 days of filing notice of the election with the Internal Revenue Service.</w:t>
      </w:r>
    </w:p>
    <w:p>
      <w:pPr>
        <w:spacing w:after="0" w:line="125" w:lineRule="exact"/>
        <w:rPr>
          <w:rFonts w:ascii="Arial" w:cs="Arial" w:eastAsia="Arial" w:hAnsi="Arial"/>
          <w:sz w:val="19"/>
          <w:szCs w:val="19"/>
          <w:b w:val="1"/>
          <w:bCs w:val="1"/>
          <w:color w:val="auto"/>
        </w:rPr>
      </w:pPr>
    </w:p>
    <w:p>
      <w:pPr>
        <w:ind w:left="652" w:hanging="652"/>
        <w:spacing w:after="0" w:line="288" w:lineRule="auto"/>
        <w:tabs>
          <w:tab w:leader="none" w:pos="652"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or Termination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at any time, suspend or terminate the Plan or revise</w:t>
      </w:r>
      <w:r>
        <w:rPr>
          <w:rFonts w:ascii="Arial" w:cs="Arial" w:eastAsia="Arial" w:hAnsi="Arial"/>
          <w:sz w:val="19"/>
          <w:szCs w:val="19"/>
          <w:b w:val="1"/>
          <w:bCs w:val="1"/>
          <w:color w:val="auto"/>
        </w:rPr>
        <w:t xml:space="preserve"> </w:t>
      </w:r>
      <w:r>
        <w:rPr>
          <w:rFonts w:ascii="Arial" w:cs="Arial" w:eastAsia="Arial" w:hAnsi="Arial"/>
          <w:sz w:val="19"/>
          <w:szCs w:val="19"/>
          <w:color w:val="auto"/>
        </w:rPr>
        <w:t>or amend it in any respect 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 provided, further, that the approval of Huron’s stockholders shall be required for any amendment that would increase the per Participant limit on Awards that may be granted to non-employee directors of Huron or any Affiliate set forth in Section 4(c)(ii). Without limiting the generality of the foregoing, no amendment of the Plan will be made without the approval of Huron’s stockholders if such amendment would (a) materially increase the benefits accruing to a Participant under the Plan; (b) increase the aggregate number of shares of Common Stock that may be issued under the Plan; (c) modify the requirements as to eligibility for participation in the Plan; or (d) be required under Section 7(e) of the Plan (relating to prohibitions on repricing and buy-backs).</w:t>
      </w:r>
    </w:p>
    <w:p>
      <w:pPr>
        <w:spacing w:after="0" w:line="160" w:lineRule="exact"/>
        <w:rPr>
          <w:rFonts w:ascii="Arial" w:cs="Arial" w:eastAsia="Arial" w:hAnsi="Arial"/>
          <w:sz w:val="19"/>
          <w:szCs w:val="19"/>
          <w:b w:val="1"/>
          <w:bCs w:val="1"/>
          <w:color w:val="auto"/>
        </w:rPr>
      </w:pPr>
    </w:p>
    <w:p>
      <w:pPr>
        <w:ind w:left="652" w:right="40"/>
        <w:spacing w:after="0" w:line="263" w:lineRule="auto"/>
        <w:rPr>
          <w:rFonts w:ascii="Arial" w:cs="Arial" w:eastAsia="Arial" w:hAnsi="Arial"/>
          <w:sz w:val="19"/>
          <w:szCs w:val="19"/>
          <w:b w:val="1"/>
          <w:bCs w:val="1"/>
          <w:color w:val="auto"/>
        </w:rPr>
      </w:pPr>
      <w:r>
        <w:rPr>
          <w:rFonts w:ascii="Arial" w:cs="Arial" w:eastAsia="Arial" w:hAnsi="Arial"/>
          <w:sz w:val="22"/>
          <w:szCs w:val="22"/>
          <w:color w:val="auto"/>
        </w:rPr>
        <w:t>Nothing in this Section 16 shall restrict the Committee’s ability to exercise its discretionary authority pursuant to Sections 4 and 5, which discretion may be</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392"/>
          </w:cols>
          <w:pgMar w:left="248" w:top="375" w:right="259" w:bottom="1440" w:gutter="0" w:footer="0" w:header="0"/>
        </w:sectPr>
      </w:pPr>
    </w:p>
    <w:bookmarkStart w:id="120" w:name="page121"/>
    <w:bookmarkEnd w:id="120"/>
    <w:p>
      <w:pPr>
        <w:ind w:left="652" w:right="720"/>
        <w:spacing w:after="0" w:line="263" w:lineRule="auto"/>
        <w:rPr>
          <w:sz w:val="20"/>
          <w:szCs w:val="20"/>
          <w:color w:val="auto"/>
        </w:rPr>
      </w:pPr>
      <w:r>
        <w:rPr>
          <w:rFonts w:ascii="Arial" w:cs="Arial" w:eastAsia="Arial" w:hAnsi="Arial"/>
          <w:sz w:val="22"/>
          <w:szCs w:val="22"/>
          <w:color w:val="auto"/>
        </w:rPr>
        <w:t>exercised without amendment to the Plan. No action hereunder may, without the consent of a Participant, reduce the Participant’s rights under any outstanding Award.</w:t>
      </w:r>
    </w:p>
    <w:p>
      <w:pPr>
        <w:spacing w:after="0" w:line="169" w:lineRule="exact"/>
        <w:rPr>
          <w:sz w:val="20"/>
          <w:szCs w:val="20"/>
          <w:color w:val="auto"/>
        </w:rPr>
      </w:pPr>
    </w:p>
    <w:p>
      <w:pPr>
        <w:ind w:left="652" w:hanging="652"/>
        <w:spacing w:after="0"/>
        <w:tabs>
          <w:tab w:leader="none" w:pos="652"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hanging="642"/>
        <w:spacing w:after="0" w:line="289" w:lineRule="auto"/>
        <w:tabs>
          <w:tab w:leader="none" w:pos="145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Awards under the Plan are not transferable except as designated by the Participant by will or by the laws of descent and distribution. 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 (i) 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57" w:lineRule="exact"/>
        <w:rPr>
          <w:rFonts w:ascii="Arial" w:cs="Arial" w:eastAsia="Arial" w:hAnsi="Arial"/>
          <w:sz w:val="19"/>
          <w:szCs w:val="19"/>
          <w:color w:val="auto"/>
        </w:rPr>
      </w:pPr>
    </w:p>
    <w:p>
      <w:pPr>
        <w:ind w:left="1452" w:right="40" w:hanging="642"/>
        <w:spacing w:after="0" w:line="288" w:lineRule="auto"/>
        <w:tabs>
          <w:tab w:leader="none" w:pos="145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Family Members</w:t>
      </w:r>
      <w:r>
        <w:rPr>
          <w:rFonts w:ascii="Arial" w:cs="Arial" w:eastAsia="Arial" w:hAnsi="Arial"/>
          <w:sz w:val="19"/>
          <w:szCs w:val="19"/>
          <w:color w:val="auto"/>
        </w:rPr>
        <w:t>. Notwithstanding Section 17(a), during a Participant’s lifetime, the Committee may, in its sole discretion, pursuant to the provisions 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160" w:lineRule="exact"/>
        <w:rPr>
          <w:rFonts w:ascii="Arial" w:cs="Arial" w:eastAsia="Arial" w:hAnsi="Arial"/>
          <w:sz w:val="19"/>
          <w:szCs w:val="19"/>
          <w:color w:val="auto"/>
        </w:rPr>
      </w:pPr>
    </w:p>
    <w:p>
      <w:pPr>
        <w:ind w:left="1452" w:hanging="642"/>
        <w:spacing w:after="0" w:line="250" w:lineRule="auto"/>
        <w:tabs>
          <w:tab w:leader="none" w:pos="1452"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392"/>
          </w:cols>
          <w:pgMar w:left="248" w:top="375" w:right="259" w:bottom="1440" w:gutter="0" w:footer="0" w:header="0"/>
        </w:sectPr>
      </w:pPr>
    </w:p>
    <w:bookmarkStart w:id="121" w:name="page122"/>
    <w:bookmarkEnd w:id="121"/>
    <w:p>
      <w:pPr>
        <w:ind w:left="652" w:hanging="652"/>
        <w:spacing w:after="0"/>
        <w:tabs>
          <w:tab w:leader="none" w:pos="65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452" w:hanging="642"/>
        <w:spacing w:after="0" w:line="248"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document required to be filed with the Committee under the Plan will be properly filed if delivered or 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192" w:lineRule="exact"/>
        <w:rPr>
          <w:rFonts w:ascii="Arial" w:cs="Arial" w:eastAsia="Arial" w:hAnsi="Arial"/>
          <w:sz w:val="22"/>
          <w:szCs w:val="22"/>
          <w:color w:val="auto"/>
        </w:rPr>
      </w:pPr>
    </w:p>
    <w:p>
      <w:pPr>
        <w:ind w:left="1452" w:right="80" w:hanging="642"/>
        <w:spacing w:after="0" w:line="302" w:lineRule="auto"/>
        <w:tabs>
          <w:tab w:leader="none" w:pos="145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Form and Time of Elections</w:t>
      </w:r>
      <w:r>
        <w:rPr>
          <w:rFonts w:ascii="Arial" w:cs="Arial" w:eastAsia="Arial" w:hAnsi="Arial"/>
          <w:sz w:val="19"/>
          <w:szCs w:val="19"/>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42" w:lineRule="exact"/>
        <w:rPr>
          <w:rFonts w:ascii="Arial" w:cs="Arial" w:eastAsia="Arial" w:hAnsi="Arial"/>
          <w:sz w:val="19"/>
          <w:szCs w:val="19"/>
          <w:color w:val="auto"/>
        </w:rPr>
      </w:pPr>
    </w:p>
    <w:p>
      <w:pPr>
        <w:ind w:left="1452" w:hanging="642"/>
        <w:spacing w:after="0" w:line="253"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The Committee may require a Participant to enter into an Agreement evidencing the Award, which Agreement shall contain such terms and conditions, not inconsistent with the Plan, as the Committee determines in its discretion.</w:t>
      </w:r>
    </w:p>
    <w:p>
      <w:pPr>
        <w:spacing w:after="0" w:line="185" w:lineRule="exact"/>
        <w:rPr>
          <w:rFonts w:ascii="Arial" w:cs="Arial" w:eastAsia="Arial" w:hAnsi="Arial"/>
          <w:sz w:val="22"/>
          <w:szCs w:val="22"/>
          <w:color w:val="auto"/>
        </w:rPr>
      </w:pPr>
    </w:p>
    <w:p>
      <w:pPr>
        <w:ind w:left="1452" w:right="320" w:hanging="642"/>
        <w:spacing w:after="0" w:line="302" w:lineRule="auto"/>
        <w:tabs>
          <w:tab w:leader="none" w:pos="145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Liability for Cash Payments</w:t>
      </w:r>
      <w:r>
        <w:rPr>
          <w:rFonts w:ascii="Arial" w:cs="Arial" w:eastAsia="Arial" w:hAnsi="Arial"/>
          <w:sz w:val="19"/>
          <w:szCs w:val="19"/>
          <w:color w:val="auto"/>
        </w:rPr>
        <w:t>. Subject to the terms and conditions of the Plan, Huron and each Affiliate shall be liable for payment of cash due under the Plan with respect to any Participant to the extent that such benefits are attributable to the service rendered for Huron or the Affiliate, as applicable, by the Participant. Any disputes relating to liability of Huron or an Affiliate for cash payments shall be resolved by the Committee.</w:t>
      </w:r>
    </w:p>
    <w:p>
      <w:pPr>
        <w:spacing w:after="0" w:line="142" w:lineRule="exact"/>
        <w:rPr>
          <w:rFonts w:ascii="Arial" w:cs="Arial" w:eastAsia="Arial" w:hAnsi="Arial"/>
          <w:sz w:val="19"/>
          <w:szCs w:val="19"/>
          <w:color w:val="auto"/>
        </w:rPr>
      </w:pPr>
    </w:p>
    <w:p>
      <w:pPr>
        <w:ind w:left="1452" w:right="280" w:hanging="642"/>
        <w:spacing w:after="0" w:line="253"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Evidence</w:t>
      </w:r>
      <w:r>
        <w:rPr>
          <w:rFonts w:ascii="Arial" w:cs="Arial" w:eastAsia="Arial" w:hAnsi="Arial"/>
          <w:sz w:val="22"/>
          <w:szCs w:val="22"/>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85" w:lineRule="exact"/>
        <w:rPr>
          <w:rFonts w:ascii="Arial" w:cs="Arial" w:eastAsia="Arial" w:hAnsi="Arial"/>
          <w:sz w:val="22"/>
          <w:szCs w:val="22"/>
          <w:color w:val="auto"/>
        </w:rPr>
      </w:pPr>
    </w:p>
    <w:p>
      <w:pPr>
        <w:ind w:left="1452" w:right="160" w:hanging="642"/>
        <w:spacing w:after="0" w:line="263"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Where the context admits, words in any gender shall include any other gender, words in the singular shall include the plural and the plural shall include the singular.</w:t>
      </w:r>
    </w:p>
    <w:p>
      <w:pPr>
        <w:spacing w:after="0" w:line="174" w:lineRule="exact"/>
        <w:rPr>
          <w:rFonts w:ascii="Arial" w:cs="Arial" w:eastAsia="Arial" w:hAnsi="Arial"/>
          <w:sz w:val="22"/>
          <w:szCs w:val="22"/>
          <w:color w:val="auto"/>
        </w:rPr>
      </w:pPr>
    </w:p>
    <w:p>
      <w:pPr>
        <w:ind w:left="1452" w:right="480" w:hanging="642"/>
        <w:spacing w:after="0" w:line="263"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Expenses and Receipts</w:t>
      </w:r>
      <w:r>
        <w:rPr>
          <w:rFonts w:ascii="Arial" w:cs="Arial" w:eastAsia="Arial" w:hAnsi="Arial"/>
          <w:sz w:val="22"/>
          <w:szCs w:val="22"/>
          <w:color w:val="auto"/>
        </w:rPr>
        <w:t>. The expenses of the Plan shall be paid by Huron. Any proceeds received by Huron in connection with any Award may be used for general corporate purposes.</w:t>
      </w:r>
    </w:p>
    <w:p>
      <w:pPr>
        <w:spacing w:after="0" w:line="174" w:lineRule="exact"/>
        <w:rPr>
          <w:rFonts w:ascii="Arial" w:cs="Arial" w:eastAsia="Arial" w:hAnsi="Arial"/>
          <w:sz w:val="22"/>
          <w:szCs w:val="22"/>
          <w:color w:val="auto"/>
        </w:rPr>
      </w:pPr>
    </w:p>
    <w:p>
      <w:pPr>
        <w:ind w:left="1452" w:right="380" w:hanging="642"/>
        <w:spacing w:after="0" w:line="263" w:lineRule="auto"/>
        <w:tabs>
          <w:tab w:leader="none" w:pos="145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Except to the extent preempted by any applicable federal law, the Plan shall be construed and administered in accordance</w:t>
      </w: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92"/>
          </w:cols>
          <w:pgMar w:left="248" w:top="369" w:right="259" w:bottom="1440" w:gutter="0" w:footer="0" w:header="0"/>
        </w:sectPr>
      </w:pPr>
    </w:p>
    <w:bookmarkStart w:id="122" w:name="page123"/>
    <w:bookmarkEnd w:id="122"/>
    <w:p>
      <w:pPr>
        <w:ind w:left="1452"/>
        <w:spacing w:after="0"/>
        <w:rPr>
          <w:sz w:val="20"/>
          <w:szCs w:val="20"/>
          <w:color w:val="auto"/>
        </w:rPr>
      </w:pPr>
      <w:r>
        <w:rPr>
          <w:rFonts w:ascii="Arial" w:cs="Arial" w:eastAsia="Arial" w:hAnsi="Arial"/>
          <w:sz w:val="22"/>
          <w:szCs w:val="22"/>
          <w:color w:val="auto"/>
        </w:rPr>
        <w:t>with the laws of the State of Delaware without reference to its principles of conflicts of law.</w:t>
      </w:r>
    </w:p>
    <w:p>
      <w:pPr>
        <w:spacing w:after="0" w:line="220" w:lineRule="exact"/>
        <w:rPr>
          <w:sz w:val="20"/>
          <w:szCs w:val="20"/>
          <w:color w:val="auto"/>
        </w:rPr>
      </w:pPr>
    </w:p>
    <w:p>
      <w:pPr>
        <w:ind w:left="1452" w:hanging="642"/>
        <w:spacing w:after="0" w:line="312" w:lineRule="auto"/>
        <w:tabs>
          <w:tab w:leader="none" w:pos="1452"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No Fractional Shares</w:t>
      </w:r>
      <w:r>
        <w:rPr>
          <w:rFonts w:ascii="Arial" w:cs="Arial" w:eastAsia="Arial" w:hAnsi="Arial"/>
          <w:sz w:val="19"/>
          <w:szCs w:val="19"/>
          <w:color w:val="auto"/>
        </w:rPr>
        <w:t>. No fractional shares of Common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27" w:lineRule="exact"/>
        <w:rPr>
          <w:rFonts w:ascii="Arial" w:cs="Arial" w:eastAsia="Arial" w:hAnsi="Arial"/>
          <w:sz w:val="19"/>
          <w:szCs w:val="19"/>
          <w:color w:val="auto"/>
        </w:rPr>
      </w:pPr>
    </w:p>
    <w:p>
      <w:pPr>
        <w:ind w:left="652" w:right="20" w:hanging="652"/>
        <w:spacing w:after="0" w:line="350" w:lineRule="auto"/>
        <w:tabs>
          <w:tab w:leader="none" w:pos="652"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any provision of the Plan is held to be invalid or unenforceable, the other provisions of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affected but shall be applied as if the invalid or unenforceable provision had not been included in the Plan.</w:t>
      </w:r>
    </w:p>
    <w:p>
      <w:pPr>
        <w:spacing w:after="0" w:line="92" w:lineRule="exact"/>
        <w:rPr>
          <w:rFonts w:ascii="Arial" w:cs="Arial" w:eastAsia="Arial" w:hAnsi="Arial"/>
          <w:sz w:val="19"/>
          <w:szCs w:val="19"/>
          <w:b w:val="1"/>
          <w:bCs w:val="1"/>
          <w:color w:val="auto"/>
        </w:rPr>
      </w:pPr>
    </w:p>
    <w:p>
      <w:pPr>
        <w:ind w:left="652" w:right="40" w:hanging="652"/>
        <w:spacing w:after="0" w:line="248" w:lineRule="auto"/>
        <w:tabs>
          <w:tab w:leader="none" w:pos="65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Foreign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 of the Plan to the contrary, the Committee may grant Awards to</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392"/>
          </w:cols>
          <w:pgMar w:left="248" w:top="375"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LIST OF SUBSIDIARIES OF HURON CONSULTING GROUP INC.</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2015)</w:t>
      </w:r>
    </w:p>
    <w:p>
      <w:pPr>
        <w:sectPr>
          <w:pgSz w:w="11900" w:h="16838" w:orient="portrait"/>
          <w:cols w:equalWidth="0" w:num="1">
            <w:col w:w="10220"/>
          </w:cols>
          <w:pgMar w:left="14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14605</wp:posOffset>
            </wp:positionV>
            <wp:extent cx="2881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Consulting Group Holdings LLC</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Huron Consulting South East Asia PTE. LTD.</w:t>
      </w:r>
    </w:p>
    <w:p>
      <w:pPr>
        <w:spacing w:after="0" w:line="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Middle East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Saudi Limited</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Consulting Services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Management Services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Demand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Conseillers Huron Canada Limitée</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Technologies Inc.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Huron Transaction Advisory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Studer Holdings, Inc.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Studer Group, LLC</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Rittman Mead Consulting Private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14605</wp:posOffset>
            </wp:positionV>
            <wp:extent cx="2933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4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7"/>
          <w:szCs w:val="17"/>
          <w:color w:val="auto"/>
        </w:rPr>
        <w:t>United Arab Emirates—Dubai</w:t>
      </w:r>
    </w:p>
    <w:p>
      <w:pPr>
        <w:spacing w:after="0" w:line="75"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Canada and Quebec</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India</w:t>
      </w:r>
    </w:p>
    <w:p>
      <w:pPr>
        <w:sectPr>
          <w:pgSz w:w="11900" w:h="16838" w:orient="portrait"/>
          <w:cols w:equalWidth="0" w:num="2">
            <w:col w:w="5120" w:space="720"/>
            <w:col w:w="4380"/>
          </w:cols>
          <w:pgMar w:left="1440" w:top="580" w:right="2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333-181445, 333-196397, and 333-204353) of Huron Consulting Group Inc. of our report dated February 22, 2016 relating to the financial statements and the effectiveness of internal control over financial reporting, which appears in this Form 10-K.</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PricewaterhouseCoopers LLP</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2016</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820" w:hanging="812"/>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820" w:right="80" w:hanging="812"/>
        <w:spacing w:after="0" w:line="256"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820" w:right="140" w:hanging="812"/>
        <w:spacing w:after="0" w:line="256"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8"/>
          <w:szCs w:val="18"/>
          <w:color w:val="auto"/>
        </w:rPr>
      </w:pPr>
    </w:p>
    <w:p>
      <w:pPr>
        <w:ind w:left="820" w:right="140" w:hanging="812"/>
        <w:spacing w:after="0" w:line="256"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880" w:right="120" w:hanging="1062"/>
        <w:spacing w:after="0" w:line="254"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8"/>
          <w:szCs w:val="18"/>
          <w:color w:val="auto"/>
        </w:rPr>
      </w:pPr>
    </w:p>
    <w:p>
      <w:pPr>
        <w:ind w:left="1880" w:right="140" w:hanging="1062"/>
        <w:spacing w:after="0" w:line="278" w:lineRule="auto"/>
        <w:tabs>
          <w:tab w:leader="none" w:pos="18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7"/>
          <w:szCs w:val="17"/>
          <w:color w:val="auto"/>
        </w:rPr>
      </w:pPr>
    </w:p>
    <w:p>
      <w:pPr>
        <w:ind w:left="1880" w:right="240" w:hanging="1062"/>
        <w:spacing w:after="0" w:line="256"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880" w:right="280" w:hanging="1062"/>
        <w:spacing w:after="0" w:line="254"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8"/>
          <w:szCs w:val="18"/>
          <w:color w:val="auto"/>
        </w:rPr>
      </w:pPr>
    </w:p>
    <w:p>
      <w:pPr>
        <w:ind w:left="820" w:right="360" w:hanging="812"/>
        <w:spacing w:after="0" w:line="256"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880" w:right="40" w:hanging="1062"/>
        <w:spacing w:after="0" w:line="256"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880" w:right="380" w:hanging="1062"/>
        <w:spacing w:after="0" w:line="262" w:lineRule="auto"/>
        <w:tabs>
          <w:tab w:leader="none" w:pos="1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800" w:val="left"/>
          <w:tab w:leader="none" w:pos="7160" w:val="left"/>
          <w:tab w:leader="none" w:pos="868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23495</wp:posOffset>
            </wp:positionV>
            <wp:extent cx="2444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23495</wp:posOffset>
            </wp:positionV>
            <wp:extent cx="1226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0"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820" w:hanging="812"/>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820" w:right="80" w:hanging="812"/>
        <w:spacing w:after="0" w:line="256"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820" w:right="140" w:hanging="812"/>
        <w:spacing w:after="0" w:line="256"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8"/>
          <w:szCs w:val="18"/>
          <w:color w:val="auto"/>
        </w:rPr>
      </w:pPr>
    </w:p>
    <w:p>
      <w:pPr>
        <w:ind w:left="820" w:right="140" w:hanging="812"/>
        <w:spacing w:after="0" w:line="256"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880" w:right="120" w:hanging="1062"/>
        <w:spacing w:after="0" w:line="254" w:lineRule="auto"/>
        <w:tabs>
          <w:tab w:leader="none" w:pos="18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8"/>
          <w:szCs w:val="18"/>
          <w:color w:val="auto"/>
        </w:rPr>
      </w:pPr>
    </w:p>
    <w:p>
      <w:pPr>
        <w:ind w:left="1880" w:right="140" w:hanging="1062"/>
        <w:spacing w:after="0" w:line="278" w:lineRule="auto"/>
        <w:tabs>
          <w:tab w:leader="none" w:pos="18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7"/>
          <w:szCs w:val="17"/>
          <w:color w:val="auto"/>
        </w:rPr>
      </w:pPr>
    </w:p>
    <w:p>
      <w:pPr>
        <w:ind w:left="1880" w:right="240" w:hanging="1062"/>
        <w:spacing w:after="0" w:line="256" w:lineRule="auto"/>
        <w:tabs>
          <w:tab w:leader="none" w:pos="18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880" w:right="280" w:hanging="1062"/>
        <w:spacing w:after="0" w:line="254" w:lineRule="auto"/>
        <w:tabs>
          <w:tab w:leader="none" w:pos="18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8"/>
          <w:szCs w:val="18"/>
          <w:color w:val="auto"/>
        </w:rPr>
      </w:pPr>
    </w:p>
    <w:p>
      <w:pPr>
        <w:ind w:left="820" w:right="360" w:hanging="812"/>
        <w:spacing w:after="0" w:line="256"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880" w:right="40" w:hanging="1062"/>
        <w:spacing w:after="0" w:line="256" w:lineRule="auto"/>
        <w:tabs>
          <w:tab w:leader="none" w:pos="18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880" w:right="380" w:hanging="1062"/>
        <w:spacing w:after="0" w:line="262" w:lineRule="auto"/>
        <w:tabs>
          <w:tab w:leader="none" w:pos="18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800" w:val="left"/>
          <w:tab w:leader="none" w:pos="7140" w:val="left"/>
          <w:tab w:leader="none" w:pos="860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14605</wp:posOffset>
            </wp:positionV>
            <wp:extent cx="2452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wp:posOffset>
            </wp:positionV>
            <wp:extent cx="1226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C. Mark Hussey</w:t>
      </w:r>
    </w:p>
    <w:p>
      <w:pPr>
        <w:spacing w:after="0" w:line="4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Executive Vice President, Chief Operating</w:t>
      </w:r>
    </w:p>
    <w:p>
      <w:pPr>
        <w:jc w:val="center"/>
        <w:ind w:left="7560"/>
        <w:spacing w:after="0" w:line="234"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jc w:val="center"/>
        <w:ind w:left="75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40"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2015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50" w:lineRule="exact"/>
        <w:rPr>
          <w:sz w:val="20"/>
          <w:szCs w:val="20"/>
          <w:color w:val="auto"/>
        </w:rPr>
      </w:pPr>
    </w:p>
    <w:p>
      <w:pPr>
        <w:ind w:left="2120" w:right="300" w:hanging="1302"/>
        <w:spacing w:after="0" w:line="262" w:lineRule="auto"/>
        <w:tabs>
          <w:tab w:leader="none" w:pos="2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2120" w:right="120" w:hanging="1302"/>
        <w:spacing w:after="0" w:line="262" w:lineRule="auto"/>
        <w:tabs>
          <w:tab w:leader="none" w:pos="2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2" w:lineRule="exact"/>
        <w:rPr>
          <w:sz w:val="20"/>
          <w:szCs w:val="20"/>
          <w:color w:val="auto"/>
        </w:rPr>
      </w:pPr>
    </w:p>
    <w:p>
      <w:pPr>
        <w:ind w:left="40"/>
        <w:spacing w:after="0"/>
        <w:tabs>
          <w:tab w:leader="none" w:pos="800" w:val="left"/>
          <w:tab w:leader="none" w:pos="7160" w:val="left"/>
          <w:tab w:leader="none" w:pos="868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444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wp:posOffset>
            </wp:positionV>
            <wp:extent cx="1226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right="260" w:firstLine="810"/>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260" w:firstLine="810"/>
        <w:spacing w:after="0" w:line="262"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40"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2015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w:t>
      </w:r>
    </w:p>
    <w:p>
      <w:pPr>
        <w:spacing w:after="0" w:line="150" w:lineRule="exact"/>
        <w:rPr>
          <w:sz w:val="20"/>
          <w:szCs w:val="20"/>
          <w:color w:val="auto"/>
        </w:rPr>
      </w:pPr>
    </w:p>
    <w:p>
      <w:pPr>
        <w:ind w:left="2120" w:right="300" w:hanging="1302"/>
        <w:spacing w:after="0" w:line="262" w:lineRule="auto"/>
        <w:tabs>
          <w:tab w:leader="none" w:pos="2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2" w:lineRule="exact"/>
        <w:rPr>
          <w:rFonts w:ascii="Arial" w:cs="Arial" w:eastAsia="Arial" w:hAnsi="Arial"/>
          <w:sz w:val="18"/>
          <w:szCs w:val="18"/>
          <w:color w:val="auto"/>
        </w:rPr>
      </w:pPr>
    </w:p>
    <w:p>
      <w:pPr>
        <w:ind w:left="2120" w:right="120" w:hanging="1302"/>
        <w:spacing w:after="0" w:line="262" w:lineRule="auto"/>
        <w:tabs>
          <w:tab w:leader="none" w:pos="2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2" w:lineRule="exact"/>
        <w:rPr>
          <w:sz w:val="20"/>
          <w:szCs w:val="20"/>
          <w:color w:val="auto"/>
        </w:rPr>
      </w:pPr>
    </w:p>
    <w:p>
      <w:pPr>
        <w:ind w:left="40"/>
        <w:spacing w:after="0"/>
        <w:tabs>
          <w:tab w:leader="none" w:pos="800" w:val="left"/>
          <w:tab w:leader="none" w:pos="7160" w:val="left"/>
          <w:tab w:leader="none" w:pos="860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 M</w:t>
      </w:r>
      <w:r>
        <w:rPr>
          <w:rFonts w:ascii="Arial" w:cs="Arial" w:eastAsia="Arial" w:hAnsi="Arial"/>
          <w:sz w:val="14"/>
          <w:szCs w:val="14"/>
          <w:color w:val="auto"/>
        </w:rPr>
        <w:t>ARK</w:t>
      </w:r>
      <w:r>
        <w:rPr>
          <w:rFonts w:ascii="Arial" w:cs="Arial" w:eastAsia="Arial" w:hAnsi="Arial"/>
          <w:sz w:val="18"/>
          <w:szCs w:val="18"/>
          <w:color w:val="auto"/>
        </w:rPr>
        <w:t xml:space="preserve"> H</w:t>
      </w:r>
      <w:r>
        <w:rPr>
          <w:rFonts w:ascii="Arial" w:cs="Arial" w:eastAsia="Arial" w:hAnsi="Arial"/>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44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wp:posOffset>
            </wp:positionV>
            <wp:extent cx="12261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 Mark Hussey</w:t>
      </w:r>
    </w:p>
    <w:p>
      <w:pPr>
        <w:spacing w:after="0" w:line="4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Executive Vice President, Chief Operating</w:t>
      </w:r>
    </w:p>
    <w:p>
      <w:pPr>
        <w:jc w:val="center"/>
        <w:ind w:left="7580"/>
        <w:spacing w:after="0" w:line="234"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Chief Financial Officer and Treasurer</w:t>
      </w:r>
    </w:p>
    <w:p>
      <w:pPr>
        <w:spacing w:after="0" w:line="185" w:lineRule="exact"/>
        <w:rPr>
          <w:sz w:val="20"/>
          <w:szCs w:val="20"/>
          <w:color w:val="auto"/>
        </w:rPr>
      </w:pPr>
    </w:p>
    <w:p>
      <w:pPr>
        <w:ind w:right="260" w:firstLine="810"/>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260" w:firstLine="810"/>
        <w:spacing w:after="0" w:line="262"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6"/>
    </w:lvl>
  </w:abstractNum>
  <w:abstractNum w:abstractNumId="22">
    <w:nsid w:val="75C6C33A"/>
    <w:multiLevelType w:val="hybridMultilevel"/>
    <w:lvl w:ilvl="0">
      <w:lvlJc w:val="left"/>
      <w:lvlText w:val="(%1)"/>
      <w:numFmt w:val="lowerRoman"/>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2"/>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8"/>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2"/>
    </w:lvl>
  </w:abstractNum>
  <w:abstractNum w:abstractNumId="36">
    <w:nsid w:val="354FE9F9"/>
    <w:multiLevelType w:val="hybridMultilevel"/>
    <w:lvl w:ilvl="0">
      <w:lvlJc w:val="left"/>
      <w:lvlText w:val="%1."/>
      <w:numFmt w:val="decimal"/>
      <w:start w:val="17"/>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lvl w:ilvl="1">
      <w:lvlJc w:val="left"/>
      <w:lvlText w:val="(%2)"/>
      <w:numFmt w:val="lowerLetter"/>
      <w:start w:val="1"/>
    </w:lvl>
  </w:abstractNum>
  <w:abstractNum w:abstractNumId="42">
    <w:nsid w:val="61574095"/>
    <w:multiLevelType w:val="hybridMultilevel"/>
    <w:lvl w:ilvl="0">
      <w:lvlJc w:val="left"/>
      <w:lvlText w:val="(%1)"/>
      <w:numFmt w:val="lowerLetter"/>
      <w:start w:val="8"/>
    </w:lvl>
    <w:lvl w:ilvl="1">
      <w:lvlJc w:val="left"/>
      <w:lvlText w:val="(%2)"/>
      <w:numFmt w:val="lowerRoman"/>
      <w:start w:val="6"/>
    </w:lvl>
  </w:abstractNum>
  <w:abstractNum w:abstractNumId="43">
    <w:nsid w:val="7E0C57B1"/>
    <w:multiLevelType w:val="hybridMultilevel"/>
    <w:lvl w:ilvl="0">
      <w:lvlJc w:val="left"/>
      <w:lvlText w:val="%1"/>
      <w:numFmt w:val="lowerLetter"/>
      <w:start w:val="1"/>
    </w:lvl>
    <w:lvl w:ilvl="1">
      <w:lvlJc w:val="left"/>
      <w:lvlText w:val="(%2)"/>
      <w:numFmt w:val="lowerRoman"/>
      <w:start w:val="10"/>
    </w:lvl>
  </w:abstractNum>
  <w:abstractNum w:abstractNumId="44">
    <w:nsid w:val="77AE35EB"/>
    <w:multiLevelType w:val="hybridMultilevel"/>
    <w:lvl w:ilvl="0">
      <w:lvlJc w:val="left"/>
      <w:lvlText w:val="(%1)"/>
      <w:numFmt w:val="lowerLetter"/>
      <w:start w:val="9"/>
    </w:lvl>
    <w:lvl w:ilvl="1">
      <w:lvlJc w:val="left"/>
      <w:lvlText w:val="(%2)"/>
      <w:numFmt w:val="lowerRoman"/>
      <w:start w:val="1"/>
    </w:lvl>
  </w:abstractNum>
  <w:abstractNum w:abstractNumId="45">
    <w:nsid w:val="579BE4F1"/>
    <w:multiLevelType w:val="hybridMultilevel"/>
    <w:lvl w:ilvl="0">
      <w:lvlJc w:val="left"/>
      <w:lvlText w:val="(%1)"/>
      <w:numFmt w:val="lowerRoman"/>
      <w:start w:val="3"/>
    </w:lvl>
  </w:abstractNum>
  <w:abstractNum w:abstractNumId="46">
    <w:nsid w:val="310C50B3"/>
    <w:multiLevelType w:val="hybridMultilevel"/>
    <w:lvl w:ilvl="0">
      <w:lvlJc w:val="left"/>
      <w:lvlText w:val="(%1)"/>
      <w:numFmt w:val="lowerLetter"/>
      <w:start w:val="12"/>
    </w:lvl>
    <w:lvl w:ilvl="1">
      <w:lvlJc w:val="left"/>
      <w:lvlText w:val="(%2)"/>
      <w:numFmt w:val="lowerRoman"/>
      <w:start w:val="1"/>
    </w:lvl>
  </w:abstractNum>
  <w:abstractNum w:abstractNumId="47">
    <w:nsid w:val="5FF87E05"/>
    <w:multiLevelType w:val="hybridMultilevel"/>
    <w:lvl w:ilvl="0">
      <w:lvlJc w:val="left"/>
      <w:lvlText w:val="%1"/>
      <w:numFmt w:val="lowerRoman"/>
      <w:start w:val="1"/>
    </w:lvl>
    <w:lvl w:ilvl="1">
      <w:lvlJc w:val="left"/>
      <w:lvlText w:val="(%2)"/>
      <w:numFmt w:val="lowerRoman"/>
      <w:start w:val="2"/>
    </w:lvl>
  </w:abstractNum>
  <w:abstractNum w:abstractNumId="48">
    <w:nsid w:val="2F305DEF"/>
    <w:multiLevelType w:val="hybridMultilevel"/>
    <w:lvl w:ilvl="0">
      <w:lvlJc w:val="left"/>
      <w:lvlText w:val="(%1)"/>
      <w:numFmt w:val="lowerRoman"/>
      <w:start w:val="5"/>
    </w:lvl>
    <w:lvl w:ilvl="1">
      <w:lvlJc w:val="left"/>
      <w:lvlText w:val="(%2)"/>
      <w:numFmt w:val="lowerRoman"/>
      <w:start w:val="1"/>
    </w:lvl>
  </w:abstractNum>
  <w:abstractNum w:abstractNumId="49">
    <w:nsid w:val="25A70BF7"/>
    <w:multiLevelType w:val="hybridMultilevel"/>
    <w:lvl w:ilvl="0">
      <w:lvlJc w:val="left"/>
      <w:lvlText w:val="(%1)"/>
      <w:numFmt w:val="lowerLetter"/>
      <w:start w:val="23"/>
    </w:lvl>
  </w:abstractNum>
  <w:abstractNum w:abstractNumId="50">
    <w:nsid w:val="1DBABF00"/>
    <w:multiLevelType w:val="hybridMultilevel"/>
    <w:lvl w:ilvl="0">
      <w:lvlJc w:val="left"/>
      <w:lvlText w:val="(%1)"/>
      <w:numFmt w:val="lowerLetter"/>
      <w:start w:val="27"/>
    </w:lvl>
  </w:abstractNum>
  <w:abstractNum w:abstractNumId="51">
    <w:nsid w:val="4AD084E9"/>
    <w:multiLevelType w:val="hybridMultilevel"/>
    <w:lvl w:ilvl="0">
      <w:lvlJc w:val="left"/>
      <w:lvlText w:val="%1"/>
      <w:numFmt w:val="decimal"/>
      <w:start w:val="1"/>
    </w:lvl>
    <w:lvl w:ilvl="1">
      <w:lvlJc w:val="left"/>
      <w:lvlText w:val="(%2)"/>
      <w:numFmt w:val="lowerLetter"/>
      <w:start w:val="32"/>
    </w:lvl>
    <w:lvl w:ilvl="2">
      <w:lvlJc w:val="left"/>
      <w:lvlText w:val="%3"/>
      <w:numFmt w:val="lowerRoman"/>
      <w:start w:val="1"/>
    </w:lvl>
    <w:lvl w:ilvl="3">
      <w:lvlJc w:val="left"/>
      <w:lvlText w:val="%4"/>
      <w:numFmt w:val="decimal"/>
      <w:start w:val="1"/>
    </w:lvl>
  </w:abstractNum>
  <w:abstractNum w:abstractNumId="52">
    <w:nsid w:val="1F48EAA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3">
    <w:nsid w:val="1381823A"/>
    <w:multiLevelType w:val="hybridMultilevel"/>
    <w:lvl w:ilvl="0">
      <w:lvlJc w:val="left"/>
      <w:lvlText w:val="(%1)"/>
      <w:numFmt w:val="lowerLetter"/>
      <w:start w:val="4"/>
    </w:lvl>
    <w:lvl w:ilvl="1">
      <w:lvlJc w:val="left"/>
      <w:lvlText w:val="(%2)"/>
      <w:numFmt w:val="lowerRoman"/>
      <w:start w:val="1"/>
    </w:lvl>
  </w:abstractNum>
  <w:abstractNum w:abstractNumId="54">
    <w:nsid w:val="5DB70AE5"/>
    <w:multiLevelType w:val="hybridMultilevel"/>
    <w:lvl w:ilvl="0">
      <w:lvlJc w:val="left"/>
      <w:lvlText w:val="%1"/>
      <w:numFmt w:val="decimal"/>
      <w:start w:val="1"/>
    </w:lvl>
    <w:lvl w:ilvl="1">
      <w:lvlJc w:val="left"/>
      <w:lvlText w:val="(%2)"/>
      <w:numFmt w:val="lowerLetter"/>
      <w:start w:val="7"/>
    </w:lvl>
  </w:abstractNum>
  <w:abstractNum w:abstractNumId="55">
    <w:nsid w:val="100F8FCA"/>
    <w:multiLevelType w:val="hybridMultilevel"/>
    <w:lvl w:ilvl="0">
      <w:lvlJc w:val="left"/>
      <w:lvlText w:val="%1."/>
      <w:numFmt w:val="decimal"/>
      <w:start w:val="5"/>
    </w:lvl>
    <w:lvl w:ilvl="1">
      <w:lvlJc w:val="left"/>
      <w:lvlText w:val="(%2)"/>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2"/>
    </w:lvl>
  </w:abstractNum>
  <w:abstractNum w:abstractNumId="57">
    <w:nsid w:val="15014ACB"/>
    <w:multiLevelType w:val="hybridMultilevel"/>
    <w:lvl w:ilvl="0">
      <w:lvlJc w:val="left"/>
      <w:lvlText w:val="%1."/>
      <w:numFmt w:val="decimal"/>
      <w:start w:val="6"/>
    </w:lvl>
    <w:lvl w:ilvl="1">
      <w:lvlJc w:val="left"/>
      <w:lvlText w:val="%2"/>
      <w:numFmt w:val="lowerLetter"/>
      <w:start w:val="1"/>
    </w:lvl>
  </w:abstractNum>
  <w:abstractNum w:abstractNumId="58">
    <w:nsid w:val="5F5E7FD0"/>
    <w:multiLevelType w:val="hybridMultilevel"/>
    <w:lvl w:ilvl="0">
      <w:lvlJc w:val="left"/>
      <w:lvlText w:val="%1."/>
      <w:numFmt w:val="decimal"/>
      <w:start w:val="7"/>
    </w:lvl>
    <w:lvl w:ilvl="1">
      <w:lvlJc w:val="left"/>
      <w:lvlText w:val="(%2)"/>
      <w:numFmt w:val="lowerLetter"/>
      <w:start w:val="1"/>
    </w:lvl>
  </w:abstractNum>
  <w:abstractNum w:abstractNumId="59">
    <w:nsid w:val="98A3148"/>
    <w:multiLevelType w:val="hybridMultilevel"/>
    <w:lvl w:ilvl="0">
      <w:lvlJc w:val="left"/>
      <w:lvlText w:val="(%1)"/>
      <w:numFmt w:val="lowerLetter"/>
      <w:start w:val="5"/>
    </w:lvl>
    <w:lvl w:ilvl="1">
      <w:lvlJc w:val="left"/>
      <w:lvlText w:val="(%2)"/>
      <w:numFmt w:val="lowerRoman"/>
      <w:start w:val="5"/>
    </w:lvl>
  </w:abstractNum>
  <w:abstractNum w:abstractNumId="60">
    <w:nsid w:val="799D0247"/>
    <w:multiLevelType w:val="hybridMultilevel"/>
    <w:lvl w:ilvl="0">
      <w:lvlJc w:val="left"/>
      <w:lvlText w:val="%1"/>
      <w:numFmt w:val="lowerLetter"/>
      <w:start w:val="1"/>
    </w:lvl>
    <w:lvl w:ilvl="1">
      <w:lvlJc w:val="left"/>
      <w:lvlText w:val="(%2)"/>
      <w:numFmt w:val="lowerRoman"/>
      <w:start w:val="8"/>
    </w:lvl>
  </w:abstractNum>
  <w:abstractNum w:abstractNumId="61">
    <w:nsid w:val="6B94764"/>
    <w:multiLevelType w:val="hybridMultilevel"/>
    <w:lvl w:ilvl="0">
      <w:lvlJc w:val="left"/>
      <w:lvlText w:val="(%1)"/>
      <w:numFmt w:val="lowerLetter"/>
      <w:start w:val="7"/>
    </w:lvl>
    <w:lvl w:ilvl="1">
      <w:lvlJc w:val="left"/>
      <w:lvlText w:val="%2"/>
      <w:numFmt w:val="lowerRoman"/>
      <w:start w:val="1"/>
    </w:lvl>
  </w:abstractNum>
  <w:abstractNum w:abstractNumId="62">
    <w:nsid w:val="42C296BD"/>
    <w:multiLevelType w:val="hybridMultilevel"/>
    <w:lvl w:ilvl="0">
      <w:lvlJc w:val="left"/>
      <w:lvlText w:val="(%1)"/>
      <w:numFmt w:val="lowerLetter"/>
      <w:start w:val="8"/>
    </w:lvl>
    <w:lvl w:ilvl="1">
      <w:lvlJc w:val="left"/>
      <w:lvlText w:val="(%2)"/>
      <w:numFmt w:val="lowerRoman"/>
      <w:start w:val="1"/>
    </w:lvl>
  </w:abstractNum>
  <w:abstractNum w:abstractNumId="63">
    <w:nsid w:val="168E121F"/>
    <w:multiLevelType w:val="hybridMultilevel"/>
    <w:lvl w:ilvl="0">
      <w:lvlJc w:val="left"/>
      <w:lvlText w:val="%1"/>
      <w:numFmt w:val="decimal"/>
      <w:start w:val="1"/>
    </w:lvl>
    <w:lvl w:ilvl="1">
      <w:lvlJc w:val="left"/>
      <w:lvlText w:val="(%2)"/>
      <w:numFmt w:val="lowerLetter"/>
      <w:start w:val="9"/>
    </w:lvl>
  </w:abstractNum>
  <w:abstractNum w:abstractNumId="64">
    <w:nsid w:val="1EBA5D23"/>
    <w:multiLevelType w:val="hybridMultilevel"/>
    <w:lvl w:ilvl="0">
      <w:lvlJc w:val="left"/>
      <w:lvlText w:val="%1."/>
      <w:numFmt w:val="decimal"/>
      <w:start w:val="8"/>
    </w:lvl>
    <w:lvl w:ilvl="1">
      <w:lvlJc w:val="left"/>
      <w:lvlText w:val="(%2)"/>
      <w:numFmt w:val="lowerLetter"/>
      <w:start w:val="1"/>
    </w:lvl>
  </w:abstractNum>
  <w:abstractNum w:abstractNumId="65">
    <w:nsid w:val="661E3F1E"/>
    <w:multiLevelType w:val="hybridMultilevel"/>
    <w:lvl w:ilvl="0">
      <w:lvlJc w:val="left"/>
      <w:lvlText w:val="(%1)"/>
      <w:numFmt w:val="lowerLetter"/>
      <w:start w:val="3"/>
    </w:lvl>
    <w:lvl w:ilvl="1">
      <w:lvlJc w:val="left"/>
      <w:lvlText w:val="(%2)"/>
      <w:numFmt w:val="lowerRoman"/>
      <w:start w:val="1"/>
    </w:lvl>
  </w:abstractNum>
  <w:abstractNum w:abstractNumId="66">
    <w:nsid w:val="5DC79EA8"/>
    <w:multiLevelType w:val="hybridMultilevel"/>
    <w:lvl w:ilvl="0">
      <w:lvlJc w:val="left"/>
      <w:lvlText w:val="%1"/>
      <w:numFmt w:val="decimal"/>
      <w:start w:val="1"/>
    </w:lvl>
    <w:lvl w:ilvl="1">
      <w:lvlJc w:val="left"/>
      <w:lvlText w:val="(%2)"/>
      <w:numFmt w:val="lowerLetter"/>
      <w:start w:val="4"/>
    </w:lvl>
  </w:abstractNum>
  <w:abstractNum w:abstractNumId="67">
    <w:nsid w:val="540A471C"/>
    <w:multiLevelType w:val="hybridMultilevel"/>
    <w:lvl w:ilvl="0">
      <w:lvlJc w:val="left"/>
      <w:lvlText w:val="%1."/>
      <w:numFmt w:val="decimal"/>
      <w:start w:val="9"/>
    </w:lvl>
    <w:lvl w:ilvl="1">
      <w:lvlJc w:val="left"/>
      <w:lvlText w:val="(%2)"/>
      <w:numFmt w:val="lowerLetter"/>
      <w:start w:val="1"/>
    </w:lvl>
  </w:abstractNum>
  <w:abstractNum w:abstractNumId="68">
    <w:nsid w:val="7BD3EE7B"/>
    <w:multiLevelType w:val="hybridMultilevel"/>
    <w:lvl w:ilvl="0">
      <w:lvlJc w:val="left"/>
      <w:lvlText w:val="(%1)"/>
      <w:numFmt w:val="lowerLetter"/>
      <w:start w:val="2"/>
    </w:lvl>
  </w:abstractNum>
  <w:abstractNum w:abstractNumId="69">
    <w:nsid w:val="51D9C564"/>
    <w:multiLevelType w:val="hybridMultilevel"/>
    <w:lvl w:ilvl="0">
      <w:lvlJc w:val="left"/>
      <w:lvlText w:val="%1."/>
      <w:numFmt w:val="decimal"/>
      <w:start w:val="10"/>
    </w:lvl>
  </w:abstractNum>
  <w:abstractNum w:abstractNumId="70">
    <w:nsid w:val="613EFDC5"/>
    <w:multiLevelType w:val="hybridMultilevel"/>
    <w:lvl w:ilvl="0">
      <w:lvlJc w:val="left"/>
      <w:lvlText w:val="%1."/>
      <w:numFmt w:val="decimal"/>
      <w:start w:val="11"/>
    </w:lvl>
    <w:lvl w:ilvl="1">
      <w:lvlJc w:val="left"/>
      <w:lvlText w:val="(%2)"/>
      <w:numFmt w:val="lowerLetter"/>
      <w:start w:val="1"/>
    </w:lvl>
  </w:abstractNum>
  <w:abstractNum w:abstractNumId="71">
    <w:nsid w:val="BF72B14"/>
    <w:multiLevelType w:val="hybridMultilevel"/>
    <w:lvl w:ilvl="0">
      <w:lvlJc w:val="left"/>
      <w:lvlText w:val="%1."/>
      <w:numFmt w:val="decimal"/>
      <w:start w:val="13"/>
    </w:lvl>
    <w:lvl w:ilvl="1">
      <w:lvlJc w:val="left"/>
      <w:lvlText w:val="(%2)"/>
      <w:numFmt w:val="lowerLetter"/>
      <w:start w:val="1"/>
    </w:lvl>
  </w:abstractNum>
  <w:abstractNum w:abstractNumId="72">
    <w:nsid w:val="11447B73"/>
    <w:multiLevelType w:val="hybridMultilevel"/>
    <w:lvl w:ilvl="0">
      <w:lvlJc w:val="left"/>
      <w:lvlText w:val="%1."/>
      <w:numFmt w:val="decimal"/>
      <w:start w:val="15"/>
    </w:lvl>
  </w:abstractNum>
  <w:abstractNum w:abstractNumId="73">
    <w:nsid w:val="42963E5A"/>
    <w:multiLevelType w:val="hybridMultilevel"/>
    <w:lvl w:ilvl="0">
      <w:lvlJc w:val="left"/>
      <w:lvlText w:val="%1."/>
      <w:numFmt w:val="decimal"/>
      <w:start w:val="17"/>
    </w:lvl>
    <w:lvl w:ilvl="1">
      <w:lvlJc w:val="left"/>
      <w:lvlText w:val="(%2)"/>
      <w:numFmt w:val="lowerLetter"/>
      <w:start w:val="1"/>
    </w:lvl>
  </w:abstractNum>
  <w:abstractNum w:abstractNumId="74">
    <w:nsid w:val="A0382C5"/>
    <w:multiLevelType w:val="hybridMultilevel"/>
    <w:lvl w:ilvl="0">
      <w:lvlJc w:val="left"/>
      <w:lvlText w:val="%1."/>
      <w:numFmt w:val="decimal"/>
      <w:start w:val="18"/>
    </w:lvl>
    <w:lvl w:ilvl="1">
      <w:lvlJc w:val="left"/>
      <w:lvlText w:val="(%2)"/>
      <w:numFmt w:val="lowerLetter"/>
      <w:start w:val="1"/>
    </w:lvl>
  </w:abstractNum>
  <w:abstractNum w:abstractNumId="75">
    <w:nsid w:val="8F2B15E"/>
    <w:multiLevelType w:val="hybridMultilevel"/>
    <w:lvl w:ilvl="0">
      <w:lvlJc w:val="left"/>
      <w:lvlText w:val="%1"/>
      <w:numFmt w:val="decimal"/>
      <w:start w:val="1"/>
    </w:lvl>
    <w:lvl w:ilvl="1">
      <w:lvlJc w:val="left"/>
      <w:lvlText w:val="(%2)"/>
      <w:numFmt w:val="lowerRoman"/>
      <w:start w:val="1"/>
    </w:lvl>
  </w:abstractNum>
  <w:abstractNum w:abstractNumId="76">
    <w:nsid w:val="1A32234B"/>
    <w:multiLevelType w:val="hybridMultilevel"/>
    <w:lvl w:ilvl="0">
      <w:lvlJc w:val="left"/>
      <w:lvlText w:val="%1."/>
      <w:numFmt w:val="decimal"/>
      <w:start w:val="19"/>
    </w:lvl>
    <w:lvl w:ilvl="1">
      <w:lvlJc w:val="left"/>
      <w:lvlText w:val="%2"/>
      <w:numFmt w:val="lowerRoman"/>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2019-12-29T14:18:41Z</dcterms:created>
  <dcterms:modified xsi:type="dcterms:W3CDTF">2019-12-29T14:18:41Z</dcterms:modified>
</cp:coreProperties>
</file>