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2000" w:type="dxa"/>
            <w:vAlign w:val="bottom"/>
          </w:tcPr>
          <w:p>
            <w:pPr>
              <w:jc w:val="center"/>
              <w:ind w:right="62"/>
              <w:spacing w:after="0"/>
              <w:rPr>
                <w:sz w:val="20"/>
                <w:szCs w:val="20"/>
                <w:color w:val="auto"/>
              </w:rPr>
            </w:pPr>
            <w:r>
              <w:rPr>
                <w:rFonts w:ascii="Arial" w:cs="Arial" w:eastAsia="Arial" w:hAnsi="Arial"/>
                <w:sz w:val="18"/>
                <w:szCs w:val="18"/>
                <w:b w:val="1"/>
                <w:bCs w:val="1"/>
                <w:color w:val="auto"/>
                <w:w w:val="93"/>
              </w:rPr>
              <w:t>Delaware</w:t>
            </w:r>
          </w:p>
        </w:tc>
        <w:tc>
          <w:tcPr>
            <w:tcW w:w="5400" w:type="dxa"/>
            <w:vAlign w:val="bottom"/>
          </w:tcPr>
          <w:p>
            <w:pPr>
              <w:jc w:val="center"/>
              <w:ind w:left="3899"/>
              <w:spacing w:after="0"/>
              <w:rPr>
                <w:sz w:val="20"/>
                <w:szCs w:val="20"/>
                <w:color w:val="auto"/>
              </w:rPr>
            </w:pPr>
            <w:r>
              <w:rPr>
                <w:rFonts w:ascii="Arial" w:cs="Arial" w:eastAsia="Arial" w:hAnsi="Arial"/>
                <w:sz w:val="18"/>
                <w:szCs w:val="18"/>
                <w:b w:val="1"/>
                <w:bCs w:val="1"/>
                <w:color w:val="auto"/>
                <w:w w:val="89"/>
              </w:rPr>
              <w:t>01-0666114</w:t>
            </w:r>
          </w:p>
        </w:tc>
      </w:tr>
      <w:tr>
        <w:trPr>
          <w:trHeight w:val="149"/>
        </w:trPr>
        <w:tc>
          <w:tcPr>
            <w:tcW w:w="2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400" w:type="dxa"/>
            <w:vAlign w:val="bottom"/>
          </w:tcPr>
          <w:p>
            <w:pPr>
              <w:jc w:val="center"/>
              <w:ind w:left="389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00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 or organization)</w:t>
            </w:r>
          </w:p>
        </w:tc>
        <w:tc>
          <w:tcPr>
            <w:tcW w:w="5400" w:type="dxa"/>
            <w:vAlign w:val="bottom"/>
          </w:tcPr>
          <w:p>
            <w:pPr>
              <w:jc w:val="center"/>
              <w:ind w:left="3899"/>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2000" w:type="dxa"/>
            <w:vAlign w:val="bottom"/>
          </w:tcPr>
          <w:p>
            <w:pPr>
              <w:spacing w:after="0"/>
              <w:rPr>
                <w:sz w:val="24"/>
                <w:szCs w:val="24"/>
                <w:color w:val="auto"/>
              </w:rPr>
            </w:pPr>
          </w:p>
        </w:tc>
        <w:tc>
          <w:tcPr>
            <w:tcW w:w="5400" w:type="dxa"/>
            <w:vAlign w:val="bottom"/>
          </w:tcPr>
          <w:p>
            <w:pPr>
              <w:jc w:val="center"/>
              <w:ind w:right="181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2000" w:type="dxa"/>
            <w:vAlign w:val="bottom"/>
          </w:tcPr>
          <w:p>
            <w:pPr>
              <w:spacing w:after="0"/>
              <w:rPr>
                <w:sz w:val="18"/>
                <w:szCs w:val="18"/>
                <w:color w:val="auto"/>
              </w:rPr>
            </w:pPr>
          </w:p>
        </w:tc>
        <w:tc>
          <w:tcPr>
            <w:tcW w:w="54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2000" w:type="dxa"/>
            <w:vAlign w:val="bottom"/>
          </w:tcPr>
          <w:p>
            <w:pPr>
              <w:spacing w:after="0"/>
              <w:rPr>
                <w:sz w:val="18"/>
                <w:szCs w:val="18"/>
                <w:color w:val="auto"/>
              </w:rPr>
            </w:pPr>
          </w:p>
        </w:tc>
        <w:tc>
          <w:tcPr>
            <w:tcW w:w="5400" w:type="dxa"/>
            <w:vAlign w:val="bottom"/>
          </w:tcPr>
          <w:p>
            <w:pPr>
              <w:jc w:val="right"/>
              <w:ind w:right="3339"/>
              <w:spacing w:after="0"/>
              <w:rPr>
                <w:sz w:val="20"/>
                <w:szCs w:val="20"/>
                <w:color w:val="auto"/>
              </w:rPr>
            </w:pPr>
            <w:r>
              <w:rPr>
                <w:rFonts w:ascii="Arial" w:cs="Arial" w:eastAsia="Arial" w:hAnsi="Arial"/>
                <w:sz w:val="18"/>
                <w:szCs w:val="18"/>
                <w:b w:val="1"/>
                <w:bCs w:val="1"/>
                <w:color w:val="auto"/>
              </w:rPr>
              <w:t>60607</w:t>
            </w:r>
          </w:p>
        </w:tc>
      </w:tr>
      <w:tr>
        <w:trPr>
          <w:trHeight w:val="149"/>
        </w:trPr>
        <w:tc>
          <w:tcPr>
            <w:tcW w:w="2000" w:type="dxa"/>
            <w:vAlign w:val="bottom"/>
          </w:tcPr>
          <w:p>
            <w:pPr>
              <w:spacing w:after="0"/>
              <w:rPr>
                <w:sz w:val="12"/>
                <w:szCs w:val="12"/>
                <w:color w:val="auto"/>
              </w:rPr>
            </w:pPr>
          </w:p>
        </w:tc>
        <w:tc>
          <w:tcPr>
            <w:tcW w:w="54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2000" w:type="dxa"/>
            <w:vAlign w:val="bottom"/>
          </w:tcPr>
          <w:p>
            <w:pPr>
              <w:spacing w:after="0"/>
              <w:rPr>
                <w:sz w:val="16"/>
                <w:szCs w:val="16"/>
                <w:color w:val="auto"/>
              </w:rPr>
            </w:pPr>
          </w:p>
        </w:tc>
        <w:tc>
          <w:tcPr>
            <w:tcW w:w="54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000" w:type="dxa"/>
            <w:vAlign w:val="bottom"/>
          </w:tcPr>
          <w:p>
            <w:pPr>
              <w:spacing w:after="0"/>
              <w:rPr>
                <w:sz w:val="24"/>
                <w:szCs w:val="24"/>
                <w:color w:val="auto"/>
              </w:rPr>
            </w:pPr>
          </w:p>
        </w:tc>
        <w:tc>
          <w:tcPr>
            <w:tcW w:w="5400" w:type="dxa"/>
            <w:vAlign w:val="bottom"/>
          </w:tcPr>
          <w:p>
            <w:pPr>
              <w:jc w:val="right"/>
              <w:ind w:right="299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2000" w:type="dxa"/>
            <w:vAlign w:val="bottom"/>
          </w:tcPr>
          <w:p>
            <w:pPr>
              <w:spacing w:after="0"/>
              <w:rPr>
                <w:sz w:val="16"/>
                <w:szCs w:val="16"/>
                <w:color w:val="auto"/>
              </w:rPr>
            </w:pPr>
          </w:p>
        </w:tc>
        <w:tc>
          <w:tcPr>
            <w:tcW w:w="54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70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tcPr>
          <w:p>
            <w:pPr>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70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8860" w:type="dxa"/>
            <w:vAlign w:val="bottom"/>
            <w:gridSpan w:val="2"/>
          </w:tcPr>
          <w:p>
            <w:pPr>
              <w:spacing w:after="0" w:line="207" w:lineRule="exact"/>
              <w:rPr>
                <w:sz w:val="20"/>
                <w:szCs w:val="20"/>
                <w:color w:val="auto"/>
              </w:rPr>
            </w:pPr>
            <w:r>
              <w:rPr>
                <w:rFonts w:ascii="Arial" w:cs="Arial" w:eastAsia="Arial" w:hAnsi="Arial"/>
                <w:sz w:val="18"/>
                <w:szCs w:val="18"/>
                <w:color w:val="auto"/>
                <w:w w:val="91"/>
              </w:rPr>
              <w:t xml:space="preserve">Indicate by check mark whether the registrant is a shell company (as defined in Rule 12b-2 of the Exchange Act).  Yes </w:t>
            </w:r>
            <w:r>
              <w:rPr>
                <w:rFonts w:ascii="MS PGothic" w:cs="MS PGothic" w:eastAsia="MS PGothic" w:hAnsi="MS PGothic"/>
                <w:sz w:val="18"/>
                <w:szCs w:val="18"/>
                <w:color w:val="auto"/>
                <w:w w:val="91"/>
              </w:rPr>
              <w:t>☐</w:t>
            </w:r>
          </w:p>
        </w:tc>
        <w:tc>
          <w:tcPr>
            <w:tcW w:w="21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304"/>
        </w:trPr>
        <w:tc>
          <w:tcPr>
            <w:tcW w:w="8860" w:type="dxa"/>
            <w:vAlign w:val="bottom"/>
            <w:gridSpan w:val="2"/>
          </w:tcPr>
          <w:p>
            <w:pPr>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w w:val="93"/>
              </w:rPr>
              <w:t>As of April 23, 2014, 23,550,025 shares of the registrant’s common stock, par value $0.01 per share, were outstanding.</w:t>
            </w: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70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708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20"/>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Financial Statements (Unaudited)</w:t>
              </w:r>
            </w:hyperlink>
          </w:p>
        </w:tc>
        <w:tc>
          <w:tcPr>
            <w:tcW w:w="638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0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770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Earnings and Other Comprehensive Income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Stockholders’ Equity</w:t>
              </w:r>
            </w:hyperlink>
          </w:p>
        </w:tc>
        <w:tc>
          <w:tcPr>
            <w:tcW w:w="46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w:t>
              </w:r>
            </w:hyperlink>
          </w:p>
        </w:tc>
        <w:tc>
          <w:tcPr>
            <w:tcW w:w="600" w:type="dxa"/>
            <w:vAlign w:val="bottom"/>
            <w:tcBorders>
              <w:top w:val="single" w:sz="8" w:color="0000EE"/>
            </w:tcBorders>
            <w:gridSpan w:val="3"/>
          </w:tcPr>
          <w:p>
            <w:pPr>
              <w:spacing w:after="0"/>
              <w:rPr>
                <w:sz w:val="17"/>
                <w:szCs w:val="17"/>
                <w:color w:val="auto"/>
              </w:rPr>
            </w:pPr>
          </w:p>
        </w:tc>
        <w:tc>
          <w:tcPr>
            <w:tcW w:w="632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1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664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980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802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2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36">
              <w:r>
                <w:rPr>
                  <w:rFonts w:ascii="Arial" w:cs="Arial" w:eastAsia="Arial" w:hAnsi="Arial"/>
                  <w:sz w:val="18"/>
                  <w:szCs w:val="18"/>
                  <w:b w:val="1"/>
                  <w:bCs w:val="1"/>
                  <w:color w:val="0000EE"/>
                  <w:w w:val="96"/>
                </w:rPr>
                <w:t>Part II – Other Information</w:t>
              </w:r>
            </w:hyperlink>
          </w:p>
        </w:tc>
        <w:tc>
          <w:tcPr>
            <w:tcW w:w="8860" w:type="dxa"/>
            <w:vAlign w:val="bottom"/>
            <w:gridSpan w:val="15"/>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846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80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Unregistered Sales of Equity Securities and Use of Proceeds</w:t>
              </w:r>
            </w:hyperlink>
          </w:p>
        </w:tc>
        <w:tc>
          <w:tcPr>
            <w:tcW w:w="544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98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Defaults Upon Senior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48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Other Information</w:t>
              </w:r>
            </w:hyperlink>
          </w:p>
        </w:tc>
        <w:tc>
          <w:tcPr>
            <w:tcW w:w="848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98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tcPr>
          <w:p>
            <w:pPr>
              <w:spacing w:after="0"/>
              <w:rPr>
                <w:rFonts w:ascii="Arial" w:cs="Arial" w:eastAsia="Arial" w:hAnsi="Arial"/>
                <w:sz w:val="18"/>
                <w:szCs w:val="18"/>
                <w:b w:val="1"/>
                <w:bCs w:val="1"/>
                <w:color w:val="0000EE"/>
                <w:w w:val="89"/>
              </w:rPr>
            </w:pPr>
            <w:hyperlink w:anchor="page39">
              <w:r>
                <w:rPr>
                  <w:rFonts w:ascii="Arial" w:cs="Arial" w:eastAsia="Arial" w:hAnsi="Arial"/>
                  <w:sz w:val="18"/>
                  <w:szCs w:val="18"/>
                  <w:b w:val="1"/>
                  <w:bCs w:val="1"/>
                  <w:color w:val="0000EE"/>
                  <w:w w:val="89"/>
                </w:rPr>
                <w:t>Signature</w:t>
              </w:r>
            </w:hyperlink>
          </w:p>
        </w:tc>
        <w:tc>
          <w:tcPr>
            <w:tcW w:w="4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9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21,641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58,131</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Receivables from clients, net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100,217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123,750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services,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55,125</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11,059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7,994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15,498</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12,908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19,740</w:t>
            </w: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243,474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272,514</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38,954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38,742</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16,141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16,485</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24,397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21,222</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544,874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536,637</w:t>
            </w: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867,840</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885,600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8,185</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20,473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19,180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benefits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37,682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97,677</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Bank borrowings, current portion</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consideration for business acquisitions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5,177</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2,917</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15,248</w:t>
            </w:r>
          </w:p>
        </w:tc>
      </w:tr>
      <w:tr>
        <w:trPr>
          <w:trHeight w:val="223"/>
        </w:trPr>
        <w:tc>
          <w:tcPr>
            <w:tcW w:w="20" w:type="dxa"/>
            <w:vAlign w:val="bottom"/>
          </w:tcPr>
          <w:p>
            <w:pPr>
              <w:spacing w:after="0"/>
              <w:rPr>
                <w:sz w:val="19"/>
                <w:szCs w:val="19"/>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111,768</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173,384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Deferred compensation and other liabilities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8,903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5,360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borrowings, net of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137,500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143,750</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Deferred lease incentives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13,500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12,355</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22,786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20,487</w:t>
            </w:r>
          </w:p>
        </w:tc>
      </w:tr>
      <w:tr>
        <w:trPr>
          <w:trHeight w:val="223"/>
        </w:trPr>
        <w:tc>
          <w:tcPr>
            <w:tcW w:w="20" w:type="dxa"/>
            <w:vAlign w:val="bottom"/>
          </w:tcPr>
          <w:p>
            <w:pPr>
              <w:spacing w:after="0"/>
              <w:rPr>
                <w:sz w:val="19"/>
                <w:szCs w:val="19"/>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182,689</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$0.01 par value; 500,000,000 shares authorized; 25,694,215 and 25,246,565 shares issued at March 31,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 and December 31, 2013, respectively</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Treasury stock, at cost, 2,040,395 and 1,993,769 shares at March 31, 2014 and December 31, 2013, respectively</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(91,146)</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(88,091)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455,319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443,144</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209,889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175,763</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w:t>
            </w:r>
          </w:p>
        </w:tc>
      </w:tr>
      <w:tr>
        <w:trPr>
          <w:trHeight w:val="230"/>
        </w:trPr>
        <w:tc>
          <w:tcPr>
            <w:tcW w:w="20" w:type="dxa"/>
            <w:vAlign w:val="bottom"/>
          </w:tcPr>
          <w:p>
            <w:pPr>
              <w:spacing w:after="0"/>
              <w:rPr>
                <w:sz w:val="20"/>
                <w:szCs w:val="20"/>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573,383</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530,264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867,840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885,600</w:t>
            </w: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6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reimbursable expenses: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Revenues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210,731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Total revenues and reimbursable expenses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229,834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179,372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Direct costs and reimbursable expenses </w:t>
            </w:r>
            <w:r>
              <w:rPr>
                <w:rFonts w:ascii="Arial" w:cs="Arial" w:eastAsia="Arial" w:hAnsi="Arial"/>
                <w:sz w:val="18"/>
                <w:szCs w:val="18"/>
                <w:color w:val="auto"/>
              </w:rPr>
              <w:t>(exclusive of depreciation and amortization shown in operating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Direct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123,610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106,128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 and software development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Reimbursable expenses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direct costs and reimbursable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144,142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122,137</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 and other operating gains: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Restructuring charges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 gain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 and other operating gains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35,892</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41,819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Interest expense, net of interest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Total other expense, net</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11,337</w:t>
            </w: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basic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from continuing operations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Loss from discontinued operations, net of tax</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Net earnings per diluted share: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from continuing operations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Loss from discontinued operations,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Weighted average shares used in calculating earnings per share: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23,086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34,126</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net of tax</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Unrealized gain (loss) on cash flow hedging instruments,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60" w:type="dxa"/>
            <w:vAlign w:val="bottom"/>
            <w:gridSpan w:val="5"/>
            <w:vMerge w:val="restart"/>
          </w:tcPr>
          <w:p>
            <w:pPr>
              <w:jc w:val="right"/>
              <w:ind w:right="12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5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Retained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Paid-In</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Comprehensive</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8"/>
              </w:rPr>
              <w:t>Capital</w:t>
            </w:r>
          </w:p>
        </w:tc>
        <w:tc>
          <w:tcPr>
            <w:tcW w:w="7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2"/>
                <w:szCs w:val="12"/>
                <w:color w:val="auto"/>
              </w:rPr>
            </w:pPr>
          </w:p>
        </w:tc>
        <w:tc>
          <w:tcPr>
            <w:tcW w:w="13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2013</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24,453,461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(2,003,704)</w:t>
            </w:r>
          </w:p>
        </w:tc>
        <w:tc>
          <w:tcPr>
            <w:tcW w:w="1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$(88,091)</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443,144</w:t>
            </w: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$ 175,763</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73"/>
              </w:rPr>
              <w:t>(797)</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530,264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34,126</w:t>
            </w:r>
          </w:p>
        </w:tc>
        <w:tc>
          <w:tcPr>
            <w:tcW w:w="100" w:type="dxa"/>
            <w:vAlign w:val="bottom"/>
          </w:tcPr>
          <w:p>
            <w:pPr>
              <w:spacing w:after="0"/>
              <w:rPr>
                <w:sz w:val="12"/>
                <w:szCs w:val="12"/>
                <w:color w:val="auto"/>
              </w:rPr>
            </w:pPr>
          </w:p>
        </w:tc>
        <w:tc>
          <w:tcPr>
            <w:tcW w:w="132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(130)</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connection with:</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ind w:left="280"/>
              <w:spacing w:after="0" w:line="149" w:lineRule="exact"/>
              <w:rPr>
                <w:sz w:val="20"/>
                <w:szCs w:val="20"/>
                <w:color w:val="auto"/>
              </w:rPr>
            </w:pPr>
            <w:r>
              <w:rPr>
                <w:rFonts w:ascii="Arial" w:cs="Arial" w:eastAsia="Arial" w:hAnsi="Arial"/>
                <w:sz w:val="14"/>
                <w:szCs w:val="14"/>
                <w:color w:val="auto"/>
              </w:rPr>
              <w:t>Restricted stock awards, net of cancellations</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329,626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(961)</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30,456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740</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7,973</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redeemed for employee tax withholdings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(46,704)</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line="149" w:lineRule="exact"/>
              <w:rPr>
                <w:sz w:val="20"/>
                <w:szCs w:val="20"/>
                <w:color w:val="auto"/>
              </w:rPr>
            </w:pPr>
            <w:r>
              <w:rPr>
                <w:rFonts w:ascii="Arial" w:cs="Arial" w:eastAsia="Arial" w:hAnsi="Arial"/>
                <w:sz w:val="14"/>
                <w:szCs w:val="14"/>
                <w:color w:val="auto"/>
              </w:rPr>
              <w:t>Income tax benefit on share-based compensation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3,477</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31, 2014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24,813,543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(2,051,369)</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(91,146)</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455,319</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6"/>
              </w:rPr>
              <w:t>$ 209,889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(927)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573,383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Three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34,126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7,157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Allowances for doubtful accounts and unbilled services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Changes in operating assets and liabilities, net of businesses acquired: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receivables from clients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27,757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(Increase) decrease in unbilled services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(34,329)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current income tax receivable / payable, net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(13,703)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(Increase) decrease in other assets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5,778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accounts payable and accrued liabilities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Increase (decrease) in accrued payroll and related benefits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(57,169)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(27,018)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deferred revenues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700"/>
              <w:spacing w:after="0"/>
              <w:rPr>
                <w:sz w:val="20"/>
                <w:szCs w:val="20"/>
                <w:color w:val="auto"/>
              </w:rPr>
            </w:pPr>
            <w:r>
              <w:rPr>
                <w:rFonts w:ascii="Arial" w:cs="Arial" w:eastAsia="Arial" w:hAnsi="Arial"/>
                <w:sz w:val="18"/>
                <w:szCs w:val="18"/>
                <w:color w:val="auto"/>
              </w:rPr>
              <w:t>Net cash used in operating activities</w:t>
            </w:r>
          </w:p>
        </w:tc>
        <w:tc>
          <w:tcPr>
            <w:tcW w:w="1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(9,165)</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(22,990)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(4,840)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life insurance policies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Purchases of businesses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(17,430)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internally developed software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Proceeds from note receivable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(22,218)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Shares redeemed for employee tax withholdings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(3,067)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share-based compensation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Proceeds from borrowings under credit facility</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Repayments on credit facility</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Payments for capital lease obligations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provided by financing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10,265</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(36,490)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58,131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21,641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Property and equipment expenditures included in accounts payable and accrued expenses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4,174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 related to business acquisitions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Huron Consulting Group is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w:t>
      </w:r>
    </w:p>
    <w:p>
      <w:pPr>
        <w:spacing w:after="0" w:line="32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accompanying unaudited Consolidated Financial Statements reflect the financial position, results of operations and cash flows as of and for the three months ended March 31, 2014 and 2013.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the Consolidated Financial Statements and notes thereto for the year ended December 31, 2013 included in our Annual Report on Form 10-K.</w:t>
      </w:r>
    </w:p>
    <w:p>
      <w:pPr>
        <w:spacing w:after="0" w:line="19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Certain amounts reported in the previous year have been reclassified to conform to the 2014 presentation. Our results for any interim period are not necessarily indicative of results for a full year or any other interim period.</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During the fourth quarter of 2013, we identified that accrued capital expenditures were incorrectly classified as Purchases of property and equipment, net within the investing activities section of the Consolidated Statements of Cash Flows. The Consolidated Statements of Cash Flows for the three months ended March 31, 2013 presented herein have been revised to reflect the correction of this error. The result of this correction was an increase in net cash used in investing activities of $1.8 million in the first quarter of 2013 with an offsetting decrease in net cash used in operating activities. This classification error was not considered material for the quarters ended March 31, 2013, June 30, 2013, and September 30, 2013.</w:t>
      </w:r>
    </w:p>
    <w:p>
      <w:pPr>
        <w:spacing w:after="0" w:line="31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April 2014, the Financial Accounting Standards Board (“FASB”) issued Accounting Standards Update (“ASU”) 2014-08, Presentation of Financial Statements (Topic 205) and Property, Plant, and Equipment (Topic 360), Reporting Discontinued Operations and Disclosures of Disposals of Components of an Entity. This guidance includes amendments that change the requirements for reporting discontinued operations and require additional disclosures about discontinued operations. Under the new guidance, only disposals representing a strategic shift in operations that has (or will have) a major effect on the entity’s operations and financial results should be presented as discontinued operations. Examples include a disposal of a major geographic area, a major line of business, a major equity method investment, or other major parts of an entity. Additionally, the revised guidance requires expanded disclosures in the financial statements for discontinued operations as well as for disposals of significant components of an entity that do not qualify for discontinued operations presentation. This guidance is effective for the Company beginning in the first quarter of 2015. We do not expect the adoption of this guidance to have a material impact on our consolidated financial statements.</w:t>
      </w:r>
    </w:p>
    <w:p>
      <w:pPr>
        <w:spacing w:after="0" w:line="18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July 2013, the FASB issued ASU No. 2013-11, Presentation of an Unrecognized Tax Benefit When a Net Operating Loss Carryforward, a Similar Tax Loss, or a Tax Credit Carryforward Exists. This guidance requires that an unrecognized tax benefit, or a portion of an unrecognized tax benefit, be presented in the financial statements as either a reduction to a deferred tax asset or separately as a liability depending on the existence, availability and/or use of an operating loss carryforward, a similar tax loss, or a tax credit carryforward. The Company adopted ASU 2013-11 effective January 1, 2014. The adoption of this guidance did not have any effect on the Company’s consolidated financial statements.</w:t>
      </w:r>
    </w:p>
    <w:p>
      <w:pPr>
        <w:spacing w:after="0" w:line="17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March 2013, the FASB issued ASU No. 2013-05, Parent’s Accounting for the Cumulative Translation Adjustment Upon Derecognition of Certain Subsidiaries or Groups of Assets Within a Foreign Entity or of an Investment in a Foreign Entity, which amends current accounting guidance on foreign currency matters. This guidance requires that the entire amount of a cumulative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The Company adopted ASU 2013-05 effective January 1, 2014. The adoption of this guidance did not have any effect on the Company’s consolidated financial statements.</w:t>
      </w:r>
    </w:p>
    <w:p>
      <w:pPr>
        <w:spacing w:after="0" w:line="31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three months ended March 31,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Huron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Huron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Huron</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Huron</w:t>
            </w: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Education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and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3"/>
              </w:rPr>
              <w:t>Business</w:t>
            </w: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Healthcare</w:t>
            </w: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Legal</w:t>
            </w:r>
          </w:p>
        </w:tc>
        <w:tc>
          <w:tcPr>
            <w:tcW w:w="1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Sciences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Advisory</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2013:</w:t>
            </w: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Goodwill</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$355,880</w:t>
            </w: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$53,159</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$ 111,504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159,077</w:t>
            </w:r>
          </w:p>
        </w:tc>
        <w:tc>
          <w:tcPr>
            <w:tcW w:w="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$ 679,620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w:t>
            </w:r>
          </w:p>
        </w:tc>
        <w:tc>
          <w:tcPr>
            <w:tcW w:w="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(142,983)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(142,983)</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Goodwill, net as of December 31, 2013</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355,880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53,159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16,094</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Goodwill recorded in connection with business combinations</w:t>
            </w:r>
          </w:p>
        </w:tc>
        <w:tc>
          <w:tcPr>
            <w:tcW w:w="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Goodwill reallocation</w:t>
            </w:r>
          </w:p>
        </w:tc>
        <w:tc>
          <w:tcPr>
            <w:tcW w:w="96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(16,744)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16,744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Goodwill, net as of March 31, 2014</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355,880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53,250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102,906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32,838</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$ 544,874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2014, we reorganized our internal operating structure to better align our service offerings and moved our Enterprise Performance Management (“EPM”) practice (formerly referred to as Blue Stone International, a business which we acquired during the fourth quarter of 2013) from the Huron Education and Life Sciences segment to the Huron Business Advisory segment. As a result of this change, we reassigned the goodwill balance of the EPM practice, which totaled $16.7 million as of March 31, 2014, from the Huron Education and Life Sciences reporting unit to the EPM reporting unit, which is part of the Huron Business Advisory segment.</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conjunction with the goodwill reassignment, we performed an interim impairment test for the goodwill balances within our Huron Education and Life Sciences and EPM reporting units as of March 31, 2014. Our goodwill impairment test was performed using the quantitative two-step process. Based on the results of the first step of the goodwill impairment test, we determined that the fair values of our Huron Education and Life Sciences and EPM reporting units exceeded their carrying values, including goodwill. As the fair value of each reporting unit exceeded its carrying value, including goodwill, the second step of the goodwill impairment test was not necessary.</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first quarter of 2014, the Company completed the acquisition of The Frankel Group Associates LLC, a New York-based life sciences consulting firm, within the Huron Education and Life Sciences segment. The aggregate fair value of the consideration transferred totaled $18.0 million, which includes the fair value of contingent consideration of $0.6 million. As part of the purchase price allocation, we recorded $5.7 million of intangible assets and $8.3 million of goodwill.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2014 and December 31, 2013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Useful</w:t>
            </w: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4"/>
                <w:szCs w:val="14"/>
                <w:b w:val="1"/>
                <w:bCs w:val="1"/>
                <w:color w:val="auto"/>
              </w:rPr>
              <w:t>March 31, 2014</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December 31, 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Gross</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8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Life in</w:t>
            </w: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200" w:type="dxa"/>
            <w:vAlign w:val="bottom"/>
            <w:gridSpan w:val="3"/>
            <w:vMerge w:val="continue"/>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Years</w:t>
            </w:r>
          </w:p>
        </w:tc>
        <w:tc>
          <w:tcPr>
            <w:tcW w:w="9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9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3 to 13</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35,747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15,990</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31,946</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14,814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agreements</w:t>
            </w:r>
          </w:p>
        </w:tc>
        <w:tc>
          <w:tcPr>
            <w:tcW w:w="8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1 to 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4,014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5,480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Trade names</w:t>
            </w: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1 to 8</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software</w:t>
            </w:r>
          </w:p>
        </w:tc>
        <w:tc>
          <w:tcPr>
            <w:tcW w:w="8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3 to 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4,041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Document reviewer database</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License</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560" w:type="dxa"/>
            <w:vAlign w:val="bottom"/>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48,024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23,627</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42,776</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Identifiable intangible assets with finite lives are amortized over their estimated useful lives. The majority of customer relationships are amortized on an accelerated basis to correspond to the cash flows expected to be derived from the relationships. All other intangible assets are amortized on a straight-line basis.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Intangible assets amortization expense was $2.5 million and $1.5 million for the three months ended March 31, 2014 and March 31, 2013, respectively. Estimated annual intangible assets amortization expense is $9.0 million for 2014, $6.4 million for 2015, $4.5 million for 2016, $3.1 million for 2017, $2.1 million for 2018, and $1.1 million for 2019. Actual future amortization expense could differ from these estimated amounts as a result of future acquisitions and other factors.</w:t>
      </w:r>
    </w:p>
    <w:p>
      <w:pPr>
        <w:spacing w:after="0" w:line="3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Earnings per share under the basic and diluted computations are as follows:</w:t>
      </w:r>
    </w:p>
    <w:p>
      <w:pPr>
        <w:spacing w:after="0" w:line="206"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Three Months Ended</w:t>
      </w:r>
    </w:p>
    <w:p>
      <w:pPr>
        <w:jc w:val="center"/>
        <w:ind w:left="67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34,126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34,126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 average common shares outstanding – basic</w:t>
            </w: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22,588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equivalents</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w w:val="91"/>
              </w:rPr>
              <w:t>Weighted average common shares outstanding – diluted</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23,086</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700" w:type="dxa"/>
            <w:vAlign w:val="bottom"/>
            <w:vMerge w:val="restart"/>
          </w:tcPr>
          <w:p>
            <w:pPr>
              <w:jc w:val="right"/>
              <w:ind w:right="239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computation of diluted earnings per share excludes unvested restricted common stock, outstanding options and other common stock equivalents in periods where inclusion of such potential common stock instruments would be anti-dilutive. There were no anti-dilutive common stock equivalents for the three months ended March 31, 2014. The weighted average common stock equivalents presented above do not include the effect of approximately 78,900 common stock equivalents for the three months ended March 31, 2013, because their inclusion would be anti-dilutive.</w:t>
      </w:r>
    </w:p>
    <w:p>
      <w:pPr>
        <w:spacing w:after="0" w:line="29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2011, the Company and certain of the Company’s subsidiaries as guarantors entered into an Amended and Restated Credit Agreement with various financial institutions, as amended by the first, second, and third amendments to the credit agreement dated as of August 31, 2012, September 25, 2013, and February 14, 2014, respectively (as amended and modified, the “2011 Credit Agreement”). The second amendment to the credit agreement extended the term of the 2011 Credit Agreement from August 31, 2017 to September 25, 2018, and provided for less restrictive covenants, among other things.</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obligations under the 2011 Credit Agreement are secured pursuant to a Security Agreement with Bank of America, N.A. as Collateral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the date of the second amendment to the credit agreement, the Term Loan had a principal amount outstanding of $181.3 million. This principal balance is subject to scheduled quarterly amortization payments that began in 2013. The aggregate annual quarterly amortization payments, expressed as a percentage of the original principal balance, are as follows: 6.9% in 2013, 13.8% in 2014, 15.8% in 2015, 16.6% in 2016, 16.6% in 2017, and 30.3% in 2018, as set forth in the 2011 Credit Agreement. The maturity date for the Term Loan is September 25, 2018, at which time the outstanding principal balance and all accrued interest will be due and payable in full. All outstanding borrowings under the Revolver, as amended, will be due upon expiration of the 2011 Credit Agreement on September 25, 2018. As of March 31, 2014, the Company has made all scheduled quarterly amortization payments as they have come due in accordance with the Term Loan.</w:t>
      </w:r>
    </w:p>
    <w:p>
      <w:pPr>
        <w:spacing w:after="0" w:line="18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2011 Credit Agreement contains quarterly financial covenants that require us to maintain a minimum fixed charge coverage ratio of 2.25 to 1.00 and a maximum leverage ratio that varies throughout the term and was 3.25 to 1.00 as of March 31, 2014, as those ratios are defined therein, as well as a minimum net worth greater than $150 million. At March 31, 2014, we were in compliance with these financial covenants with a fixed charge coverage ratio of 4.75 to 1.00, a leverage ratio of 0.91 to 1.00, and net worth greater than $150 million. At December 31, 2013, we were also in compliance with these financial debt covenants.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March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2014, outstanding letters of credit totaled $5.5 million and are primarily used as security deposits for our office facilities. As of March 31, 2014, the unused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borrowing capacity under the 2011 Credit Agreement was $242.0 million. Borrowings outstanding under this credit facility at March 31, 2014 totaled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$162.5 million, all of which was under the Term Loan. These borrowings carried a weighted average interest rate of 2.3%, including the effect of the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swaps described below in Note 8 “Derivative Instruments and Hedging Activity.” Borrowings outstanding at December 31, 2013 were $168.8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carried a weighted average interest rate of 2.0%.</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first quarter of 2014, we incurred a $0.1 million pretax restructuring charge related to workforce reductions in our London office to better align our resources with market demand in our Huron Legal segment. We did not incur a restructuring charge during the first quarter of 2013.</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March 31, 2014, our restructuring charge liability is $0.4 million, and primarily consists of $0.3 million related to the present value of remaining lease payments, net of estimated sublease income, for our vacated office spaces in San Francisco and Washington, D.C. and $0.1 million related to severance costs. The restructuring charge liability is included as a component of Accrued expenses and Deferred compensation and other liabilities.</w:t>
      </w:r>
    </w:p>
    <w:p>
      <w:pPr>
        <w:spacing w:after="0" w:line="31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Activity</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in Note 6 “Borrowings.”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30, 2012, we entered into a forward amortizing interest rate swap agreement effective on May 31, 2012 and ending on April 14, 2016. We entered into this derivative instrument to further hedge against the interest rate risks of our variable-rate borrowings.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The swap has an initial notional amount of $60.0 million and amortizes such that, collectively with our other two interest rate swaps, we are effectively fixing the interest rate on 80% of our Term Loan borrowings throughout the term of the swap agreement. Under the terms of the interest rate swap agreement, we will receive from the counterparty interest on the notional amount based on one-month LIBOR and we will pay to the counterparty a fixed rate of 0.985%.</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ASC Topic 815, “Derivatives and Hedging,” requires companies to recognize all derivative instruments as either assets or liabilities at fair value on the balance sheet. In accordance with ASC Topic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March 31, 2014, it was anticipated that $0.5 million of the losses, net of tax, currently recorded in accumulated other comprehensive loss will be reclassified into earnings within the next 12 months. Our interest rate swap agreements were effective during the three months ended March 31, 2014.</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additional information relating to these interest rate swaps designated as cash flow hedging instruments as of March 31, 2014 and December 31, 2013.</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gridSpan w:val="5"/>
          </w:tcPr>
          <w:p>
            <w:pPr>
              <w:ind w:left="260"/>
              <w:spacing w:after="0"/>
              <w:rPr>
                <w:sz w:val="20"/>
                <w:szCs w:val="20"/>
                <w:color w:val="auto"/>
              </w:rPr>
            </w:pPr>
            <w:r>
              <w:rPr>
                <w:rFonts w:ascii="Arial" w:cs="Arial" w:eastAsia="Arial" w:hAnsi="Arial"/>
                <w:sz w:val="14"/>
                <w:szCs w:val="14"/>
                <w:b w:val="1"/>
                <w:bCs w:val="1"/>
                <w:color w:val="auto"/>
              </w:rPr>
              <w:t>Fair Value (Derivative Asset and Liability)</w:t>
            </w:r>
          </w:p>
        </w:tc>
        <w:tc>
          <w:tcPr>
            <w:tcW w:w="0" w:type="dxa"/>
            <w:vAlign w:val="bottom"/>
          </w:tcPr>
          <w:p>
            <w:pPr>
              <w:spacing w:after="0"/>
              <w:rPr>
                <w:sz w:val="1"/>
                <w:szCs w:val="1"/>
                <w:color w:val="auto"/>
              </w:rPr>
            </w:pPr>
          </w:p>
        </w:tc>
      </w:tr>
      <w:tr>
        <w:trPr>
          <w:trHeight w:val="11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5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20"/>
              <w:spacing w:after="0" w:line="119" w:lineRule="exact"/>
              <w:rPr>
                <w:sz w:val="20"/>
                <w:szCs w:val="20"/>
                <w:color w:val="auto"/>
              </w:rPr>
            </w:pPr>
            <w:r>
              <w:rPr>
                <w:rFonts w:ascii="Arial" w:cs="Arial" w:eastAsia="Arial" w:hAnsi="Arial"/>
                <w:sz w:val="13"/>
                <w:szCs w:val="13"/>
                <w:b w:val="1"/>
                <w:bCs w:val="1"/>
                <w:color w:val="auto"/>
              </w:rPr>
              <w:t>March 31,</w:t>
            </w:r>
          </w:p>
        </w:tc>
        <w:tc>
          <w:tcPr>
            <w:tcW w:w="10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78"/>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8"/>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Other non-current</w:t>
            </w: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927</w:t>
            </w:r>
          </w:p>
        </w:tc>
        <w:tc>
          <w:tcPr>
            <w:tcW w:w="11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and other liabilities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20" w:type="dxa"/>
            <w:vAlign w:val="bottom"/>
          </w:tcPr>
          <w:p>
            <w:pPr>
              <w:jc w:val="right"/>
              <w:ind w:right="75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 liabilities on a gross basis on the Consolidated Balance Sheets. If we had elected to net derivative instruments subject to master netting agreements as of March 31, 2014 and December 31, 2013, the impact would have reduced our derivative assets and liabilities by $0.8 million for both periods.</w:t>
      </w:r>
    </w:p>
    <w:p>
      <w:pPr>
        <w:spacing w:after="0" w:line="18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do not use derivative instruments for trading or other speculative purposes, and we did not have any other derivative instruments or hedging activities as of March 31, 2014. Refer to Note 10 “Other Comprehensive Income (Loss)” for additional information on our derivative instruments.</w:t>
      </w:r>
    </w:p>
    <w:p>
      <w:pPr>
        <w:spacing w:after="0" w:line="29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of our assets and liabilities are measured at fair value. ASC Topic 820, “Fair Value Measurements and Disclosures,” defines fair value as the price that would be received to sell an asset or the price that would be paid to transfer a liability in an orderly transaction between market participants at the measurement date. ASC Topic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459" w:right="23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Quoted prices in active markets for identical assets or liabilities that the reporting entity has the ability to access at the measurement date.</w:t>
      </w:r>
    </w:p>
    <w:p>
      <w:pPr>
        <w:spacing w:after="0" w:line="140" w:lineRule="exact"/>
        <w:rPr>
          <w:sz w:val="20"/>
          <w:szCs w:val="20"/>
          <w:color w:val="auto"/>
        </w:rPr>
      </w:pPr>
    </w:p>
    <w:p>
      <w:pPr>
        <w:sectPr>
          <w:pgSz w:w="11900" w:h="16838" w:orient="portrait"/>
          <w:cols w:equalWidth="0" w:num="2">
            <w:col w:w="1040" w:space="340"/>
            <w:col w:w="10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ind w:right="100"/>
        <w:spacing w:after="0" w:line="26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73" w:lineRule="exact"/>
        <w:rPr>
          <w:sz w:val="20"/>
          <w:szCs w:val="20"/>
          <w:color w:val="auto"/>
        </w:rPr>
      </w:pPr>
    </w:p>
    <w:p>
      <w:pPr>
        <w:sectPr>
          <w:pgSz w:w="11900" w:h="16838" w:orient="portrait"/>
          <w:cols w:equalWidth="0" w:num="2">
            <w:col w:w="1040" w:space="340"/>
            <w:col w:w="1004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Unobservable inputs for the asset or liability, and include situations in which there is little, if any, market activity for the asset or liability.</w:t>
      </w:r>
    </w:p>
    <w:p>
      <w:pPr>
        <w:spacing w:after="0" w:line="200" w:lineRule="exact"/>
        <w:rPr>
          <w:sz w:val="20"/>
          <w:szCs w:val="20"/>
          <w:color w:val="auto"/>
        </w:rPr>
      </w:pPr>
    </w:p>
    <w:p>
      <w:pPr>
        <w:sectPr>
          <w:pgSz w:w="11900" w:h="16838" w:orient="portrait"/>
          <w:cols w:equalWidth="0" w:num="2">
            <w:col w:w="1040" w:space="340"/>
            <w:col w:w="10040"/>
          </w:cols>
          <w:pgMar w:left="240" w:top="459" w:right="239" w:bottom="1440" w:gutter="0" w:footer="0" w:header="0"/>
          <w:type w:val="continuous"/>
        </w:sectPr>
      </w:pPr>
    </w:p>
    <w:p>
      <w:pPr>
        <w:spacing w:after="0" w:line="4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 The carrying values of our bank borrowings reported in the Consolidated Balance Sheets approximate fair value, using level 2 inputs, since they bear interest at variable rates based on market rates as set forth in the 2011 Credit Agreement. Refer to Note 6 “Borrowings.”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March 31, 2014 and December 31, 2013.</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Quoted Prices</w:t>
            </w:r>
          </w:p>
        </w:tc>
        <w:tc>
          <w:tcPr>
            <w:tcW w:w="640" w:type="dxa"/>
            <w:vAlign w:val="bottom"/>
          </w:tcPr>
          <w:p>
            <w:pPr>
              <w:spacing w:after="0"/>
              <w:rPr>
                <w:sz w:val="14"/>
                <w:szCs w:val="14"/>
                <w:color w:val="auto"/>
              </w:rPr>
            </w:pP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4"/>
                <w:szCs w:val="14"/>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9"/>
              </w:rPr>
              <w:t>Significant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in Active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8"/>
              </w:rPr>
              <w:t>Markets for</w:t>
            </w:r>
          </w:p>
        </w:tc>
        <w:tc>
          <w:tcPr>
            <w:tcW w:w="640" w:type="dxa"/>
            <w:vAlign w:val="bottom"/>
          </w:tcPr>
          <w:p>
            <w:pPr>
              <w:spacing w:after="0"/>
              <w:rPr>
                <w:sz w:val="12"/>
                <w:szCs w:val="12"/>
                <w:color w:val="auto"/>
              </w:rPr>
            </w:pP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(Level 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March 31, 2014</w:t>
            </w:r>
          </w:p>
        </w:tc>
        <w:tc>
          <w:tcPr>
            <w:tcW w:w="1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rate swaps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2,872</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 acquisition payment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5,253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5,253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Contingent acquisition liability</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524</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5,843</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6,367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Asset: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rate swaps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3,156</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 acquisition payment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5,177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5,760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part of the consideration received for the sale of our Accounting Advisory practice on December 30, 2011, the Company received a $3.5 million promissory note payable over four years. During the first quarter of 2014, we refinanced the note to temporarily decrease the quarterly payment amounts and extend the term of the note to mature on October 31, 2017. The note will continue to be paid to the Company in quarterly installments, in amounts which increase over time. The fair value of the note is based on the net present value of the projected cash flows using a discount rate of 14%, which accounts for the risks associated with the note. The decrease in the fair value of the note during the first three months of 2014 reflects the principal payments received, less the accretion of interest income in excess of interest payments received. The portion of the note expected to be received in the next twelve months is recorded as a receivable in Prepaid expenses and other current assets. The remaining portion of the note is recorded in Other non-current assets.</w:t>
      </w:r>
    </w:p>
    <w:p>
      <w:pPr>
        <w:spacing w:after="0" w:line="16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fair value of the interest rate swaps was derived using estimates to settle the interest rate swap agreements, which are based on the net present value of expected future cash flows on each leg of the swaps utilizing market-based inputs and discount rates reflecting the risks involved.</w:t>
      </w:r>
    </w:p>
    <w:p>
      <w:pPr>
        <w:spacing w:after="0" w:line="14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Deferred acquisition payments are included in the total purchase consideration for certain business acquisitions the Company has completed and represent fixed future payments owed to the sellers of those businesses. The fair value of the deferred acquisition payment is based on the two-year payment term and the net present value of expected cash flows using a discount rate of 6%. The increase in the fair value of the deferred acquisition payment during the first three months of 2014 reflects the accretion of interest expense in excess of interest payments made.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fair value of the contingent acquisition liability was calculated at the acquisition date using a probability weighted estimated payout based on assumptions used in our latest projections and discounted to fair value using a discount rate of 1.9%. On a quarterly basis, the contingent acquisition liability will be remeasured at current fair value with any changes to the fair value recorded in earnings. The fair value of the contingent acquisition liability is recorded in Accrued expenses.</w:t>
      </w:r>
    </w:p>
    <w:p>
      <w:pPr>
        <w:spacing w:after="0" w:line="3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components of other comprehensive income (loss), net of tax, for the three months ended March 31, 2014 and 2013.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7"/>
          </w:tcPr>
          <w:p>
            <w:pPr>
              <w:jc w:val="center"/>
              <w:ind w:left="153"/>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4"/>
              </w:rPr>
              <w:t>March 31, 2014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6"/>
              </w:rPr>
              <w:t>March 31, 2013</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Before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7"/>
              </w:rPr>
              <w:t>Tax</w:t>
            </w:r>
          </w:p>
        </w:tc>
        <w:tc>
          <w:tcPr>
            <w:tcW w:w="7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Net of</w:t>
            </w:r>
          </w:p>
        </w:tc>
        <w:tc>
          <w:tcPr>
            <w:tcW w:w="84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Before</w:t>
            </w:r>
          </w:p>
        </w:tc>
        <w:tc>
          <w:tcPr>
            <w:tcW w:w="140" w:type="dxa"/>
            <w:vAlign w:val="bottom"/>
          </w:tcPr>
          <w:p>
            <w:pPr>
              <w:spacing w:after="0"/>
              <w:rPr>
                <w:sz w:val="10"/>
                <w:szCs w:val="10"/>
                <w:color w:val="auto"/>
              </w:rPr>
            </w:pPr>
          </w:p>
        </w:tc>
        <w:tc>
          <w:tcPr>
            <w:tcW w:w="7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Tax</w:t>
            </w: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Net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(Expense)</w:t>
            </w:r>
          </w:p>
        </w:tc>
        <w:tc>
          <w:tcPr>
            <w:tcW w:w="74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(Expense)</w:t>
            </w: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5"/>
              </w:rPr>
              <w:t>Taxes</w:t>
            </w:r>
          </w:p>
        </w:tc>
        <w:tc>
          <w:tcPr>
            <w:tcW w:w="18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Benefit</w:t>
            </w: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Taxes</w:t>
            </w:r>
          </w:p>
        </w:tc>
        <w:tc>
          <w:tcPr>
            <w:tcW w:w="100" w:type="dxa"/>
            <w:vAlign w:val="bottom"/>
          </w:tcPr>
          <w:p>
            <w:pPr>
              <w:spacing w:after="0"/>
              <w:rPr>
                <w:sz w:val="14"/>
                <w:szCs w:val="14"/>
                <w:color w:val="auto"/>
              </w:rPr>
            </w:pPr>
          </w:p>
        </w:tc>
        <w:tc>
          <w:tcPr>
            <w:tcW w:w="74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w w:val="85"/>
              </w:rPr>
              <w:t>Taxes</w:t>
            </w: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Benefit</w:t>
            </w:r>
          </w:p>
        </w:tc>
        <w:tc>
          <w:tcPr>
            <w:tcW w:w="5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w:t>
            </w:r>
          </w:p>
        </w:tc>
        <w:tc>
          <w:tcPr>
            <w:tcW w:w="1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0"/>
              </w:rPr>
              <w:t>(106)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8"/>
              <w:spacing w:after="0"/>
              <w:rPr>
                <w:sz w:val="20"/>
                <w:szCs w:val="20"/>
                <w:color w:val="auto"/>
              </w:rPr>
            </w:pPr>
            <w:r>
              <w:rPr>
                <w:rFonts w:ascii="Arial" w:cs="Arial" w:eastAsia="Arial" w:hAnsi="Arial"/>
                <w:sz w:val="18"/>
                <w:szCs w:val="18"/>
                <w:color w:val="auto"/>
                <w:w w:val="91"/>
              </w:rPr>
              <w:t>(1,048)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cash flow hedges: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700"/>
              <w:spacing w:after="0"/>
              <w:rPr>
                <w:sz w:val="20"/>
                <w:szCs w:val="20"/>
                <w:color w:val="auto"/>
              </w:rPr>
            </w:pPr>
            <w:r>
              <w:rPr>
                <w:rFonts w:ascii="Arial" w:cs="Arial" w:eastAsia="Arial" w:hAnsi="Arial"/>
                <w:sz w:val="18"/>
                <w:szCs w:val="18"/>
                <w:color w:val="auto"/>
              </w:rPr>
              <w:t>Change in fair value</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0"/>
              </w:rPr>
              <w:t>(171)</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8"/>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Reclassification adjustments into earnings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Net unrealized gain (loss)</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loss related to our cash flow hedges are recorded to Interest expense, net of 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net of tax, includes the following components: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Foreign Currency</w:t>
            </w: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Unrealized</w:t>
            </w: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64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89"/>
              </w:rPr>
              <w:t>Losses on</w:t>
            </w: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4"/>
                <w:szCs w:val="14"/>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0"/>
              </w:rPr>
              <w:t>Derivatives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6"/>
              </w:rPr>
              <w:t>Comprehensive Loss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6"/>
              </w:rPr>
              <w:t>(716)</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6"/>
              </w:rPr>
              <w:t>(797)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Current period change</w:t>
            </w:r>
          </w:p>
        </w:tc>
        <w:tc>
          <w:tcPr>
            <w:tcW w:w="120" w:type="dxa"/>
            <w:vAlign w:val="bottom"/>
          </w:tcPr>
          <w:p>
            <w:pPr>
              <w:spacing w:after="0"/>
              <w:rPr>
                <w:sz w:val="18"/>
                <w:szCs w:val="18"/>
                <w:color w:val="auto"/>
              </w:rPr>
            </w:pPr>
          </w:p>
        </w:tc>
        <w:tc>
          <w:tcPr>
            <w:tcW w:w="1820" w:type="dxa"/>
            <w:vAlign w:val="bottom"/>
            <w:gridSpan w:val="2"/>
          </w:tcPr>
          <w:p>
            <w:pPr>
              <w:ind w:left="6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(105)</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(927)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Company’s effective tax rates for the three months ended March 31, 2014 and 2013 were 16.0% and 41.7%, respectively. The effective tax rate for the three months ended March 31, 2014 was lower than the statutory rate, inclusive of state income taxes, due primarily to the impact of a tax election made in the first quarter of 2014 to classify one of our wholly-owned foreign subsidiaries as a disregarded entity for U.S. federal income tax purposes (commonly referred to as a “check-the-box” election). As a result of this election, we expect to realize an income tax benefit of $13.8 million, of which $2.4 million is unrecognized, resulting in a net recognized tax benefit of $11.4 million during the quarter. This recognized benefit was partially offset by $1.2 million in expenses related to the establishment of a valuation allowance for certain foreign tax credits and increased deferred tax liabilities as a result of the aforementioned election. The effective tax rate for the three months ended March 31, 2013 was higher than the statutory rate, inclusive of state income taxes, due primarily to the impact of foreign losses with no tax benefit and certain non-deductible business expenses, partially offset by the impact of the retroactive reinstatement of the federal research and development tax credit, which was enacted during the quarter.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right="7400" w:firstLine="8"/>
        <w:spacing w:after="0" w:line="378" w:lineRule="auto"/>
        <w:tabs>
          <w:tab w:leader="none" w:pos="44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rPr>
          <w:sz w:val="20"/>
          <w:szCs w:val="20"/>
          <w:color w:val="auto"/>
        </w:rPr>
      </w:pPr>
      <w:r>
        <w:rPr>
          <w:rFonts w:ascii="Arial" w:cs="Arial" w:eastAsia="Arial" w:hAnsi="Arial"/>
          <w:sz w:val="18"/>
          <w:szCs w:val="18"/>
          <w:i w:val="1"/>
          <w:iCs w:val="1"/>
          <w:color w:val="auto"/>
        </w:rPr>
        <w:t>Qui Tam Action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December 9, 2009, plaintiff, Associates Against Outlier Fraud, filed a first amended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alleging that false or fraudulent claims were knowingly submitted to the government. Once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March 8, 2013, the Court granted Huron’s motion for summary judgment and dismissed the relator’s second amended complaint in its entirety with prejudice. As a result, we reversed the charge of $1.2 million relating to settlement discussions which we originally recorded in the second quarter of 2012, in accordance with ASC Topic 450, “Contingencies.” The relator filed an appeal on April 2, 2013. On April 8, 2013, Huron filed an appeal of an earlier denial of a motion to dismiss filed by Huron which argued that the relator’s action was barred because, under the FCA jurisdictional bar, the action was based on publicly disclosed information and the relator cannot qualify as an original source. We continue to believe that the claims are without merit and intend to vigorously defend ourselves in this matter.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Tamalluk Business Development LLC v. Huron Consulting Services LLC (Abu Dhabi Court of First Instance)</w:t>
      </w:r>
    </w:p>
    <w:p>
      <w:pPr>
        <w:spacing w:after="0" w:line="11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alleges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does not owe Tamalluk any compensation related to Tamalluk’s claims. In addition, the court terminated the Local Sponsorship Agreement as requested by Huron in its counterclaim. Tamalluk appealed the decision, and on March 18, 2014, the appellate court upheld the decision in Huron’s favor. Tamalluk has until May 18, 2014 to appeal to the highest court in Abu Dhabi.</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Guarantees in the form of letters of credit totaling $5.5 million and $4.9 million were outstanding at March 31, 2014 and December 31, 2013, respectively, to support certain office lease obligations as well as Middle East performance and bid bonds.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Segments are defined by ASC Topic 280, “Segment Reporting,”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five operating segments, which are our reportable segments: Huron Healthcare, Huron Legal, Huron Education and Life Sciences, Huron Business Advisory, and All Other.</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Huron Healthcare</w:t>
      </w:r>
    </w:p>
    <w:p>
      <w:pPr>
        <w:spacing w:after="0" w:line="121" w:lineRule="exact"/>
        <w:rPr>
          <w:sz w:val="20"/>
          <w:szCs w:val="20"/>
          <w:color w:val="auto"/>
        </w:rPr>
      </w:pPr>
    </w:p>
    <w:p>
      <w:pPr>
        <w:ind w:left="920" w:right="140"/>
        <w:spacing w:after="0" w:line="279" w:lineRule="auto"/>
        <w:rPr>
          <w:sz w:val="20"/>
          <w:szCs w:val="20"/>
          <w:color w:val="auto"/>
        </w:rPr>
      </w:pPr>
      <w:r>
        <w:rPr>
          <w:rFonts w:ascii="Arial" w:cs="Arial" w:eastAsia="Arial" w:hAnsi="Arial"/>
          <w:sz w:val="17"/>
          <w:szCs w:val="17"/>
          <w:color w:val="auto"/>
        </w:rPr>
        <w:t>Our Huron Healthcare segment provides consulting services to national and regional hospitals and integrated health systems, academic medical centers, community hospitals, and physician practices. This segment provides consulting services related to hospital or healthcare organization performance improvement, revenue cycle improvement, clinical quality and care variation, labor productivity, non-labor cost management, information technology, patient flow improvement, and physician practice management.</w:t>
      </w:r>
    </w:p>
    <w:p>
      <w:pPr>
        <w:spacing w:after="0" w:line="73"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Huron Legal</w:t>
      </w:r>
    </w:p>
    <w:p>
      <w:pPr>
        <w:spacing w:after="0" w:line="121" w:lineRule="exact"/>
        <w:rPr>
          <w:sz w:val="20"/>
          <w:szCs w:val="20"/>
          <w:color w:val="auto"/>
        </w:rPr>
      </w:pPr>
    </w:p>
    <w:p>
      <w:pPr>
        <w:ind w:left="920" w:right="20"/>
        <w:spacing w:after="0" w:line="273" w:lineRule="auto"/>
        <w:rPr>
          <w:sz w:val="20"/>
          <w:szCs w:val="20"/>
          <w:color w:val="auto"/>
        </w:rPr>
      </w:pPr>
      <w:r>
        <w:rPr>
          <w:rFonts w:ascii="Arial" w:cs="Arial" w:eastAsia="Arial" w:hAnsi="Arial"/>
          <w:sz w:val="17"/>
          <w:szCs w:val="17"/>
          <w:color w:val="auto"/>
        </w:rPr>
        <w:t>Our Huron Legal segment provides advisory and business services to assist law departments of major global corporations and law firms with their cost and risk effectiveness, organizational design and development, and operational efficiency. These services add value to organizations by helping them enhance client service and reduce the amounts spent on legal services. Our expertise focuses on strategic and management consulting, cost management, and technology and information management, including matter management, records management, document review, and discovery services. Included in this segment’s offerings is our Integrated Analytics solution, which is designed to deliver an innovative, comprehensive process resulting in more affordable and predictable discovery costs.</w:t>
      </w:r>
    </w:p>
    <w:p>
      <w:pPr>
        <w:spacing w:after="0" w:line="8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Huron Education and Life Sciences</w:t>
      </w:r>
    </w:p>
    <w:p>
      <w:pPr>
        <w:spacing w:after="0" w:line="121" w:lineRule="exact"/>
        <w:rPr>
          <w:sz w:val="20"/>
          <w:szCs w:val="20"/>
          <w:color w:val="auto"/>
        </w:rPr>
      </w:pPr>
    </w:p>
    <w:p>
      <w:pPr>
        <w:jc w:val="both"/>
        <w:ind w:left="920" w:right="420"/>
        <w:spacing w:after="0" w:line="302" w:lineRule="auto"/>
        <w:rPr>
          <w:sz w:val="20"/>
          <w:szCs w:val="20"/>
          <w:color w:val="auto"/>
        </w:rPr>
      </w:pPr>
      <w:r>
        <w:rPr>
          <w:rFonts w:ascii="Arial" w:cs="Arial" w:eastAsia="Arial" w:hAnsi="Arial"/>
          <w:sz w:val="16"/>
          <w:szCs w:val="16"/>
          <w:color w:val="auto"/>
        </w:rPr>
        <w:t>Our Huron Education and Life Sciences segment provides management consulting services and software solutions to the higher education, academic medical center, pharmaceutical and medical device, and research industries. We work with our clients to develop and implement performance improvement, technology, and research enterprise solutions to help them address challenges relating to financial management, strategy, operational and organizational effectiveness, research administration, and regulatory compliance.</w:t>
      </w:r>
    </w:p>
    <w:p>
      <w:pPr>
        <w:spacing w:after="0" w:line="5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Huron Business Advisory</w:t>
      </w:r>
    </w:p>
    <w:p>
      <w:pPr>
        <w:spacing w:after="0" w:line="121" w:lineRule="exact"/>
        <w:rPr>
          <w:sz w:val="20"/>
          <w:szCs w:val="20"/>
          <w:color w:val="auto"/>
        </w:rPr>
      </w:pPr>
    </w:p>
    <w:p>
      <w:pPr>
        <w:ind w:left="920" w:right="140"/>
        <w:spacing w:after="0" w:line="272" w:lineRule="auto"/>
        <w:rPr>
          <w:sz w:val="20"/>
          <w:szCs w:val="20"/>
          <w:color w:val="auto"/>
        </w:rPr>
      </w:pPr>
      <w:r>
        <w:rPr>
          <w:rFonts w:ascii="Arial" w:cs="Arial" w:eastAsia="Arial" w:hAnsi="Arial"/>
          <w:sz w:val="17"/>
          <w:szCs w:val="17"/>
          <w:color w:val="auto"/>
        </w:rPr>
        <w:t>Our Huron Business Advisory segment (formerly referred to as Huron Financial) provides financial advisory; interim management; operational improvement; capital advisory; valuation; enterprise systems planning, design, and implementation; and enterprise performance management services. We assist clients in a broad range of industries and across the spectrum from healthy, well-capitalized companies to organizations in transition, creditors, owners, investors, and other key constituents in connection with out-of-court restructurings and bankruptcy proceedings. 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professionals with significant board governance experience.</w:t>
      </w:r>
    </w:p>
    <w:p>
      <w:pPr>
        <w:spacing w:after="0" w:line="7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All Other</w:t>
      </w:r>
    </w:p>
    <w:p>
      <w:pPr>
        <w:spacing w:after="0" w:line="121" w:lineRule="exact"/>
        <w:rPr>
          <w:sz w:val="20"/>
          <w:szCs w:val="20"/>
          <w:color w:val="auto"/>
        </w:rPr>
      </w:pPr>
    </w:p>
    <w:p>
      <w:pPr>
        <w:ind w:left="920" w:right="160"/>
        <w:spacing w:after="0" w:line="308" w:lineRule="auto"/>
        <w:rPr>
          <w:sz w:val="20"/>
          <w:szCs w:val="20"/>
          <w:color w:val="auto"/>
        </w:rPr>
      </w:pPr>
      <w:r>
        <w:rPr>
          <w:rFonts w:ascii="Arial" w:cs="Arial" w:eastAsia="Arial" w:hAnsi="Arial"/>
          <w:sz w:val="17"/>
          <w:szCs w:val="17"/>
          <w:color w:val="auto"/>
        </w:rPr>
        <w:t>Our All Other segment consists of any line of business not managed by our other four operating segments. These businesses include our public sector consulting practice and our foreign healthcare and strategic consulting operations based in the Middle East.</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first quarter of 2014, we reorganized our internal operating structure to better align our service offerings and moved our EPM practice (formerly referred to as Blue Stone International, a business which we acquired during the fourth quarter of 2013) from the Huron Education and Life Sciences segment to the Huron Business Advisory segment.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sets forth information about our operating segments for the three months ended March 31, 2014 and 2013, along with the items necessary to reconcile the segment information to the totals reported in the accompanying Consolidated Financial Statements.</w:t>
      </w:r>
    </w:p>
    <w:p>
      <w:pPr>
        <w:spacing w:after="0" w:line="189"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Three Months Ended</w:t>
      </w:r>
    </w:p>
    <w:p>
      <w:pPr>
        <w:jc w:val="center"/>
        <w:ind w:left="62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Huron Healthcare:</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107,548</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78,745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51,220</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39.6%</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Huron Legal:</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54,975</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40,944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Huron Education and Life Sciences: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33,576</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35,726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Huron Business Advisory:</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13,382</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8,582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Segment operating income as a percentage of segment revenues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Other:</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1,250</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Segment operating loss as a percentage of segment revenues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210,731</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164,036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15,336</w:t>
            </w:r>
          </w:p>
        </w:tc>
        <w:tc>
          <w:tcPr>
            <w:tcW w:w="200" w:type="dxa"/>
            <w:vAlign w:val="bottom"/>
            <w:shd w:val="clear" w:color="auto" w:fill="CCEEFF"/>
          </w:tcPr>
          <w:p>
            <w:pPr>
              <w:spacing w:after="0"/>
              <w:rPr>
                <w:sz w:val="18"/>
                <w:szCs w:val="18"/>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Total revenues and reimbursable expenses</w:t>
            </w:r>
          </w:p>
        </w:tc>
        <w:tc>
          <w:tcPr>
            <w:tcW w:w="9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229,834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179,372</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Earnings reconciliation:</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72,252</w:t>
            </w:r>
          </w:p>
        </w:tc>
        <w:tc>
          <w:tcPr>
            <w:tcW w:w="4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46,658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Items not allocated at the segment level:</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Other operating expenses and gains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24,377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20,536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40,624</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19,493</w:t>
            </w:r>
          </w:p>
        </w:tc>
        <w:tc>
          <w:tcPr>
            <w:tcW w:w="2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Assets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Huron Healthcare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91,338</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95,900</w:t>
            </w:r>
          </w:p>
        </w:tc>
        <w:tc>
          <w:tcPr>
            <w:tcW w:w="6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Huron Legal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42,190</w:t>
            </w:r>
          </w:p>
        </w:tc>
        <w:tc>
          <w:tcPr>
            <w:tcW w:w="6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Huron Education and Life Sciences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28,232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22,783</w:t>
            </w:r>
          </w:p>
        </w:tc>
        <w:tc>
          <w:tcPr>
            <w:tcW w:w="6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17,809</w:t>
            </w:r>
          </w:p>
        </w:tc>
        <w:tc>
          <w:tcPr>
            <w:tcW w:w="6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677,906</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706,661</w:t>
            </w:r>
          </w:p>
        </w:tc>
        <w:tc>
          <w:tcPr>
            <w:tcW w:w="6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867,840</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885,600</w:t>
            </w: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40" w:hanging="452"/>
        <w:spacing w:after="0" w:line="25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December 31, 2013 segment asset balances have been reclassified to reflect the move of our EPM practice from the Huron Education and Life Sciences segment to the Huron Business Advisory segment.</w:t>
      </w:r>
    </w:p>
    <w:p>
      <w:pPr>
        <w:spacing w:after="0" w:line="1"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Goodwill and intangible assets are included in unallocated assets, as management does not evaluate these items at the segment level when assessing segment performance or allocating resources.</w:t>
      </w:r>
    </w:p>
    <w:p>
      <w:pPr>
        <w:spacing w:after="0" w:line="18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 March 31, 2014, no single client accounted for greater than 10% of our combined receivables and unbilled services balances. At December 31, 2013, one Huron Healthcare client’s total receivables and unbilled services balance represented 14% of our total receivables and unbilled services balance. No other client’s total receivables and unbilled services represented greater than 10% of our total receivables and unbilled services balance at December 31, 2013. No single client generated greater than 10% of our consolidated revenues during the three months ended March 31, 2014 and 2013.</w:t>
      </w:r>
    </w:p>
    <w:p>
      <w:pPr>
        <w:spacing w:after="0" w:line="29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On April 23, 2014, we entered into an agreement to acquire the assets of Vonlay, LLC, a healthcare technology consulting firm, specializing in clinical information systems and electronic health records implementations and optimizations. The transaction, which is subject to certain customary closing conditions, is expected to close in May 2014. Vonlay will be included within the Huron Healthcare segment.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or “continues.” These forward-looking statements reflect our current expectations about our future requirements and needs, results, levels of activity, performance, or achievements, including, without limitation, current expectations with respect to, among other factors, utilization rates, billing rates, and the number of revenue-generating professionals; that we are able to expand our service offerings; that we successfully integrate the businesses we acquire; and that existing market conditions continue to trend upward. These statements involve known and unknown risks, uncertainties and other factors, including, among others, those described under “Item 1A. Risk Factors” in our Annual Report on Form 10-K for the year ended December 31, 2013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Huron Consulting Group is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 Huron has worked with more than 425 health systems, hospitals, and academic medical centers; more than 400 corporate general counsel; and more than 350 universities and research institutions.</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provide our services through five operating segments: Huron Healthcare, Huron Legal, Huron Education and Life Sciences, Huron Business Advisory, and All Other.</w:t>
      </w:r>
    </w:p>
    <w:p>
      <w:pPr>
        <w:spacing w:after="0" w:line="7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Huron Healthcare</w:t>
      </w:r>
    </w:p>
    <w:p>
      <w:pPr>
        <w:spacing w:after="0" w:line="121" w:lineRule="exact"/>
        <w:rPr>
          <w:rFonts w:ascii="Arial" w:cs="Arial" w:eastAsia="Arial" w:hAnsi="Arial"/>
          <w:sz w:val="18"/>
          <w:szCs w:val="18"/>
          <w:color w:val="auto"/>
        </w:rPr>
      </w:pPr>
    </w:p>
    <w:p>
      <w:pPr>
        <w:ind w:left="460" w:right="20"/>
        <w:spacing w:after="0" w:line="257" w:lineRule="auto"/>
        <w:rPr>
          <w:rFonts w:ascii="Arial" w:cs="Arial" w:eastAsia="Arial" w:hAnsi="Arial"/>
          <w:sz w:val="18"/>
          <w:szCs w:val="18"/>
          <w:color w:val="auto"/>
        </w:rPr>
      </w:pPr>
      <w:r>
        <w:rPr>
          <w:rFonts w:ascii="Arial" w:cs="Arial" w:eastAsia="Arial" w:hAnsi="Arial"/>
          <w:sz w:val="18"/>
          <w:szCs w:val="18"/>
          <w:color w:val="auto"/>
        </w:rPr>
        <w:t>Our Huron Healthcare segment provides consulting services to national and regional hospitals and integrated health systems, academic medical centers, community hospitals, and physician practices. We deliver solutions to empower our clients to address challenges in the rapidly-evolving healthcare environment and improve quality, increase revenue, reduce expenses, and enhance patient, physician, and employee satisfaction across the healthcare enterprise. Our people provide a depth of expertise across the healthcare industry, and our culture of collaboration extends to our client engagements, enabling teams to effectively implement successful client projects.</w:t>
      </w:r>
    </w:p>
    <w:p>
      <w:pPr>
        <w:spacing w:after="0" w:line="8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Huron Legal</w:t>
      </w:r>
    </w:p>
    <w:p>
      <w:pPr>
        <w:spacing w:after="0" w:line="121"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Our Huron Legal segment provides advisory and business services to assist law departments of major global corporations and their associated law firms with cost and risk reduction, organizational design and development, and operational efficiency. These services add value to organizations by helping them enhance client service and reduce the amount spent on legal services. Our expertise focuses on strategic and management consulting, cost management, and technology and information management, including matter management, records management, document review, and discovery services. Included in this segment’s offerings is our Integrated Analytics solution, which is designed to deliver an innovative, comprehensive process resulting in more affordable and predictable discovery costs.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Huron Education and Life Sciences</w:t>
      </w:r>
    </w:p>
    <w:p>
      <w:pPr>
        <w:spacing w:after="0" w:line="121"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Our Huron Education and Life Sciences segment provides management consulting services and software solutions to the higher education, academic medical center, pharmaceutical and medical device, and research industries. We work with our clients to develop and implement performance improvement, technology, and research enterprise solutions to help them address challenges relating to financial management, strategy, operational and organizational effectiveness, research administration, and regulatory compliance.</w:t>
      </w:r>
    </w:p>
    <w:p>
      <w:pPr>
        <w:spacing w:after="0" w:line="88"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Huron Business Advisory</w:t>
      </w:r>
    </w:p>
    <w:p>
      <w:pPr>
        <w:spacing w:after="0" w:line="121"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Our Huron Business Advisory segment (formerly referred to as Huron Financial) provides financial advisory; interim management; operational improvement; capital advisory; valuation; enterprise systems planning, design, and implementation; and enterprise performance management services. We assist clients in a broad range of industries and across the spectrum from healthy, well-capitalized companies to organizations in transition, creditors, owners, investors, and other key constituents in connection with out-of-court restructurings and bankruptcy proceedings. 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professionals with significant board governance experience.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All Other</w:t>
      </w:r>
    </w:p>
    <w:p>
      <w:pPr>
        <w:spacing w:after="0" w:line="121" w:lineRule="exact"/>
        <w:rPr>
          <w:rFonts w:ascii="Arial" w:cs="Arial" w:eastAsia="Arial" w:hAnsi="Arial"/>
          <w:sz w:val="18"/>
          <w:szCs w:val="18"/>
          <w:color w:val="auto"/>
        </w:rPr>
      </w:pPr>
    </w:p>
    <w:p>
      <w:pPr>
        <w:ind w:left="460" w:right="180"/>
        <w:spacing w:after="0" w:line="277" w:lineRule="auto"/>
        <w:rPr>
          <w:rFonts w:ascii="Arial" w:cs="Arial" w:eastAsia="Arial" w:hAnsi="Arial"/>
          <w:sz w:val="18"/>
          <w:szCs w:val="18"/>
          <w:color w:val="auto"/>
        </w:rPr>
      </w:pPr>
      <w:r>
        <w:rPr>
          <w:rFonts w:ascii="Arial" w:cs="Arial" w:eastAsia="Arial" w:hAnsi="Arial"/>
          <w:sz w:val="18"/>
          <w:szCs w:val="18"/>
          <w:color w:val="auto"/>
        </w:rPr>
        <w:t>Our All Other segment consists of any line of business not managed by our other four operating segments. These businesses include our public sector consulting practice and our foreign healthcare and strategic consulting operations based in the Middle East.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all of whom work variable schedules as needed by our clients. Other professionals include specialized finance and operational consultants and our document review and electronic data discovery groups, as well as full-time employees who provide software support and maintenance services to our clients. Our document review and electronic data discovery groups generate revenues primarily based on number of hours worked and units produced, such as pages reviewed or amount of data processed.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43.4% and 44.9% of our revenues in the three months ended March 31, 2014 and 2013, respectively.</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which may include the deployment of our proprietary software.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generate revenues from licensing two types of proprietary software to clients: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Fixed-fee engagements (including software license revenue) represented approximately 38.2% and 40.3% of our revenues for the three months ended March 31, 2014 and 2013, respectively.</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15.4% and 11.5% of our revenues in the three months ended March 31, 2014 and 2013, respectively. Performance-based fee engagements may cause significant variations in quarterly revenues and operating results depending on the timing of achieving the performance-based criteria.</w:t>
      </w:r>
    </w:p>
    <w:p>
      <w:pPr>
        <w:spacing w:after="0" w:line="19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 Support and maintenance revenues represented 3.0% and 3.3% of our revenues in the three months ended March 31, 2014 and 2013, respectively.</w:t>
      </w:r>
    </w:p>
    <w:p>
      <w:pPr>
        <w:spacing w:after="0" w:line="1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endorsed messages.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These critical accounting policies relate to revenue recognition, allowances for doubtful accounts and unbilled services, carrying values of goodwill and other intangible assets, and valuation of net deferred tax assets. For a detailed discussion of these critical accounting policies, see “Item 7. Management’s Discussion and Analysis of Financial Condition and Results of Operations – Critical Accounting Policies” in our Annual Report on Form 10-K for the year ended December 31, 2013. Below is an update to our critical accounting policy relating to the carrying values of goodwill and other intangible assets. There have been no material changes to our other critical accounting policies during the first three months of 2014.</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2014, we reorganized our internal operating structure to better align our service offerings and moved our Enterprise Performance Management (“EPM”) practice (formerly referred to as Blue Stone International, a business which we acquired during the fourth quarter of 2013) from the Huron Education and Life Sciences segment to the Huron Business Advisory segment. As a result of this change, we reassigned the goodwill balance of the EPM practice, which totaled $16.7 million as of March 31, 2014, from the Huron Education and Life Sciences reporting unit to the EPM reporting unit, which is part of the Huron Business Advisory segment.</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conjunction with the goodwill reassignment, we performed an interim impairment test for the goodwill balances within our Huron Education and Life Sciences and EPM reporting units as of March 31, 2014. Our goodwill impairment test was performed using the quantitative two-step process. Based on the results of the first step of the goodwill impairment test, we determined that the fair values of our Huron Education and Life Sciences and EPM reporting units exceeded their carrying values by 46% and 12%, respectively. Since the fair value of each reporting unit exceeded its carrying value, the second step of the goodwill impairment test was not necessary.</w:t>
      </w:r>
    </w:p>
    <w:p>
      <w:pPr>
        <w:spacing w:after="0" w:line="18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estimating the fair value of these two reporting units, we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dependent on their ability to generate earnings.</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income approach, we utilized a discounted cash flow analysis, which involved estimating the expected after-tax cash flows that will be generated by the reporting units and then discounting those cash flows to present value reflecting the relevant risks associated with the reporting units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we relied on an internally generated seven-year forecast. For periods after the seven-year forecast, we assumed a long-term annual revenue growth rate of 3.5% for the Huron Education and Life Sciences reporting unit and 3.0% for the EPM reporting unit. Our forecast is based on historical experience, current backlog, expected market demand, and other industry information. Our discounted cash flow analysis assumed a weighted average cost of capital (“WACC”) discount rate of 13.0% for the Huron Education and Life Sciences reporting unit and 17.0% for the EPM reporting unit.</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then adjusted for factors similar to those used in a discounted cash flow analysis and applied to the operating data for our reporting units to arrive at an indication of value.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 point in time. There is no assurance that the actual future earnings or cash flows of our reporting units will not differ significantly from our projections. We will monitor any changes to our assumptions and will evaluate goodwill as deemed warranted during future periods. Any significant decline in our operations could result in goodwill impairment charges.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presents the decrease in the fair value of our Huron Education and Life Sciences and EPM reporting units given a one percent increase in the discount rate or a one percent decrease in the long-term assumed annual revenue growth rate.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Huron Education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w w:val="95"/>
              </w:rPr>
              <w:t>Enterprise</w:t>
            </w:r>
          </w:p>
        </w:tc>
      </w:tr>
      <w:tr>
        <w:trPr>
          <w:trHeight w:val="17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and Life Sciences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Performance Management</w:t>
            </w:r>
          </w:p>
        </w:tc>
      </w:tr>
      <w:tr>
        <w:trPr>
          <w:trHeight w:val="119"/>
        </w:trPr>
        <w:tc>
          <w:tcPr>
            <w:tcW w:w="4520" w:type="dxa"/>
            <w:vAlign w:val="bottom"/>
          </w:tcPr>
          <w:p>
            <w:pPr>
              <w:spacing w:after="0"/>
              <w:rPr>
                <w:sz w:val="10"/>
                <w:szCs w:val="10"/>
                <w:color w:val="auto"/>
              </w:rPr>
            </w:pPr>
          </w:p>
        </w:tc>
        <w:tc>
          <w:tcPr>
            <w:tcW w:w="1600" w:type="dxa"/>
            <w:vAlign w:val="bottom"/>
            <w:tcBorders>
              <w:top w:val="single" w:sz="8" w:color="auto"/>
            </w:tcBorders>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w w:val="95"/>
              </w:rPr>
              <w:t>Decrease in</w:t>
            </w: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 by</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Decrease in</w:t>
            </w:r>
          </w:p>
        </w:tc>
        <w:tc>
          <w:tcPr>
            <w:tcW w:w="7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 by</w:t>
            </w:r>
          </w:p>
        </w:tc>
        <w:tc>
          <w:tcPr>
            <w:tcW w:w="200" w:type="dxa"/>
            <w:vAlign w:val="bottom"/>
          </w:tcPr>
          <w:p>
            <w:pPr>
              <w:spacing w:after="0"/>
              <w:rPr>
                <w:sz w:val="10"/>
                <w:szCs w:val="10"/>
                <w:color w:val="auto"/>
              </w:rPr>
            </w:pPr>
          </w:p>
        </w:tc>
      </w:tr>
      <w:tr>
        <w:trPr>
          <w:trHeight w:val="149"/>
        </w:trPr>
        <w:tc>
          <w:tcPr>
            <w:tcW w:w="4520" w:type="dxa"/>
            <w:vAlign w:val="bottom"/>
          </w:tcPr>
          <w:p>
            <w:pPr>
              <w:spacing w:after="0"/>
              <w:rPr>
                <w:sz w:val="12"/>
                <w:szCs w:val="12"/>
                <w:color w:val="auto"/>
              </w:rPr>
            </w:pP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which Fair</w:t>
            </w:r>
          </w:p>
        </w:tc>
        <w:tc>
          <w:tcPr>
            <w:tcW w:w="3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7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which Fair</w:t>
            </w:r>
          </w:p>
        </w:tc>
      </w:tr>
      <w:tr>
        <w:trPr>
          <w:trHeight w:val="149"/>
        </w:trPr>
        <w:tc>
          <w:tcPr>
            <w:tcW w:w="4520" w:type="dxa"/>
            <w:vAlign w:val="bottom"/>
          </w:tcPr>
          <w:p>
            <w:pPr>
              <w:spacing w:after="0"/>
              <w:rPr>
                <w:sz w:val="12"/>
                <w:szCs w:val="12"/>
                <w:color w:val="auto"/>
              </w:rPr>
            </w:pP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the Reporting</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Value Exceeds</w:t>
            </w:r>
          </w:p>
        </w:tc>
        <w:tc>
          <w:tcPr>
            <w:tcW w:w="3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the Reporting</w:t>
            </w:r>
          </w:p>
        </w:tc>
        <w:tc>
          <w:tcPr>
            <w:tcW w:w="7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Value Exceeds</w:t>
            </w:r>
          </w:p>
        </w:tc>
      </w:tr>
      <w:tr>
        <w:trPr>
          <w:trHeight w:val="149"/>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rPr>
              <w:t>Unit</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Unit</w:t>
            </w:r>
          </w:p>
        </w:tc>
        <w:tc>
          <w:tcPr>
            <w:tcW w:w="7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r>
      <w:tr>
        <w:trPr>
          <w:trHeight w:val="171"/>
        </w:trPr>
        <w:tc>
          <w:tcPr>
            <w:tcW w:w="45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CEEFF"/>
            </w:tcBorders>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Discount rate – increase by 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Long-term growth rate – decrease by 1%</w:t>
            </w:r>
          </w:p>
        </w:tc>
        <w:tc>
          <w:tcPr>
            <w:tcW w:w="200" w:type="dxa"/>
            <w:vAlign w:val="bottom"/>
          </w:tcPr>
          <w:p>
            <w:pPr>
              <w:jc w:val="right"/>
              <w:ind w:right="48"/>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7,900</w:t>
            </w:r>
          </w:p>
        </w:tc>
        <w:tc>
          <w:tcPr>
            <w:tcW w:w="7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r>
      <w:tr>
        <w:trPr>
          <w:trHeight w:val="350"/>
        </w:trPr>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Segment and Consolidated Operating Results (in thousands):</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46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Revenues and reimbursable expenses:</w:t>
            </w:r>
          </w:p>
        </w:tc>
        <w:tc>
          <w:tcPr>
            <w:tcW w:w="1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107,548</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Huron Legal</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54,975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Huron Business Advisory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13,382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3"/>
          </w:tcPr>
          <w:p>
            <w:pPr>
              <w:ind w:left="340"/>
              <w:spacing w:after="0"/>
              <w:rPr>
                <w:sz w:val="20"/>
                <w:szCs w:val="20"/>
                <w:color w:val="auto"/>
              </w:rPr>
            </w:pPr>
            <w:r>
              <w:rPr>
                <w:rFonts w:ascii="Arial" w:cs="Arial" w:eastAsia="Arial" w:hAnsi="Arial"/>
                <w:sz w:val="18"/>
                <w:szCs w:val="18"/>
                <w:color w:val="auto"/>
              </w:rPr>
              <w:t>Total revenues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210,731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164,036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reimbursable expenses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gridSpan w:val="4"/>
          </w:tcPr>
          <w:p>
            <w:pPr>
              <w:spacing w:after="0"/>
              <w:rPr>
                <w:sz w:val="20"/>
                <w:szCs w:val="20"/>
                <w:color w:val="auto"/>
              </w:rPr>
            </w:pPr>
            <w:r>
              <w:rPr>
                <w:rFonts w:ascii="Arial" w:cs="Arial" w:eastAsia="Arial" w:hAnsi="Arial"/>
                <w:sz w:val="18"/>
                <w:szCs w:val="18"/>
                <w:b w:val="1"/>
                <w:bCs w:val="1"/>
                <w:color w:val="auto"/>
              </w:rPr>
              <w:t>Total revenues and reimbursable expenses</w:t>
            </w: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229,834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Huron Healthcare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51,220</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31,161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6,447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All Other</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Operating expenses and gains not allocated to segments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operating income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41,819</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Other Operating Data (excluding All Other):</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40" w:type="dxa"/>
            <w:vAlign w:val="bottom"/>
            <w:gridSpan w:val="4"/>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38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Huron Healthcare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 xml:space="preserve">Average number of full-time billable consultants (for the period) </w:t>
            </w:r>
            <w:r>
              <w:rPr>
                <w:rFonts w:ascii="Arial" w:cs="Arial" w:eastAsia="Arial" w:hAnsi="Arial"/>
                <w:sz w:val="15"/>
                <w:szCs w:val="15"/>
                <w:b w:val="1"/>
                <w:bCs w:val="1"/>
                <w:color w:val="auto"/>
                <w:w w:val="99"/>
              </w:rPr>
              <w:t>(1)</w:t>
            </w:r>
            <w:r>
              <w:rPr>
                <w:rFonts w:ascii="Arial" w:cs="Arial" w:eastAsia="Arial" w:hAnsi="Arial"/>
                <w:sz w:val="18"/>
                <w:szCs w:val="18"/>
                <w:b w:val="1"/>
                <w:bCs w:val="1"/>
                <w:color w:val="auto"/>
                <w:w w:val="99"/>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Huron Healthcare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15"/>
                <w:szCs w:val="15"/>
                <w:b w:val="1"/>
                <w:bCs w:val="1"/>
                <w:color w:val="auto"/>
              </w:rPr>
              <w:t>(2)</w:t>
            </w: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Huron Healthcare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Legal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Huron Education and Life Sciences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Huron Business Advisory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350"/>
        </w:trPr>
        <w:tc>
          <w:tcPr>
            <w:tcW w:w="4620" w:type="dxa"/>
            <w:vAlign w:val="bottom"/>
            <w:gridSpan w:val="3"/>
          </w:tcPr>
          <w:p>
            <w:pPr>
              <w:jc w:val="right"/>
              <w:ind w:right="200"/>
              <w:spacing w:after="0"/>
              <w:rPr>
                <w:sz w:val="20"/>
                <w:szCs w:val="20"/>
                <w:color w:val="auto"/>
              </w:rPr>
            </w:pPr>
            <w:r>
              <w:rPr>
                <w:rFonts w:ascii="Arial" w:cs="Arial" w:eastAsia="Arial" w:hAnsi="Arial"/>
                <w:sz w:val="18"/>
                <w:szCs w:val="18"/>
                <w:color w:val="auto"/>
              </w:rPr>
              <w:t>22</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Other Operating Data (Continued):</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66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15"/>
                <w:szCs w:val="15"/>
                <w:b w:val="1"/>
                <w:bCs w:val="1"/>
                <w:color w:val="auto"/>
              </w:rPr>
              <w:t>(3)</w:t>
            </w:r>
            <w:r>
              <w:rPr>
                <w:rFonts w:ascii="Arial" w:cs="Arial" w:eastAsia="Arial" w:hAnsi="Arial"/>
                <w:sz w:val="18"/>
                <w:szCs w:val="18"/>
                <w:b w:val="1"/>
                <w:bCs w:val="1"/>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Huron Business Advisory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Huron Business Advisory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Huron Business Advisory</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equivalents (in thousands):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Healthcare</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Huron Legal</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Huron Education and Life Sciences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Huron Business Advisory</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23"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ind w:left="460" w:hanging="452"/>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consultants who work variable schedules as needed by our clients, as well as other professionals who generate revenues primarily based on number of hours worked and units produced, such as pages reviewed and data processed. Also includes full-time employees who provide software support and maintenance services to our clients.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Adjusted earnings before interest, taxes, depreciation and amortization (“Adjusted EBITDA”),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w:t>
      </w:r>
    </w:p>
    <w:p>
      <w:pPr>
        <w:spacing w:after="0" w:line="244"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Three Months Ended</w:t>
      </w:r>
    </w:p>
    <w:p>
      <w:pPr>
        <w:jc w:val="center"/>
        <w:ind w:left="62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210,731</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164,036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Net income from continuing operations</w:t>
            </w:r>
          </w:p>
        </w:tc>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34,126</w:t>
            </w:r>
          </w:p>
        </w:tc>
        <w:tc>
          <w:tcPr>
            <w:tcW w:w="6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7,157</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Earnings before interest, taxes, depreciation and amortization (EBITDA)</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Add back:</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Litigation settlement gain</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49,105</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8"/>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34,126</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shares—diluted</w:t>
            </w: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23,086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Add back:</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settlement gain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Tax effect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tax benefit related to “check-the-box” election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2"/>
              </w:rPr>
              <w:t>(10,244)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700"/>
              <w:spacing w:after="0"/>
              <w:rPr>
                <w:sz w:val="20"/>
                <w:szCs w:val="20"/>
                <w:color w:val="auto"/>
              </w:rPr>
            </w:pPr>
            <w:r>
              <w:rPr>
                <w:rFonts w:ascii="Arial" w:cs="Arial" w:eastAsia="Arial" w:hAnsi="Arial"/>
                <w:sz w:val="18"/>
                <w:szCs w:val="18"/>
                <w:color w:val="auto"/>
              </w:rPr>
              <w:t>Total adjustments, net of tax</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25,470</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ind w:left="424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1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severance charges, costs associated with office space reductions including the accelerated depreciation of certain leasehold improvements, and the write-off of certain impaired intangible assets. We have excluded the effect of the restructuring charges from our non-GAAP measures as a means to provide comparability with periods that were not impacted by a restructuring charge. Additionally, the amount of each restructuring charge is significantly affected by the timing and size of the restructured business or component of a business.</w:t>
      </w:r>
    </w:p>
    <w:p>
      <w:pPr>
        <w:spacing w:after="0" w:line="1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i w:val="1"/>
          <w:iCs w:val="1"/>
          <w:color w:val="auto"/>
        </w:rPr>
        <w:t xml:space="preserve">Litigation settlement gain: </w:t>
      </w:r>
      <w:r>
        <w:rPr>
          <w:rFonts w:ascii="Arial" w:cs="Arial" w:eastAsia="Arial" w:hAnsi="Arial"/>
          <w:sz w:val="18"/>
          <w:szCs w:val="18"/>
          <w:color w:val="auto"/>
        </w:rPr>
        <w:t>We have excluded the effect of the litigation settlement gain in 2013 because its exclusion permits comparability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that were not impacted by this item.</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Net tax benefit related to “check-the-box” election: </w:t>
      </w:r>
      <w:r>
        <w:rPr>
          <w:rFonts w:ascii="Arial" w:cs="Arial" w:eastAsia="Arial" w:hAnsi="Arial"/>
          <w:sz w:val="18"/>
          <w:szCs w:val="18"/>
          <w:color w:val="auto"/>
        </w:rPr>
        <w:t>We have excluded the effect of the net tax benefit from our “check-the-box” election to treat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wholly-owned foreign subsidiaries as a disregarded entity for U.S. federal income tax purposes during the first quarter of 2014 because its exclusion permits comparability with periods that were not impacted by this item.</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expenses, and depreciation and amortization in the calculation of EBITDA as these are customary exclusions as defined by the calculation of EBITDA to arrive at meaningful earnings from core operations excluding the effect of such items.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 Compared to Three Months Ended March 31,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$46.7 million, or 28.5%, to $210.7 million for the first quarter of 2014 from $164.0 million for the first quarter of 2013.</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Of the overall $46.7 million increase in revenues, $34.1 million was attributable to our full-time billable consultants, while $12.6 million was attributable to our full-time equivalents. The increase in full-time billable consultant revenues was driven by an increase in the average number of billable consultants and average billing rate, partially offset by a decrease in the consultant utilization rate. The increase in revenue from full-time billable consultants primarily reflected strengthened demand for our services in the Huron Healthcare segment and our Huron Legal segment’s legal advisory services, partially offset by decreased demand for our services in the Huron Education and Life Sciences segment. The increase in full-time equivalent revenue was primarily attributable to an increase in the average number of full-time equivalents and revenue per full-time equivalent. Revenue attributable to full-time equivalents primarily reflected increased demand for our discovery services in the Huron Legal segment, as well as increased use of contractors in the Huron Healthcare segment.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total direct costs increased $17.9 million, or 16.8%, to $124.7 million in the three months ended March 31, 2014, from $106.8 million in the three months ended March 31, 2013. The increase primarily related to a $12.7 million increase in salaries, bonuses, and related expenses for our revenue-generating professionals and a $5.1 million increase in contractor expense. As a percentage of revenues, our total direct costs decreased to 59.2% during the first quarter of 2014 compared to 65.1% during the first quarter of 2013. This decrease primarily reflected revenue growth that outpaced the increase in salaries, bonuses, and related expenses for our revenue-generating professionals during the first quarter of 2014, as well as a decrease in technology expense, partially offset by the increase in contractor expense as a percentage of revenues.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Total direct costs for the three months ended March 31, 2014 included $4.0 million of share-based compensation expense and $1.1 million of amortization expense for intangible assets and software development costs, primarily representing customer-related assets and software acquired in business combinations. Total direct costs for the three months ended March 31, 2013 included $3.6 million of share-based compensation expense and $0.7 million of amortization expense for intangible assets and software development costs. The increase in share-based compensation expense was primarily attributable to an increase in the number of performance-based awards that are expected to be earned in 2014 based on 2014 performance, compared to those that were expected, as of March 31, 2013, to be earned based on 2013 performance. The increase in amortization expense was primarily related to the amortization of intangible assets from businesses acquired during the fourth quarter of 2013 and the first quarter of 2014.</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2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Selling, general and administrative expenses increased $5.4 million, or 16.8%, to $37.7 million in the first quarter of 2014 from $32.3 million in the first quarter of 2013. This increase was primarily related to a $2.7 million increase in salaries, bonuses, and related expenses for our support personnel, a $0.9 million increase in promotion and sponsorship expenses, a $0.7 million increase in practice administration and meetings expense, a $0.5 million increase in accounting, tax, and audit fees, and a $0.4 million increase in outside professional services. As a percentage of revenues, selling, general and administrative expenses decreased to 17.9% during the first quarter of 2014 compared to 19.7% during the first quarter of 2013. This decrease primarily reflected revenue growth that outpaced the increases in salaries, bonuses, and related expenses for our support personnel and facilities and other office related expenses.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We did not incur any litigation or other settlement gains or losses during the first quarter of 2014. During the first quarter of 2013, we recorded a $1.2 million settlement gain. As discussed under “Part II – Item 1. Legal Proceedings,” and in Note 12 “Commitments, Contingencies and Guarantees,” during the second quarter of 2012, we conducted preliminary settlement discussions with the relator in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and as a result, we recorded a charge of $1.2 million. On March 8, 2013, the Court granted Huron’s motion for summary judgment and dismissed the relator’s second amended complaint in its entirety with prejudice. As a result, during the first quarter of 2013, we reversed the charge of $1.2 million taken during 2012.</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Depreciation and amortization expense increased by $1.3 million to $6.1 million in the three months ended March 31, 2014, from $4.8 million in the three months ended March 31, 2013. The increase primarily related to the amortization of intangible assets from businesses acquired during the fourth quarter of 2013 and first quarter of 2014, as well as the depreciation of leasehold improvements that were placed into service during the second half of 2013. Intangible asset amortization included within operating expenses relates to certain customer relationships, non-competition agreements, trade names, and licenses acquired in connection with our acquisitions.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Operating income increased $20.5 million, or 95.9%, to $41.8 million in the first quarter of 2014 from $21.3 million in the first quarter of 2013. Operating margin, which is defined as operating income expressed as a percentage of revenues, increased to 19.8% in the three months ended March 31, 2014, compared to 13.0% in the three months ended March 31, 2013. The increase in operating margin was primarily attributable to the revenue growth that outpaced the increase in salaries, bonuses, and related expenses for both our revenue-generating professionals and support personnel during the period, as well as a decrease in technology expense and a decrease in facilities and other office related expenses as a percentage of revenues. The operating margin for the first three months of 2013 was positively impacted by the litigation settlement gain recognized during that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expense, net decreased by $0.7 million, or 35.4%, to $1.2 million in the first quarter of 2014 from $1.9 million in the first quarter of 2013. The decrease was primarily attributable to a $0.5 million, or 26.4%, decrease in interest expense, net of interest income in the first quarter of 2014, which was the result of a decrease in our borrowing levels combined with lower interest rates.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the first quarter of 2014, we recognized income tax expense from continuing operations of $6.5 million on income from continuing operations of $40.6 million. For the first quarter of 2013, we recognized income tax expense from continuing operations of $8.1 million on income from continuing operations of $19.5 million. Our effective tax rate for the first quarter of 2014 was 16.0% compared with 41.7% for the same period last year. The effective tax rate for the three months ended March 31, 2014 was lower than the statutory rate, inclusive of state income taxes, due primarily to the impact of a tax election made in the first quarter of 2014 to classify one of our wholly-owned foreign subsidiaries as a disregarded entity for U.S. federal income tax purposes (commonly referred to as a “check-the-box” election). As a result of this election, we expect to realize an income tax benefit of $13.8 million, of which $2.4 million is unrecognized, resulting in a net recognized tax benefit of $11.4 million during the quarter. This recognized benefit was partially offset by $1.2 million in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expenses related to the establishment of a valuation allowance for certain foreign tax credits and increased deferred tax liabilities as a result of the aforementioned election. The effective tax rate for the three months ended March 31, 2013 was higher than the statutory rate, inclusive of state income taxes, due primarily to the impact of foreign losses with no tax benefit and certain non-deductible business expenses, partially offset by the impact of the retroactive reinstatement of the federal research and development tax credit, which was enacted during the quarter.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Net income from continuing operations was $34.1 million for the three months ended March 31, 2014, compared to net income from continuing operations of $11.4 million for the same period last year. The $22.7 million increase in net income from continuing operations was primarily due to the increase in operating income, as well as the decrease in income tax expense, as discussed above. As a result of the increase in net income from continuing operations, diluted earnings per share from continuing operations for the first quarter of 2014 was $1.48 compared to $0.51 for the first quarter of 2013.</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EBITDA increased $22.2 million to $49.0 million for the three months ended March 31, 2014, from $26.8 million for the three months ended March 31, 2013. Adjusted EBITDA increased $23.5 million to $49.1 million in the first quarter of 2014 from $25.6 million in the first quarter of 2013. The increase in EBITDA was primarily due to the increase in segment operating income, as discussed below in Segment Results, partially offset by the decrease in litigation settlement gain. Adjusted EBITDA was higher in the first quarter of 2014 due to the increase in segment operating income.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Adjusted net income from continuing operations increased $13.9 million to $25.5 million in the first quarter of 2014 compared to $11.6 million in the first quarter of 2013. The increase was primarily attributable to the increase in operating income, partially offset by a higher tax expense when excluding the tax benefit related to our “check-the-box” election.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Huron Healthcare segment revenues increased $28.8 million, or 36.6%, to $107.5 million for the first quarter of 2014 from $78.7 million for the first quarter of 2013. During the three months ended March 31, 2014, revenues from time-and-expense engagements, fixed-fee engagements, performance-based arrangements, and software support and maintenance arrangements represented 1.7%, 64.8%, 29.2%, and 4.3% of this segment’s revenues, respectively, compared to 1.2%, 70.5%, 23.4%, and 4.9%, respectively, for the comparable period in 2013.</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Of the overall $28.8 million increase in revenues, $28.0 million was attributable to our full-time billable consultants and $0.8 million was attributable to our full-time equivalents. The increase in demand for our services reflected the continued pressures our clients face as the result of evolving business models, rising costs, and declining reimbursements from government and commercial payers. The increase in full-time billable consultant revenues reflected increases in the average billing rate and average number of full-time billable consultants, partially offset by a decrease in the consultant utilization rate. Performance-based fee revenues were $31.4 million during the first quarter of 2014 compared to $18.4 million during the first quarter of 2013. We expect performance-based fees to be greater in the first half of 2014 than in the second half of 2014.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 With regard to our full-time equivalents, during the first three months of 2014, the Huron Healthcare segment experienced an increase in revenue per full-time equivalent, partially offset by a decrease in the average number of full-time equivalents compared to the first three months of 2013.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Huron Healthcare segment operating income increased $20.0 million, or 64.4%, to $51.2 million in the three months ended March 31, 2014, from $31.2 million in the three months ended March 31, 2013. The Huron Healthcare segment operating margin, defined as segment operating income expressed as a percentage of segment revenues, increased to 47.6% for the first quarter of 2014 from 39.6% in the same period last year. The increase in this segment’s operating margin was primarily attributable to revenue growth that outpaced the increase in salaries, bonuses, and related expenses for our revenue-generating professionals, as well as decreases in contractor expense and salaries and related expenses for our support personnel and a decrease in promotion and sponsorship expenses as a percentage of revenues, partially offset by an increase in technology expense.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Legal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Huron Legal segment revenues increased $14.0 million, or 34.3%, to $54.9 million for the first quarter of 2014 from $40.9 million for the first quarter of 2013. Revenues from time-and-expense engagements, fixed-fee engagements, and support and maintenance arrangements represented 97.7%, 2.1%, and 0.2% of this segment’s revenues, respectively, during the three months ended March 31, 2014, compared to 94.4%, 5.4%, and 0.2% of this segment’s revenues, respectively, for the comparable period in 2013.</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Of the overall $14.0 million increase in revenues, $11.3 million was attributable to an increase in revenue generated by our full-time equivalents and $2.7 million was related to our full-time billable consultants. The increase in revenue attributable to our full-time equivalents was the result of an increase in both the average number of full-time equivalents and revenue per full-time equivalent. The increase in full-time billable consultant revenue reflected an increase in the consultant utilization rate and average billing rate, partially offset by a decrease in the average number of full-time billable consultants.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Huron Legal segment operating income increased by $9.6 million to $12.5 million in the three months ended March 31, 2014, from $2.9 million in the three months ended March 31, 2013. Segment operating margin increased to 22.7% for the first quarter of 2014 from 7.2% in the same period last year. The increase in this segment’s operating margin was primarily attributable to revenue growth that outpaced the increase in salaries, bonuses, and related expenses for our revenue-generating professionals. Decreases in technology expense, rent expense, and severance expense, and a decrease in promotion and sponsorship expense as a percentage of revenues also contributed to the increase in operating margin, partially offset by an increase in contractor expense as a percentage of revenues.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Huron Education and Life Sciences segment revenues decreased $2.1 million, or 6.0%, to $33.6 million for the first quarter of 2014 from $35.7 million for the first quarter of 2013. Revenues from time-and-expense engagements, fixed-fee engagements, and software support and maintenance arrangements represented 71.9%, 23.6%, and 4.5% of this segment’s revenues, respectively, during the three months ended March 31, 2014, compared to 76.7%, 19.4%, and 3.9%, respectively, for the comparable period in 2013.</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Of the overall $2.1 million decrease in revenues, $1.8 million was attributable to our full-time billable consultants and $0.3 million was related to our full-time equivalents. The decrease in revenue from our full-time billable consultants reflected a decrease in the average billing rate and consultant utilization rate, partially offset by an increase in the average number of full-time billable consultants. The decrease in revenue attributable to our full-time equivalents reflected a decrease in revenue per full-time equivalent, partially offset by an increase in the average number of full-time equivalents.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Huron Education and Life Sciences segment operating income decreased $3.0 million, or 31.1%, to $6.4 million in the three months ended March 31, 2014, from $9.4 million in the three months ended March 31, 2013. The Huron Education and Life Sciences segment operating margin decreased to 19.2% for the first quarter of 2014 from 26.2% in the same period last year. The decrease in this segment’s operating margin was primarily attributable to an increase in salaries and related expenses for both our revenue-generating professionals and support personnel, as well as increases in contractor expense, promotion and sponsorship expense, and research expense, partially offset by a decrease in bonus expense for our revenue-generating professionals as a percentage of revenues.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Huron Business Advisory segment revenues increased $4.8 million, or 55.9%, to $13.4 million for the first quarter of 2014 from $8.6 million for the first quarter of 2013. Revenues for the first quarter of 2014 included $6.6 million from Blue Stone, which we acquired in the fourth quarter of 2013. Revenues from time-and-expense engagements, fixed-fee engagements, and performance-based arrangements represented 84.4%, 11.9%, and 3.7% of this segment’s revenues, respectively, during the first quarter of 2014 compared to 77.4%, 16.8%, and 5.8%, respectively, for the comparable period in 2013.</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Of the overall $4.8 million increase in revenues, $4.4 million was attributable to our full-time billable consultants and $0.4 million was related to our full-time equivalents. The increase in revenue from our full-time billable consultants was driven by an increase in the average number of full-time billable consultants, partially offset by decreases in the average billing rate and consultant utilization rate. The increase in revenue attributable to our full-time equivalents reflected an increase in the average number of full-time equivalents, partially offset by a decrease in revenue per full-time equivalent.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Huron Business Advisory segment operating income decreased by $0.8 million, or 24.4%, to $2.6 million in the three months ended March 31, 2014, compared to $3.4 million in the three months ended March 31, 2013. Segment operating margin decreased to 19.1% for the first quarter of 2014 from 39.4% in the same period last year. The decrease in this segment’s operating margin was primarily attributable to an increase in salaries, bonuses, and related expenses for both our revenue-generating professionals and support personnel as a percentage of revenues. Increases in contractor expense, intangible asset amortization expense, promotion and sponsorship expense, and practice administration and meetings expense, all as percentages of revenues, also contributed to the decrease in the segment’s operating margin.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and cash equivalents decreased $36.5 million, from $58.1 million at December 31, 2013 to $21.6 million at March 31, 2014. Our primary sources of liquidity are cash flows from our U.S. operations and debt capacity available under our credit facility.</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(in thousands):</w:t>
            </w: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1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(9,165)</w:t>
            </w:r>
          </w:p>
        </w:tc>
        <w:tc>
          <w:tcPr>
            <w:tcW w:w="2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(22,990)</w:t>
            </w:r>
          </w:p>
        </w:tc>
        <w:tc>
          <w:tcPr>
            <w:tcW w:w="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(22,218)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cash used in operating activities totaled $9.2 million for the three months ended March 31, 2014, and $23.0 million for the same period last year. Our operating assets and liabilities consist primarily of receivables from billed and unbilled services, accounts payable and accrued expenses, and accrued payroll and related benefits, and deferred revenues. The volume of services rendered and the related billings and timing of collections on those billings, as well as payments of our accounts payable and salaries, bonuses, and benefits to employees affect these account balances. The decrease in cash used in operations was primarily attributable to higher net income and increased collections of receivables from clients during the first three months of 2014 when compared with the first three months of 2013, partially offset by an increase in the amount paid for annual performance bonuses during the first quarter of 2014 and an increase in unbilled services from clients during the first three months of 2014 when compared with the first three months of 2013.</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used in investing activities was $22.2 million and $6.6 million for the three months ended March 31, 2014 and 2013, respectively. The use of cash in the first three months of 2014 primarily consisted of $17.4 million for the purchase of a business and $4.8 million for purchases of property and equipment. The use of cash in the first three months of 2013 primarily consisted of purchases of property and equipment totaling $5.4 million. We estimate that the cash utilized for capital expenditures in 2014 will be approximately $30.0 million, primarily consisting of information technology related equipment and leasehold improvements to support the continued growth of our document review and processing services, as well as information technology related equipment to support our corporate infrastructure.</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cash used in financing activities was $5.1 million for the three months ended March 31, 2014, compared to net cash provided by financing activities of $10.3 million for the same period last year. There were no borrowings made under our credit facility during the first three months of 2014, compared to borrowings of $22.0 million during the first three months of 2013 to fund our operations. Repayments under our term loan totaled $6.3 million during the first quarter of 2014, compared to repayments of $12.0 million under our term loan and revolving credit facility during the first quarter of 2013.</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2011, the Company and certain of the Company’s subsidiaries as guarantors entered into an Amended and Restated Credit Agreement with various financial institutions, as amended by the first, second, and third amendments to the credit agreement dated as of August 31, 2012, September 25, 2013, and February 14, 2014, respectively (as amended and modified, the “2011 Credit Agreement”). The second amendment to the credit agreement extended the terms of the 2011 Credit Agreement from August 31, 2017 to September 25, 2018, and provided for less restrictive covenants, among other things.</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obligations under the 2011 Credit Agreement are secured pursuant to a Security Agreement with Bank of America, N.A. as Collateral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the date of the second amendment to the credit agreement, the Term Loan had a principal amount outstanding of $181.3 million. This principal balance is subject to scheduled quarterly amortization payments that began in 2013. The aggregate annual quarterly amortization payments, expressed as a percentage of the original principal balance, are as follows: 6.9% in 2013, 13.8% in 2014, 15.8% in 2015, 16.6% in 2016, 16.6% in 2017, and 30.3% in 2018, as set forth in the 2011 Credit Agreement. The maturity date for the Term Loan is September 25, 2018, at which time the outstanding principal balance and all accrued interest will be due and payable in full. All outstanding borrowings under the Revolver, as amended, will be due upon expiration of the 2011 Credit Agreement on September 25, 2018. As of March 31, 2014, the Company has made all scheduled quarterly amortization payments as they have come due in accordance with the Term Loan.</w:t>
      </w:r>
    </w:p>
    <w:p>
      <w:pPr>
        <w:spacing w:after="0" w:line="18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2011 Credit Agreement contains quarterly financial covenants that require us to maintain a minimum fixed charge coverage ratio of 2.25 to 1.00 and a maximum leverage ratio that varies throughout the term and was 3.25 to 1.00 as of March 31, 2014, as those ratios are defined therein, as well as a minimum net worth greater than $150 million. At March 31, 2014, we were in compliance with these financial covenants with a fixed charge coverage ratio of 4.75 to 1.00, a leverage ratio of 0.91 to 1.00, and net worth greater than $150 million. At December 31, 2013, we were also in compliance with these financial covenants.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March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2014, outstanding letters of credit totaled $5.5 million and are primarily used as security deposits for our office facilities. As of March 31, 2014, the unused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borrowing capacity under the 2011 Credit Agreement was $242.0 million. Borrowings outstanding under this credit facility at March 31, 2014 totaled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$162.5 million, all of which was under the Term Loan. These borrowings carried a weighted average interest rate of 2.3%, including the effect of the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swaps described in Note 8 “Derivative Instruments and Hedging Activity.” During the first three months of 2014, the average daily outstanding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our credit facility was $168.7 million. Borrowings outstanding at December 31, 2013 were $168.8 million and carried a weighted average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2.0%.</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20, 2014, the Company’s board of directors authorized a share repurchase program pursuant to which the Company may, from time to time, repurchase up to $50 million of its common stock through February 28, 2015 (the “February 2014 Share Repurchase Program”). The amount and timing of the repurchases will be determined by management and will depend on a variety of factors, including the trading price of the Company’s common stock, general market and business conditions, and applicable legal requirements. During the first quarter of 2014, the Company initiated approximately $0.3 million of common stock repurchases that settled in the second quarter of 2014. The Company continued to actively repurchase shares during the second quarter of 2014.</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“Risk Factors” in our Annual Report on Form 10-K for the year ended December 31, 2013 for a discussion of certain risks and uncertainties related to the 2011 Credit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also have cash needs to service our credit facility and repay our Term Loan. We believe our internally generated liquidity, together with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2013. There have been no material changes in our contractual obligations since December 31,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April 2014, the FASB issued ASU 2014-08, Presentation of Financial Statements (Topic 205) and Property, Plant, and Equipment (Topic 360), Reporting Discontinued Operations and Disclosures of Disposals of Components of an Entity. This guidance includes amendments that change the requirements for reporting discontinued operations and require additional disclosures about discontinued operations. Under the new guidance, only disposals representing a strategic shift in operations that has (or will have) a major effect on the entity’s operations and financial results should be presented as discontinued operations. Examples include a disposal of a major geographic area, a major line of business, a major equity method investment, or other major parts of an entity. Additionally, the revised guidance requires expanded disclosures in the financial statements for discontinued operations as well as for disposals of significant components of an entity that do not qualify for discontinued operations presentation. This guidance is effective for the Company beginning in the first quarter of 2015. We do not expect the adoption of this guidance to have a material impact on our consolidated financial statements.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July 2013, the FASB issued ASU No. 2013-11, Presentation of an Unrecognized Tax Benefit When a Net Operating Loss Carryforward, a Similar Tax Loss, or a Tax Credit Carryforward Exists. This guidance requires that an unrecognized tax benefit, or a portion of an unrecognized tax benefit, be presented in the financial statements as either a reduction to a deferred tax asset or separately as a liability depending on the existence, availability and/or use of an operating loss carryforward, a similar tax loss, or a tax credit carryforward. The Company adopted ASU 2013-11 effective January 1, 2014. The adoption of this guidance did not have any effect on the Company’s consolidated financial statements.</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March 2013, the FASB issued ASU No. 2013-05, Parent’s Accounting for the Cumulative Translation Adjustment Upon Derecognition of Certain Subsidiaries or Groups of Assets Within a Foreign Entity or of an Investment in a Foreign Entity, which amends current accounting guidance on foreign currency matters. This guidance requires that the entire amount of a cumulative translation adjustment related to an entity’s investment in a foreign entity should be released when there has been a: (i) sale of a subsidiary or group of net assets within a foreign entity and the sale represents the substantially complete liquidation of the investment in the foreign entity, (ii) loss of a controlling financial interest in an investment in a foreign entity, and (iii) step acquisition for a foreign entity. The Company adopted ASU 2013-05 effective January 1, 2014. The adoption of this guidance did not have any effect on the Company’s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On April 23, 2014, we entered into an agreement to acquire the assets of Vonlay, LLC, a healthcare technology consulting firm, specializing in clinical information systems and electronic health records implementations and optimizations. The transaction, which is subject to certain customary closing conditions, is expected to close in May 2014. Vonlay will be included within the Huron Healthcare segment.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exposure to changes in interest rates is limited to borrowings under our bank credit facility, which has variable interest rates tied to the LIBOR, Federal Funds Rate, Prime Rate, or Eurodollar Rate. At March 31, 2014, we had borrowings outstanding totaling $162.5 million that carried a weighted average interest rate of 2.3% including the effect of the interest rate swaps described below. A hypothetical 100 basis point change in this interest rate would have a $0.3 million effect on our pretax income including the effect of the interest rate swaps described below.</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May 30, 2012, we entered into an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such that, collectively with our other two interest rate swaps, we are effectively fixing the interest rate on 80% of our Term Loan borrowings throughout the term of the swap agreement. Under the terms of the interest rate swap agreement, we will receive from the counterparty interest on the notional amount based on one-month LIBOR and we will pay to the counterparty a fixed rate of 0.985%.</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Including the impact of the above swap agreements, the effective interest rate on $130.0 million of our debt, which equals the notional amount of the swap agreements in effect at March 31, 2014, was 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other interest rate swaps, caps or collars or other hedging instruments as of March 31, 2014.</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From time to time, we invest excess cash in marketable securities. These investments principally consist of overnight sweep accounts. Due to the short maturity of our investments, we have concluded that we do not have material market risk exposure.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2014. Based on this evaluation, our Chief Executive Officer and Chief Financial Officer have concluded that, as of March 31, 2014,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that occurred during the three months ended March 31, 2014 that has materially affected, or is reasonably likely to materially affect,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December 9, 2009, plaintiff, Associates Against Outlier Fraud, filed a first amended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alleging that false or fraudulent claims were knowingly submitted to the government. Once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the relator filed a second amended complaint alleging that Huron and others caused St. Vincent Catholic Medical Center to receive more than $30 million in inflated outlier payments under the Medicare and Medicaid programs in violation of the federal and state FCA and seeking to recover an unspecified amount of civil penalties. On March 8, 2013, the Court granted Huron’s motion for summary judgment and dismissed the relator’s second amended complaint in its entirety with prejudice. As a result, we reversed the charge of $1.2 million relating to settlement discussions which we originally recorded in the second quarter of 2012, in accordance with ASC Topic 450, “Contingencies.” The relator filed an appeal on April 2, 2013. On April 8, 2013, Huron filed an appeal of an earlier denial of a motion to dismiss filed by Huron which argued that the relator’s action was barred because, under the FCA jurisdictional bar, the action was based on publicly disclosed information and the relator cannot qualify as an original source. We continue to believe that the claims are without merit and intend to vigorously defend ourselves in this matter.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Tamalluk Business Development LLC v. Huron Consulting Services LLC (Abu Dhabi Court of First Instance)</w:t>
      </w:r>
    </w:p>
    <w:p>
      <w:pPr>
        <w:spacing w:after="0" w:line="11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On August 22, 2013, we learned that Tamalluk Business Development LLC, who was Huron’s agent in Abu Dhabi, and its principal, Mubarak Ahmad Bin Hamouda Al Dhaheri, filed a claim against Huron Consulting Services LLC in the Abu Dhabi Court of First Instance. The lawsuit alleges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does not owe Tamalluk any compensation related to Tamalluk’s claims. In addition, the court terminated the Local Sponsorship Agreement as requested by Huron in its counterclaim. Tamalluk appealed the decision, and on March 18, 2014, the appellate court upheld the decision in Huron’s favor. Tamalluk has until May 18, 2014 to appeal to the highest court in Abu Dhabi.</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our 2013 Annual Report on Form 10-K for a complete description of the material risks we face.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2012 Omnibus Incentive Plan and our 2004 Omnibus Stock Plan, which was replaced by the 2012 Omnibus Incentive Plan, permit the netting of common stock upon vesting of restricted stock awards to satisfy individual tax withholding requirements. During the quarter ended March 31, 2014, we reacquired 46,704 shares of common stock with a weighted average fair market value of $65.67 as a result of such tax withholdings as presented in the table below.</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20, 2014, the Company’s board of directors authorized a share repurchase program pursuant to which the Company may, from time to time, repurchase up to $50 million of its common stock through February 28, 2015 (the “February 2014 Share Repurchase Program”). The amount and timing of the repurchases will be determined by management and will depend on a variety of factors, including the trading price of the Company’s common stock, general market and business conditions, and applicable legal requirements.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60" w:type="dxa"/>
            <w:vAlign w:val="bottom"/>
          </w:tcPr>
          <w:p>
            <w:pPr>
              <w:spacing w:after="0"/>
              <w:rPr>
                <w:sz w:val="14"/>
                <w:szCs w:val="14"/>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Dollar Value of Shares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4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2"/>
                <w:szCs w:val="12"/>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that may yet be</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440" w:type="dxa"/>
            <w:vAlign w:val="bottom"/>
            <w:vMerge w:val="restart"/>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 Shares</w:t>
            </w:r>
          </w:p>
        </w:tc>
        <w:tc>
          <w:tcPr>
            <w:tcW w:w="4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460" w:type="dxa"/>
            <w:vAlign w:val="bottom"/>
          </w:tcPr>
          <w:p>
            <w:pPr>
              <w:spacing w:after="0"/>
              <w:rPr>
                <w:sz w:val="12"/>
                <w:szCs w:val="12"/>
                <w:color w:val="auto"/>
              </w:rPr>
            </w:pPr>
          </w:p>
        </w:tc>
        <w:tc>
          <w:tcPr>
            <w:tcW w:w="14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Purchased under the</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444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12"/>
                <w:szCs w:val="12"/>
                <w:b w:val="1"/>
                <w:bCs w:val="1"/>
                <w:color w:val="auto"/>
                <w:w w:val="90"/>
              </w:rPr>
              <w:t>1</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Paid per Share</w:t>
            </w:r>
          </w:p>
        </w:tc>
        <w:tc>
          <w:tcPr>
            <w:tcW w:w="4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4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 xml:space="preserve">Plans or Programs </w:t>
            </w:r>
            <w:r>
              <w:rPr>
                <w:rFonts w:ascii="Arial" w:cs="Arial" w:eastAsia="Arial" w:hAnsi="Arial"/>
                <w:sz w:val="12"/>
                <w:szCs w:val="12"/>
                <w:b w:val="1"/>
                <w:bCs w:val="1"/>
                <w:color w:val="auto"/>
                <w:w w:val="91"/>
              </w:rPr>
              <w:t>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2014 – January 31, 2014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February 1, 2014 – February 28, 2014</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5,636</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65.58</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2014 – March 31, 2014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35,921</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66.22</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46,704</w:t>
            </w:r>
          </w:p>
        </w:tc>
        <w:tc>
          <w:tcPr>
            <w:tcW w:w="20" w:type="dxa"/>
            <w:vAlign w:val="bottom"/>
            <w:tcBorders>
              <w:bottom w:val="single" w:sz="8" w:color="auto"/>
            </w:tcBorders>
          </w:tcPr>
          <w:p>
            <w:pPr>
              <w:spacing w:after="0"/>
              <w:rPr>
                <w:sz w:val="19"/>
                <w:szCs w:val="19"/>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65.67</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The number of shares repurchased includes 5,147 shares in January 2014, 5,636 shares in February 2014, and 35,921 shares in March 2014 to satisfy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employee tax withholding requirements. These shares do not reduce the repurchase authority under the February 2014 Share Repurchase Program.</w:t>
      </w:r>
    </w:p>
    <w:p>
      <w:pPr>
        <w:spacing w:after="0" w:line="3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Dollar value of shares that may yet be purchased under the February 2014 Share Repurchase Program is as of the end of the period.</w:t>
      </w:r>
    </w:p>
    <w:p>
      <w:pPr>
        <w:spacing w:after="0" w:line="35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459"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tab/>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The following exhibits are filed as part of this Quarterly Report on Form 10-Q.</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r>
      <w:tr>
        <w:trPr>
          <w:trHeight w:val="185"/>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5180" w:type="dxa"/>
            <w:vAlign w:val="bottom"/>
          </w:tcPr>
          <w:p>
            <w:pPr>
              <w:jc w:val="right"/>
              <w:ind w:right="1908"/>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9"/>
              </w:rPr>
              <w:t>Certification of the Chief Executive Officer, pursuant to Rule 13a-</w:t>
            </w: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2"/>
              </w:rPr>
              <w:t>14(a)/15d-14(a), as adopted pursuant to Section 302 of the Sarbanes-</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Certification of the Chief Financial Officer, pursuant to Rule 13a-</w:t>
            </w: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2"/>
              </w:rPr>
              <w:t>14(a)/15d-14(a), as adopted pursuant to Section 302 of the Sarbanes-</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9"/>
              </w:rPr>
              <w:t>Certification of the Chief Executive Officer, pursuant to 18 U.S.C.</w:t>
            </w: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6"/>
              </w:rPr>
              <w:t>Section 1350, as adopted pursuant to Section 906 of the Sarbanes-</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Certification of the Chief Financial Officer, pursuant to 18 U.S.C.</w:t>
            </w: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w w:val="96"/>
              </w:rPr>
              <w:t>Section 1350, as adopted pursuant to Section 906 of the Sarbanes-</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Oxley Act of 2002.</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0" w:type="dxa"/>
            <w:vAlign w:val="bottom"/>
            <w:gridSpan w:val="2"/>
          </w:tcPr>
          <w:p>
            <w:pPr>
              <w:jc w:val="right"/>
              <w:ind w:right="448"/>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Filed</w:t>
            </w: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Furnished</w:t>
            </w: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1"/>
              </w:rPr>
              <w:t>Form</w:t>
            </w:r>
          </w:p>
        </w:tc>
        <w:tc>
          <w:tcPr>
            <w:tcW w:w="380" w:type="dxa"/>
            <w:vAlign w:val="bottom"/>
          </w:tcPr>
          <w:p>
            <w:pPr>
              <w:spacing w:after="0"/>
              <w:rPr>
                <w:sz w:val="10"/>
                <w:szCs w:val="10"/>
                <w:color w:val="auto"/>
              </w:rPr>
            </w:pPr>
          </w:p>
        </w:tc>
        <w:tc>
          <w:tcPr>
            <w:tcW w:w="8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Period</w:t>
            </w: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380" w:type="dxa"/>
            <w:vAlign w:val="bottom"/>
            <w:vMerge w:val="restart"/>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0" w:type="dxa"/>
            <w:vAlign w:val="bottom"/>
          </w:tcPr>
          <w:p>
            <w:pPr>
              <w:spacing w:after="0"/>
              <w:rPr>
                <w:sz w:val="1"/>
                <w:szCs w:val="1"/>
                <w:color w:val="auto"/>
              </w:rPr>
            </w:pPr>
          </w:p>
        </w:tc>
      </w:tr>
      <w:tr>
        <w:trPr>
          <w:trHeight w:val="171"/>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3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38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Ending</w:t>
            </w:r>
          </w:p>
        </w:tc>
        <w:tc>
          <w:tcPr>
            <w:tcW w:w="38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ind w:right="34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ind w:right="34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320" w:space="380"/>
            <w:col w:w="47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Huron Consulting Group Inc.</w:t>
            </w:r>
          </w:p>
        </w:tc>
      </w:tr>
      <w:tr>
        <w:trPr>
          <w:trHeight w:val="230"/>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40" w:type="dxa"/>
            <w:vAlign w:val="bottom"/>
          </w:tcPr>
          <w:p>
            <w:pPr>
              <w:ind w:left="1760"/>
              <w:spacing w:after="0"/>
              <w:rPr>
                <w:sz w:val="20"/>
                <w:szCs w:val="20"/>
                <w:color w:val="auto"/>
              </w:rPr>
            </w:pPr>
            <w:r>
              <w:rPr>
                <w:rFonts w:ascii="Arial" w:cs="Arial" w:eastAsia="Arial" w:hAnsi="Arial"/>
                <w:sz w:val="18"/>
                <w:szCs w:val="18"/>
                <w:color w:val="auto"/>
              </w:rPr>
              <w:t>(Registrant)</w:t>
            </w:r>
          </w:p>
        </w:tc>
      </w:tr>
      <w:tr>
        <w:trPr>
          <w:trHeight w:val="431"/>
        </w:trPr>
        <w:tc>
          <w:tcPr>
            <w:tcW w:w="3560" w:type="dxa"/>
            <w:vAlign w:val="bottom"/>
          </w:tcPr>
          <w:p>
            <w:pPr>
              <w:spacing w:after="0"/>
              <w:rPr>
                <w:sz w:val="20"/>
                <w:szCs w:val="20"/>
                <w:color w:val="auto"/>
              </w:rPr>
            </w:pPr>
            <w:r>
              <w:rPr>
                <w:rFonts w:ascii="Arial" w:cs="Arial" w:eastAsia="Arial" w:hAnsi="Arial"/>
                <w:sz w:val="18"/>
                <w:szCs w:val="18"/>
                <w:color w:val="auto"/>
              </w:rPr>
              <w:t>Date: April 30, 2014</w:t>
            </w: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2"/>
              </w:rPr>
              <w:t>/s/ C. Mark Hussey</w:t>
            </w:r>
          </w:p>
        </w:tc>
      </w:tr>
      <w:tr>
        <w:trPr>
          <w:trHeight w:val="195"/>
        </w:trPr>
        <w:tc>
          <w:tcPr>
            <w:tcW w:w="35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3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0"/>
              </w:rPr>
              <w:t>C. Mark Hussey</w:t>
            </w:r>
          </w:p>
        </w:tc>
      </w:tr>
      <w:tr>
        <w:trPr>
          <w:trHeight w:val="216"/>
        </w:trPr>
        <w:tc>
          <w:tcPr>
            <w:tcW w:w="3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40" w:type="dxa"/>
            <w:vAlign w:val="bottom"/>
          </w:tcPr>
          <w:p>
            <w:pPr>
              <w:jc w:val="center"/>
              <w:ind w:left="10"/>
              <w:spacing w:after="0"/>
              <w:rPr>
                <w:sz w:val="20"/>
                <w:szCs w:val="20"/>
                <w:color w:val="auto"/>
              </w:rPr>
            </w:pPr>
            <w:r>
              <w:rPr>
                <w:rFonts w:ascii="Arial" w:cs="Arial" w:eastAsia="Arial" w:hAnsi="Arial"/>
                <w:sz w:val="18"/>
                <w:szCs w:val="18"/>
                <w:color w:val="auto"/>
                <w:w w:val="92"/>
              </w:rPr>
              <w:t>Executive Vice President, Chief Operating Officer,</w:t>
            </w:r>
          </w:p>
        </w:tc>
      </w:tr>
      <w:tr>
        <w:trPr>
          <w:trHeight w:val="230"/>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40" w:type="dxa"/>
            <w:vAlign w:val="bottom"/>
          </w:tcPr>
          <w:p>
            <w:pPr>
              <w:jc w:val="center"/>
              <w:ind w:left="10"/>
              <w:spacing w:after="0"/>
              <w:rPr>
                <w:sz w:val="20"/>
                <w:szCs w:val="20"/>
                <w:color w:val="auto"/>
              </w:rPr>
            </w:pPr>
            <w:r>
              <w:rPr>
                <w:rFonts w:ascii="Arial" w:cs="Arial" w:eastAsia="Arial" w:hAnsi="Arial"/>
                <w:sz w:val="18"/>
                <w:szCs w:val="18"/>
                <w:color w:val="auto"/>
                <w:w w:val="92"/>
              </w:rPr>
              <w:t>Chief Financial Officer and Treasurer</w:t>
            </w:r>
          </w:p>
        </w:tc>
      </w:tr>
      <w:tr>
        <w:trPr>
          <w:trHeight w:val="378"/>
        </w:trPr>
        <w:tc>
          <w:tcPr>
            <w:tcW w:w="3560" w:type="dxa"/>
            <w:vAlign w:val="bottom"/>
          </w:tcPr>
          <w:p>
            <w:pPr>
              <w:spacing w:after="0"/>
              <w:rPr>
                <w:sz w:val="24"/>
                <w:szCs w:val="24"/>
                <w:color w:val="auto"/>
              </w:rPr>
            </w:pPr>
          </w:p>
        </w:tc>
        <w:tc>
          <w:tcPr>
            <w:tcW w:w="248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4"/>
                <w:szCs w:val="24"/>
                <w:color w:val="auto"/>
              </w:rPr>
            </w:pP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13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April 30, 2014</w:t>
            </w:r>
          </w:p>
        </w:tc>
        <w:tc>
          <w:tcPr>
            <w:tcW w:w="2480" w:type="dxa"/>
            <w:vAlign w:val="bottom"/>
          </w:tcPr>
          <w:p>
            <w:pPr>
              <w:ind w:left="2200"/>
              <w:spacing w:after="0"/>
              <w:rPr>
                <w:sz w:val="20"/>
                <w:szCs w:val="20"/>
                <w:color w:val="auto"/>
              </w:rPr>
            </w:pPr>
            <w:r>
              <w:rPr>
                <w:rFonts w:ascii="Arial" w:cs="Arial" w:eastAsia="Arial" w:hAnsi="Arial"/>
                <w:sz w:val="18"/>
                <w:szCs w:val="18"/>
                <w:color w:val="auto"/>
                <w:w w:val="99"/>
              </w:rPr>
              <w:t>By:</w:t>
            </w:r>
          </w:p>
        </w:tc>
        <w:tc>
          <w:tcPr>
            <w:tcW w:w="5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/s/ James H. Roth</w:t>
            </w:r>
          </w:p>
        </w:tc>
      </w:tr>
      <w:tr>
        <w:trPr>
          <w:trHeight w:val="195"/>
        </w:trPr>
        <w:tc>
          <w:tcPr>
            <w:tcW w:w="3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9"/>
              </w:rPr>
              <w:t>James H. Roth</w:t>
            </w:r>
          </w:p>
        </w:tc>
      </w:tr>
      <w:tr>
        <w:trPr>
          <w:trHeight w:val="230"/>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President and Chief Executive Officer</w:t>
            </w:r>
          </w:p>
        </w:tc>
      </w:tr>
    </w:tbl>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13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April 30, 2014</w:t>
            </w:r>
          </w:p>
        </w:tc>
        <w:tc>
          <w:tcPr>
            <w:tcW w:w="2480" w:type="dxa"/>
            <w:vAlign w:val="bottom"/>
          </w:tcPr>
          <w:p>
            <w:pPr>
              <w:ind w:left="2200"/>
              <w:spacing w:after="0"/>
              <w:rPr>
                <w:sz w:val="20"/>
                <w:szCs w:val="20"/>
                <w:color w:val="auto"/>
              </w:rPr>
            </w:pPr>
            <w:r>
              <w:rPr>
                <w:rFonts w:ascii="Arial" w:cs="Arial" w:eastAsia="Arial" w:hAnsi="Arial"/>
                <w:sz w:val="18"/>
                <w:szCs w:val="18"/>
                <w:color w:val="auto"/>
                <w:w w:val="99"/>
              </w:rPr>
              <w:t>By:</w:t>
            </w:r>
          </w:p>
        </w:tc>
        <w:tc>
          <w:tcPr>
            <w:tcW w:w="5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/s/ C. Mark Hussey</w:t>
            </w:r>
          </w:p>
        </w:tc>
      </w:tr>
      <w:tr>
        <w:trPr>
          <w:trHeight w:val="195"/>
        </w:trPr>
        <w:tc>
          <w:tcPr>
            <w:tcW w:w="3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2"/>
              </w:rPr>
              <w:t>C. Mark Hussey</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Executive Vice President, Chief Operating Officer,</w:t>
            </w:r>
          </w:p>
        </w:tc>
      </w:tr>
      <w:tr>
        <w:trPr>
          <w:trHeight w:val="230"/>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Chief Financial Officer and Treasurer</w:t>
            </w:r>
          </w:p>
        </w:tc>
      </w:tr>
    </w:tbl>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8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March 31, 2014 as filed with the Securities and Exchange Commission on the date hereof (the “Report”), I, James H. Roth, President and Chief Executive Officer of the Company, hereby certify, pursuant to 18 U.S.C. Section 1350, as adopted pursuant to Section 906 of the Sarbanes-Oxley Act of 2002, that to the best of my knowledge:</w:t>
      </w:r>
    </w:p>
    <w:p>
      <w:pPr>
        <w:spacing w:after="0" w:line="5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April 30, 2014</w:t>
            </w:r>
          </w:p>
        </w:tc>
        <w:tc>
          <w:tcPr>
            <w:tcW w:w="2480" w:type="dxa"/>
            <w:vAlign w:val="bottom"/>
          </w:tcPr>
          <w:p>
            <w:pPr>
              <w:ind w:left="2200"/>
              <w:spacing w:after="0"/>
              <w:rPr>
                <w:sz w:val="20"/>
                <w:szCs w:val="20"/>
                <w:color w:val="auto"/>
              </w:rPr>
            </w:pPr>
            <w:r>
              <w:rPr>
                <w:rFonts w:ascii="Arial" w:cs="Arial" w:eastAsia="Arial" w:hAnsi="Arial"/>
                <w:sz w:val="18"/>
                <w:szCs w:val="18"/>
                <w:color w:val="auto"/>
                <w:w w:val="99"/>
              </w:rPr>
              <w:t>By:</w:t>
            </w:r>
          </w:p>
        </w:tc>
        <w:tc>
          <w:tcPr>
            <w:tcW w:w="5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/s/ James H. Roth</w:t>
            </w:r>
          </w:p>
        </w:tc>
      </w:tr>
      <w:tr>
        <w:trPr>
          <w:trHeight w:val="195"/>
        </w:trPr>
        <w:tc>
          <w:tcPr>
            <w:tcW w:w="3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9"/>
              </w:rPr>
              <w:t>James H. Roth</w:t>
            </w:r>
          </w:p>
        </w:tc>
      </w:tr>
      <w:tr>
        <w:trPr>
          <w:trHeight w:val="230"/>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President and Chief Executive Officer</w:t>
            </w:r>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8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March 31, 2014 as filed with the Securities and Exchange Commission on the date hereof (the “Report”), I, C. Mark Hussey, Executive Vice President, Chief Operating Officer, Chief Financial Officer and Treasurer of the Company, hereby certify, pursuant to 18 U.S.C. Section 1350, as adopted pursuant to Section 906 of the Sarbanes-Oxley Act of 2002, that to the best of my knowledge:</w:t>
      </w:r>
    </w:p>
    <w:p>
      <w:pPr>
        <w:spacing w:after="0" w:line="9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April 30, 2014</w:t>
            </w:r>
          </w:p>
        </w:tc>
        <w:tc>
          <w:tcPr>
            <w:tcW w:w="2480" w:type="dxa"/>
            <w:vAlign w:val="bottom"/>
          </w:tcPr>
          <w:p>
            <w:pPr>
              <w:ind w:left="2200"/>
              <w:spacing w:after="0"/>
              <w:rPr>
                <w:sz w:val="20"/>
                <w:szCs w:val="20"/>
                <w:color w:val="auto"/>
              </w:rPr>
            </w:pPr>
            <w:r>
              <w:rPr>
                <w:rFonts w:ascii="Arial" w:cs="Arial" w:eastAsia="Arial" w:hAnsi="Arial"/>
                <w:sz w:val="18"/>
                <w:szCs w:val="18"/>
                <w:color w:val="auto"/>
                <w:w w:val="99"/>
              </w:rPr>
              <w:t>By:</w:t>
            </w:r>
          </w:p>
        </w:tc>
        <w:tc>
          <w:tcPr>
            <w:tcW w:w="5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/s/ C. Mark Hussey</w:t>
            </w:r>
          </w:p>
        </w:tc>
      </w:tr>
      <w:tr>
        <w:trPr>
          <w:trHeight w:val="195"/>
        </w:trPr>
        <w:tc>
          <w:tcPr>
            <w:tcW w:w="3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2"/>
              </w:rPr>
              <w:t>C. Mark Hussey</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Executive Vice President, Chief Operating Officer,</w:t>
            </w:r>
          </w:p>
        </w:tc>
      </w:tr>
      <w:tr>
        <w:trPr>
          <w:trHeight w:val="230"/>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ind w:left="10"/>
              <w:spacing w:after="0"/>
              <w:rPr>
                <w:sz w:val="20"/>
                <w:szCs w:val="20"/>
                <w:color w:val="auto"/>
              </w:rPr>
            </w:pPr>
            <w:r>
              <w:rPr>
                <w:rFonts w:ascii="Arial" w:cs="Arial" w:eastAsia="Arial" w:hAnsi="Arial"/>
                <w:sz w:val="18"/>
                <w:szCs w:val="18"/>
                <w:color w:val="auto"/>
                <w:w w:val="91"/>
              </w:rPr>
              <w:t>Chief Financial Officer and Treasurer</w:t>
            </w:r>
          </w:p>
        </w:tc>
      </w:tr>
    </w:tbl>
    <w:p>
      <w:pPr>
        <w:spacing w:after="0" w:line="21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8"/>
    </w:lvl>
  </w:abstractNum>
  <w:abstractNum w:abstractNumId="10">
    <w:nsid w:val="628C895D"/>
    <w:multiLevelType w:val="hybridMultilevel"/>
    <w:lvl w:ilvl="0">
      <w:lvlJc w:val="left"/>
      <w:lvlText w:val="%1."/>
      <w:numFmt w:val="decimal"/>
      <w:start w:val="9"/>
    </w:lvl>
  </w:abstractNum>
  <w:abstractNum w:abstractNumId="11">
    <w:nsid w:val="333AB105"/>
    <w:multiLevelType w:val="hybridMultilevel"/>
    <w:lvl w:ilvl="0">
      <w:lvlJc w:val="left"/>
      <w:lvlText w:val="%1."/>
      <w:numFmt w:val="decimal"/>
      <w:start w:val="10"/>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decimal"/>
      <w:start w:val="12"/>
    </w:lvl>
  </w:abstractNum>
  <w:abstractNum w:abstractNumId="14">
    <w:nsid w:val="2D1D5AE9"/>
    <w:multiLevelType w:val="hybridMultilevel"/>
    <w:lvl w:ilvl="0">
      <w:lvlJc w:val="left"/>
      <w:lvlText w:val="%1."/>
      <w:numFmt w:val="decimal"/>
      <w:start w:val="13"/>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4"/>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2"/>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2019-12-07T06:58:56Z</dcterms:created>
  <dcterms:modified xsi:type="dcterms:W3CDTF">2019-12-07T06:58:56Z</dcterms:modified>
</cp:coreProperties>
</file>