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795020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709295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-199390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186055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80" w:right="1560" w:hanging="3945"/>
        <w:spacing w:after="0" w:line="328" w:lineRule="auto"/>
        <w:tabs>
          <w:tab w:leader="none" w:pos="6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1" w:lineRule="exact"/>
        <w:rPr>
          <w:rFonts w:ascii="MS PGothic" w:cs="MS PGothic" w:eastAsia="MS PGothic" w:hAnsi="MS PGothic"/>
          <w:sz w:val="18"/>
          <w:szCs w:val="18"/>
          <w:color w:val="auto"/>
        </w:rPr>
      </w:pPr>
    </w:p>
    <w:p>
      <w:pPr>
        <w:ind w:left="55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320" w:right="1560" w:hanging="4285"/>
        <w:spacing w:after="0" w:line="376" w:lineRule="auto"/>
        <w:tabs>
          <w:tab w:leader="none" w:pos="69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5" w:lineRule="exact"/>
        <w:rPr>
          <w:sz w:val="24"/>
          <w:szCs w:val="24"/>
          <w:color w:val="auto"/>
        </w:rPr>
      </w:pPr>
    </w:p>
    <w:p>
      <w:pPr>
        <w:ind w:right="1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ind w:right="10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86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58"/>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4560" w:type="dxa"/>
            <w:vAlign w:val="bottom"/>
          </w:tcPr>
          <w:p>
            <w:pPr>
              <w:ind w:left="400"/>
              <w:spacing w:after="0"/>
              <w:rPr>
                <w:sz w:val="20"/>
                <w:szCs w:val="20"/>
                <w:color w:val="auto"/>
              </w:rPr>
            </w:pPr>
            <w:r>
              <w:rPr>
                <w:rFonts w:ascii="Arial" w:cs="Arial" w:eastAsia="Arial" w:hAnsi="Arial"/>
                <w:sz w:val="17"/>
                <w:szCs w:val="17"/>
                <w:color w:val="auto"/>
              </w:rPr>
              <w:t>o (Do not check if a smaller reporting company)</w:t>
            </w:r>
          </w:p>
        </w:tc>
        <w:tc>
          <w:tcPr>
            <w:tcW w:w="3280" w:type="dxa"/>
            <w:vAlign w:val="bottom"/>
          </w:tcPr>
          <w:p>
            <w:pPr>
              <w:ind w:left="86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92"/>
        </w:trPr>
        <w:tc>
          <w:tcPr>
            <w:tcW w:w="19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80" w:type="dxa"/>
            <w:vAlign w:val="bottom"/>
          </w:tcPr>
          <w:p>
            <w:pPr>
              <w:ind w:left="860"/>
              <w:spacing w:after="0"/>
              <w:rPr>
                <w:sz w:val="20"/>
                <w:szCs w:val="20"/>
                <w:color w:val="auto"/>
              </w:rPr>
            </w:pPr>
            <w:r>
              <w:rPr>
                <w:rFonts w:ascii="Arial" w:cs="Arial" w:eastAsia="Arial" w:hAnsi="Arial"/>
                <w:sz w:val="17"/>
                <w:szCs w:val="17"/>
                <w:color w:val="auto"/>
              </w:rPr>
              <w:t>Emerging growth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bl>
    <w:p>
      <w:pPr>
        <w:spacing w:after="0" w:line="67" w:lineRule="exact"/>
        <w:rPr>
          <w:sz w:val="24"/>
          <w:szCs w:val="24"/>
          <w:color w:val="auto"/>
        </w:rPr>
      </w:pPr>
    </w:p>
    <w:p>
      <w:pPr>
        <w:ind w:right="160"/>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9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July 20, 2017, 22,107,257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187325</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101600</wp:posOffset>
            </wp:positionV>
            <wp:extent cx="675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Other Comprehensive Income</w:t>
              </w:r>
            </w:hyperlink>
          </w:p>
        </w:tc>
        <w:tc>
          <w:tcPr>
            <w:tcW w:w="33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5240" w:type="dxa"/>
            <w:vAlign w:val="bottom"/>
            <w:gridSpan w:val="4"/>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54">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94,246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51,290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188,651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180,082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688,836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799,862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1,093,485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1,153,215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payroll and related benefits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82,669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contingent consideration for business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contingent consideration for business acquisitions, net of current portion</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292,065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456,758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369,414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$0.01 par value; 500,000,000 shares authorized; 24,512,482 and 24,126,118 shares issued at June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 2017 and December 31, 2016,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2"/>
              </w:rPr>
              <w:t>Treasury stock, at cost, 2,417,257 and 2,408,343 shares at June 30, 2017 and December 31, 2016, respectively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(113,195)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405,895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351,483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518,007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648,033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1,093,485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1,153,215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0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05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28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7"/>
                <w:szCs w:val="17"/>
                <w:color w:val="auto"/>
              </w:rPr>
            </w:pPr>
          </w:p>
        </w:tc>
        <w:tc>
          <w:tcPr>
            <w:tcW w:w="2340" w:type="dxa"/>
            <w:vAlign w:val="bottom"/>
            <w:gridSpan w:val="4"/>
          </w:tcPr>
          <w:p>
            <w:pPr>
              <w:jc w:val="right"/>
              <w:ind w:right="535"/>
              <w:spacing w:after="0"/>
              <w:rPr>
                <w:sz w:val="20"/>
                <w:szCs w:val="20"/>
                <w:color w:val="auto"/>
              </w:rPr>
            </w:pPr>
            <w:r>
              <w:rPr>
                <w:rFonts w:ascii="Arial" w:cs="Arial" w:eastAsia="Arial" w:hAnsi="Arial"/>
                <w:sz w:val="17"/>
                <w:szCs w:val="17"/>
                <w:b w:val="1"/>
                <w:bCs w:val="1"/>
                <w:color w:val="auto"/>
              </w:rPr>
              <w:t>Six Months Ended</w:t>
            </w:r>
          </w:p>
        </w:tc>
      </w:tr>
      <w:tr>
        <w:trPr>
          <w:trHeight w:val="222"/>
        </w:trPr>
        <w:tc>
          <w:tcPr>
            <w:tcW w:w="6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jc w:val="right"/>
              <w:ind w:right="15"/>
              <w:spacing w:after="0"/>
              <w:rPr>
                <w:sz w:val="20"/>
                <w:szCs w:val="20"/>
                <w:color w:val="auto"/>
              </w:rPr>
            </w:pPr>
            <w:r>
              <w:rPr>
                <w:rFonts w:ascii="Arial" w:cs="Arial" w:eastAsia="Arial" w:hAnsi="Arial"/>
                <w:sz w:val="17"/>
                <w:szCs w:val="17"/>
                <w:b w:val="1"/>
                <w:bCs w:val="1"/>
                <w:color w:val="auto"/>
              </w:rPr>
              <w:t>June 30,</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15"/>
              <w:spacing w:after="0"/>
              <w:rPr>
                <w:sz w:val="20"/>
                <w:szCs w:val="20"/>
                <w:color w:val="auto"/>
              </w:rPr>
            </w:pPr>
            <w:r>
              <w:rPr>
                <w:rFonts w:ascii="Arial" w:cs="Arial" w:eastAsia="Arial" w:hAnsi="Arial"/>
                <w:sz w:val="17"/>
                <w:szCs w:val="17"/>
                <w:b w:val="1"/>
                <w:bCs w:val="1"/>
                <w:color w:val="auto"/>
              </w:rPr>
              <w:t>June 30,</w:t>
            </w:r>
          </w:p>
        </w:tc>
        <w:tc>
          <w:tcPr>
            <w:tcW w:w="900" w:type="dxa"/>
            <w:vAlign w:val="bottom"/>
          </w:tcPr>
          <w:p>
            <w:pPr>
              <w:spacing w:after="0"/>
              <w:rPr>
                <w:sz w:val="19"/>
                <w:szCs w:val="19"/>
                <w:color w:val="auto"/>
              </w:rPr>
            </w:pPr>
          </w:p>
        </w:tc>
      </w:tr>
      <w:tr>
        <w:trPr>
          <w:trHeight w:val="31"/>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5"/>
              <w:spacing w:after="0"/>
              <w:rPr>
                <w:sz w:val="20"/>
                <w:szCs w:val="20"/>
                <w:color w:val="auto"/>
              </w:rPr>
            </w:pPr>
            <w:r>
              <w:rPr>
                <w:rFonts w:ascii="Arial" w:cs="Arial" w:eastAsia="Arial" w:hAnsi="Arial"/>
                <w:sz w:val="17"/>
                <w:szCs w:val="17"/>
                <w:b w:val="1"/>
                <w:bCs w:val="1"/>
                <w:color w:val="auto"/>
              </w:rPr>
              <w:t>2016</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181,418</w:t>
            </w:r>
          </w:p>
        </w:tc>
        <w:tc>
          <w:tcPr>
            <w:tcW w:w="12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184,259</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370,267</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364,748</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18,982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37,880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35,543</w:t>
            </w:r>
          </w:p>
        </w:tc>
      </w:tr>
      <w:tr>
        <w:trPr>
          <w:trHeight w:val="219"/>
        </w:trPr>
        <w:tc>
          <w:tcPr>
            <w:tcW w:w="6060" w:type="dxa"/>
            <w:vAlign w:val="bottom"/>
          </w:tcPr>
          <w:p>
            <w:pPr>
              <w:ind w:left="380"/>
              <w:spacing w:after="0"/>
              <w:rPr>
                <w:sz w:val="20"/>
                <w:szCs w:val="20"/>
                <w:color w:val="auto"/>
              </w:rPr>
            </w:pPr>
            <w:r>
              <w:rPr>
                <w:rFonts w:ascii="Arial" w:cs="Arial" w:eastAsia="Arial" w:hAnsi="Arial"/>
                <w:sz w:val="17"/>
                <w:szCs w:val="17"/>
                <w:color w:val="auto"/>
              </w:rPr>
              <w:t>Total revenues and reimbursable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202,348</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203,241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408,147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400,291</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w w:val="91"/>
              </w:rPr>
              <w:t xml:space="preserve">Direct costs and reimbursable expenses </w:t>
            </w:r>
            <w:r>
              <w:rPr>
                <w:rFonts w:ascii="Arial" w:cs="Arial" w:eastAsia="Arial" w:hAnsi="Arial"/>
                <w:sz w:val="17"/>
                <w:szCs w:val="17"/>
                <w:color w:val="auto"/>
                <w:w w:val="91"/>
              </w:rPr>
              <w:t>(exclusive of 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shown in 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Direct costs</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113,669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103,099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229,410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214,956</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intangible assets and software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7,226</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Reimbursable expenses</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20,953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19,164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37,822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35,791</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direct costs and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137,367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272,963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257,973</w:t>
            </w: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Operating expenses and other gains, net:</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58"/>
        </w:trPr>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43,705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90,561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81,681</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3,669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1,747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3,948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3,080</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gains,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9,684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7,558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18,603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14,972</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impairment charge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209,600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209,600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6060" w:type="dxa"/>
            <w:vAlign w:val="bottom"/>
          </w:tcPr>
          <w:p>
            <w:pPr>
              <w:ind w:left="380"/>
              <w:spacing w:after="0"/>
              <w:rPr>
                <w:sz w:val="20"/>
                <w:szCs w:val="20"/>
                <w:color w:val="auto"/>
              </w:rPr>
            </w:pPr>
            <w:r>
              <w:rPr>
                <w:rFonts w:ascii="Arial" w:cs="Arial" w:eastAsia="Arial" w:hAnsi="Arial"/>
                <w:sz w:val="17"/>
                <w:szCs w:val="17"/>
                <w:color w:val="auto"/>
              </w:rPr>
              <w:t>Total operating expenses and other gains, net</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265,556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48,929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321,610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99,733</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(200,575)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28,209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(186,426)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42,585</w:t>
            </w:r>
          </w:p>
        </w:tc>
      </w:tr>
      <w:tr>
        <w:trPr>
          <w:trHeight w:val="226"/>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5"/>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(8,094)</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Other income, net</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1,516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2,274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747</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(7,347)</w:t>
            </w:r>
          </w:p>
        </w:tc>
      </w:tr>
      <w:tr>
        <w:trPr>
          <w:trHeight w:val="219"/>
        </w:trPr>
        <w:tc>
          <w:tcPr>
            <w:tcW w:w="6060" w:type="dxa"/>
            <w:vAlign w:val="bottom"/>
          </w:tcPr>
          <w:p>
            <w:pPr>
              <w:ind w:left="40"/>
              <w:spacing w:after="0"/>
              <w:rPr>
                <w:sz w:val="20"/>
                <w:szCs w:val="20"/>
                <w:color w:val="auto"/>
              </w:rPr>
            </w:pPr>
            <w:r>
              <w:rPr>
                <w:rFonts w:ascii="Arial" w:cs="Arial" w:eastAsia="Arial" w:hAnsi="Arial"/>
                <w:sz w:val="17"/>
                <w:szCs w:val="17"/>
                <w:color w:val="auto"/>
              </w:rPr>
              <w:t>Income (loss) from continuing operations before income tax expense</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(203,986)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24,362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(193,083)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35,238</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8,223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12,233</w:t>
            </w:r>
          </w:p>
        </w:tc>
      </w:tr>
      <w:tr>
        <w:trPr>
          <w:trHeight w:val="219"/>
        </w:trPr>
        <w:tc>
          <w:tcPr>
            <w:tcW w:w="6060" w:type="dxa"/>
            <w:vAlign w:val="bottom"/>
          </w:tcPr>
          <w:p>
            <w:pPr>
              <w:ind w:left="4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(150,482)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16,139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(145,327)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23,005</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(1,834)</w:t>
            </w:r>
          </w:p>
        </w:tc>
      </w:tr>
      <w:tr>
        <w:trPr>
          <w:trHeight w:val="219"/>
        </w:trPr>
        <w:tc>
          <w:tcPr>
            <w:tcW w:w="606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(150,173)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15,169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(144,875)</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21,171</w:t>
            </w:r>
          </w:p>
        </w:tc>
      </w:tr>
      <w:tr>
        <w:trPr>
          <w:trHeight w:val="71"/>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9"/>
        </w:trPr>
        <w:tc>
          <w:tcPr>
            <w:tcW w:w="606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basic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72"/>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39"/>
        </w:trPr>
        <w:tc>
          <w:tcPr>
            <w:tcW w:w="606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(7.00)</w:t>
            </w:r>
          </w:p>
        </w:tc>
        <w:tc>
          <w:tcPr>
            <w:tcW w:w="12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0.77</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1.09</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(0.09)</w:t>
            </w:r>
          </w:p>
        </w:tc>
      </w:tr>
      <w:tr>
        <w:trPr>
          <w:trHeight w:val="219"/>
        </w:trPr>
        <w:tc>
          <w:tcPr>
            <w:tcW w:w="606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0.72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1.00</w:t>
            </w:r>
          </w:p>
        </w:tc>
      </w:tr>
      <w:tr>
        <w:trPr>
          <w:trHeight w:val="71"/>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9"/>
        </w:trPr>
        <w:tc>
          <w:tcPr>
            <w:tcW w:w="606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diluted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72"/>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39"/>
        </w:trPr>
        <w:tc>
          <w:tcPr>
            <w:tcW w:w="606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(7.00)</w:t>
            </w:r>
          </w:p>
        </w:tc>
        <w:tc>
          <w:tcPr>
            <w:tcW w:w="12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0.76</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1.07</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(0.08)</w:t>
            </w:r>
          </w:p>
        </w:tc>
      </w:tr>
      <w:tr>
        <w:trPr>
          <w:trHeight w:val="219"/>
        </w:trPr>
        <w:tc>
          <w:tcPr>
            <w:tcW w:w="606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0.99</w:t>
            </w:r>
          </w:p>
        </w:tc>
      </w:tr>
      <w:tr>
        <w:trPr>
          <w:trHeight w:val="71"/>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9"/>
        </w:trPr>
        <w:tc>
          <w:tcPr>
            <w:tcW w:w="606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Weighted average shares used in calculating earnings per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72"/>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39"/>
        </w:trPr>
        <w:tc>
          <w:tcPr>
            <w:tcW w:w="6060" w:type="dxa"/>
            <w:vAlign w:val="bottom"/>
          </w:tcPr>
          <w:p>
            <w:pPr>
              <w:ind w:left="38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21,492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21,061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21,366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21,088</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21,418</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(150,173)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21,171</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802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1,226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w:t>
            </w:r>
          </w:p>
        </w:tc>
      </w:tr>
      <w:tr>
        <w:trPr>
          <w:trHeight w:val="31"/>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Unrealized gain (loss) on investment,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875</w:t>
            </w: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Unrealized loss on cash flow hedging instruments, net of tax</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31"/>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729</w:t>
            </w:r>
          </w:p>
        </w:tc>
      </w:tr>
      <w:tr>
        <w:trPr>
          <w:trHeight w:val="219"/>
        </w:trPr>
        <w:tc>
          <w:tcPr>
            <w:tcW w:w="6060" w:type="dxa"/>
            <w:vAlign w:val="bottom"/>
          </w:tcPr>
          <w:p>
            <w:pPr>
              <w:ind w:left="40"/>
              <w:spacing w:after="0"/>
              <w:rPr>
                <w:sz w:val="20"/>
                <w:szCs w:val="20"/>
                <w:color w:val="auto"/>
              </w:rPr>
            </w:pPr>
            <w:r>
              <w:rPr>
                <w:rFonts w:ascii="Arial" w:cs="Arial" w:eastAsia="Arial" w:hAnsi="Arial"/>
                <w:sz w:val="17"/>
                <w:szCs w:val="17"/>
                <w:color w:val="auto"/>
              </w:rPr>
              <w:t>Comprehensive income (loss)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(150,689)</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14,519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(143,145)</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21,900</w:t>
            </w:r>
          </w:p>
        </w:tc>
      </w:tr>
      <w:tr>
        <w:trPr>
          <w:trHeight w:val="31"/>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11"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right="500"/>
        <w:spacing w:after="0" w:line="414" w:lineRule="auto"/>
        <w:rPr>
          <w:sz w:val="20"/>
          <w:szCs w:val="20"/>
          <w:color w:val="auto"/>
        </w:rPr>
      </w:pPr>
      <w:r>
        <w:rPr>
          <w:rFonts w:ascii="Arial" w:cs="Arial" w:eastAsia="Arial" w:hAnsi="Arial"/>
          <w:sz w:val="12"/>
          <w:szCs w:val="12"/>
          <w:b w:val="1"/>
          <w:bCs w:val="1"/>
          <w:color w:val="auto"/>
        </w:rPr>
        <w:t xml:space="preserve">Balance at December 31, 2016 </w:t>
      </w:r>
      <w:r>
        <w:rPr>
          <w:rFonts w:ascii="Arial" w:cs="Arial" w:eastAsia="Arial" w:hAnsi="Arial"/>
          <w:sz w:val="12"/>
          <w:szCs w:val="12"/>
          <w:color w:val="auto"/>
        </w:rPr>
        <w:t>Comprehensive income (loss)</w:t>
      </w:r>
    </w:p>
    <w:p>
      <w:pPr>
        <w:spacing w:after="0" w:line="1"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Business acquisition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rPr>
        <w:t>Cumulative-effect adjustment from adoption of ASU 2016-09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2017</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23,478,016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(2,420,913)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(113,195)</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405,895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351,483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648,033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(144,875)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(143,145)</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338,391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(50,244)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221,558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7,818</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(97,381)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24,037,965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(2,568,538)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(120,735)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426,983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206,173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5,345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518,007</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-1765935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-1423035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-977265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-633730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-187960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380" w:space="40"/>
            <w:col w:w="900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(144,875)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21,171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24,705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22,201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4,757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Allowances for doubtful accounts and unbilled services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Gain on sale of business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unbilled services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(26,552)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10,424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(26,978)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23,286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41,407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(5,376)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(103,456)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(49,071)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note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business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(119,421)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(56,682)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(55,265)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Repayments on credit facility</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 of contingent consideration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(36,587)</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(51,737)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17,027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58,437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4,657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Promissory note assumed for purchase of property and equipment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15,489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issued related to business acquisition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9,560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125" w:right="239" w:bottom="42"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ectPr>
          <w:pgSz w:w="11900" w:h="16838" w:orient="portrait"/>
          <w:cols w:equalWidth="0" w:num="1">
            <w:col w:w="11420"/>
          </w:cols>
          <w:pgMar w:left="240" w:top="125" w:right="239" w:bottom="42"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its clients. We bring a depth of expertise in strategy, technology, operations, advisory services and analytics to drive lasting and measurable results in the healthcare, higher education, life sciences and commercial sectors. Through focus, passion, and collaboration, we provide guidance to support organizations as they contend with the changes transforming their industries and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six months ended June 30, 2017 and 2016.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2016 included in our Annual Report on Form 10-K. Our results for any interim period are not necessarily indicative of results for a full year or any other interim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January 2017, the Financial Accounting Standards Board ("FASB") issued Accounting Standards Update ("ASU") 2017-04,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(Topic 350): Simplifying the Test for Goodwill Impairment</w:t>
      </w:r>
      <w:r>
        <w:rPr>
          <w:rFonts w:ascii="Arial" w:cs="Arial" w:eastAsia="Arial" w:hAnsi="Arial"/>
          <w:sz w:val="17"/>
          <w:szCs w:val="17"/>
          <w:color w:val="auto"/>
        </w:rPr>
        <w:t>. ASU 2017-04 eliminates Step 2 of the goodwill impairment test, which required us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the implied fair value of goodwill by allocating the reporting unit's fair value to each of its assets and liabilities as if the reporting unit was acquired in a business acquisition. Instead, the updated guidance requires an entity to perform its annual or interim goodwill impairment test by comparing the fair value of the reporting unit to its carrying value, and recognizing a non-cash impairment charge for the amount by which the carrying value exceeds the reporting unit's fair value with the loss not exceeding the total amount of goodwill allocated to that reporting unit. We adopted this ASU in the second quarter of 2017 on a prospective basis and applied the new guidance to our interim goodwill impairment tests performed in the second quarter of 2017. Refer to Note 6 “Goodwill and Intangible Assets” for additional information on our interim goodwill impairment tests performed.</w:t>
      </w:r>
    </w:p>
    <w:p>
      <w:pPr>
        <w:spacing w:after="0" w:line="1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ASU 2016-09 simplifies several aspects of the accounting for share-based payment transactions, including the accounting for income taxes, classification of excess tax benefits on the statement of cash flows, and forfeitures. We adopted this guidance in the first quarter of 2017, at which time we began recognizing excess tax benefits and deficiencies as income tax benefit or expense in our consolidated statements of operations on a prospective basis. We recognized $0.1 million and $1.7 million of net excess tax deficiencies as income tax expense in our consolidated statement of operations for the three and six months ended June 30, 2017, respectively. Refer to Note 13 "Income Taxes" for additional information on our effective tax rate for the three and six months ended June 30, 2017. Additionally, upon adoption, we began classifying excess tax benefits as an operating activity on the statement of cash flows on a retrospective basis. As a result, we reclassified $0.9 million of excess tax benefits for the first six months of 2016 from cash flows from financing activities to cash flows from operating activities on our statement of cash flows. We elected to account for share-based award forfeitures as they occur, and applied this accounting change on a modified retrospective basis as a cumulative-effect adjustment to retained earnings of $0.4 million during the first quarter of 2017.</w:t>
      </w:r>
    </w:p>
    <w:p>
      <w:pPr>
        <w:spacing w:after="0" w:line="11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Contingent Put and Call Options in Debt Instruments</w:t>
      </w:r>
      <w:r>
        <w:rPr>
          <w:rFonts w:ascii="Arial" w:cs="Arial" w:eastAsia="Arial" w:hAnsi="Arial"/>
          <w:sz w:val="16"/>
          <w:szCs w:val="16"/>
          <w:color w:val="auto"/>
        </w:rPr>
        <w:t>. ASU 2016-06 clarifies that in assessing whether an embedded contingent put or call option is clearly and closely related to the debt host, an entity is required to perform only the four-step decision sequence in ASC 815-15-25-42 (as amended by the ASU). The entity does not have to separately assess whether the event that triggers its ability to exercise the contingent option is itself indexed only to interest rates or credit risk. We adopted these amendments in the first quarter of 2017 on a modified retrospective basis. The adoption of these amendments did not have any impact on our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supersedes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a straight-line basis over the term of the lease. ASU 2016-02 will be effective for us beginning January 1, 2019, with early adoption permitted. Entities are required to use a modified retrospective transition method for existing leases. We are currently evaluating the potential impact this guidance will have on our consolidated financial statements.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The updated guidance is effective for us beginning January 1, 2018. We do not expect this guidance to have a material impact on our consolidated financial statements.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a new Topic</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accordance with the new standard, we will adopt ASU 2014-09 on January 1, 2018. Companies may apply the new guidance using either the full retrospective transition method, which requires restating each prior period presented, or the modified retrospective transition method, under which the new guidance is applied to the current period presented in the financial statements and a cumulative-effect adjustment is recorded as of the date of adoption. We expect to apply the new guidance using the modified retrospective transition method. We are currently evaluating the potential impact this guidance will have on our consolidated financial statements; most notably the impact on our revenue recognition for performance-based fee billing arrangements. Currently, we recognize revenue under performance-based fee billing arrangements once all related performance criteria are met and the amount to be recognized is fixed or determinable. However, we anticipate that ASC 606 will require us to estimate these amounts and recognize a significant portion of the estimated amounts over the term of the engagement. As a result, we expect to recognize revenue under performance-based fee billing arrangements earlier under ASC 606 than we do under current guidance.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December 31, 2015, we sold our Huron Legal segment to Consilio, Inc. ("Consilio"). Huron Legal provided eDiscovery services, consulting services and contract management services related to law department management, information governance and compliance, legal discovery, litigation management, and legal analytics.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divestiture of the Huron Legal segment represented a strategic shift that had a major effect on our operations and financial results. As such, the operations of our Huron Legal segment have been classified as discontinued operations in our consolidated statements of operations for all periods presented. As of June 30, 2017 and December 31, 2016, no assets or liabilities of the disposed business remained on our consolidated balance sheet.</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and six months ended June 30, 2017, we recognized income from discontinued operations, net of tax, of $0.3 million and $0.5 million, respectively, primarily related to updated lease assumptions for vacated office space directly related to the sale of the Huron Legal segment. For the three and six months ended June 30, 2016, we recognized losses from discontinued operations, net of tax, of $1.0 million and $1.8 million, respectively, primarily related to obligations for former employees, legal fees, and updated lease assumptions for vacated office space directly related to the sale of the Huron Legal segment.</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sale of Huron Legal, we entered into a transition services agreement ("TSA") with Consilio, under which we provide certain post-closing services, support, and facilities to Consilio to facilitate an orderly transfer of the Huron Legal business operations. Billings under the TSA, which we do not consider to be significant, are recorded as a reduction of the costs to provide the respective services, primarily in selling, general and administrative expenses in the consolidated statements of operations. Services under the TSA ended as of June 30, 2017. We have no continuing involvement with the Huron Legal segment.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 2017, we completed our acquisition of the international assets of ADI Strategies, Inc. ("ADI Strategies") in Dubai and India. We acquired the U.S. assets of ADI Strategies in the second quarter of 2016. ADI Strategies is a leading enterprise performance management, risk management and business intelligence firm. The acquisition strengthens our technology and analytics competencies and expands our global reach. The international results of operations of ADI Strategies have been included in our consolidated financial statements and results of operations of the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the results of operations of our Business Advisory segment from the date of acquisition.</w:t>
      </w:r>
    </w:p>
    <w:p>
      <w:pPr>
        <w:spacing w:after="0" w:line="13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Pro forma results of operations are not presented for ADI Strategies or Pope Woodhead because these acquisitions were not material in relation to our consolidated financial position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March 1, 2017, we acquired 100% of the membership interests of Innosight Holdings, LLC ("Innosight"). Innosight is a growth strategy firm focused on helping companies navigate disruptive change and manage strategic transformation. Together with Innosight, we will use our strategic, operational, and technology capabilities to help clients across multiple industries develop pioneering solutions to address disruption and achieve sustained growth.</w:t>
      </w:r>
    </w:p>
    <w:p>
      <w:pPr>
        <w:spacing w:after="0" w:line="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acquisition was accounted for using the acquisition method of accounting. Tangible and identifiable intangible assets acquired and liabilities assumed are recorded at fair value as of the acquisition date. The current fair values of assets acquired and liabilities assumed are considered preliminary and are based on the information that was available as of the date of the acquisition. We believe that the information provides a reasonable basis for estimating the preliminary fair values of assets acquired and liabilities assumed, but certain items, such as the working capital adjustment, may be subject to change as additional information is received. Thus, the provisional measurements of fair value and goodwill are subject to change. We expect to finalize the valuation as soon as practicable, but not later than one year from the acquisition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$113.7 million, which consisted of the following:</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preliminary net working capital adjustment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1,330</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113,665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preliminary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that may be paid is $35.0 million. See Note 11 "Fair Value of Financial Instruments" for additional information on the valuation of contingent consideration liabilities.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as of the acquisition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26,239</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87,426</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113,665</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Innosight’s results of operations have been included in our unaudited consolidated statements of operations and results of operations of our Business Advisory segment from the date of acquisition. For the three months ended June 30, 2017, revenues from Innosight were $10.9 million and operating income was $0.2 million, which included $1.0 million of amortization expense for intangible assets acquired. For the six months ended June 30, 2017, revenues from Innosight were $16.1 million and operating income was $1.4 million, which included $1.8 million of amortization expense for intangible assets acquired. In connection with the acquisition of Innosight, we incurred $1.7 million of transaction and acquisition-related expenses. Of the $1.7 million of expense, $1.4 million was incurred in the first quarter of 2017 and $0.3 million was incurred in the second quarter in 2017. These costs are recorded in selling, general and administrative expenses.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as though the companies were combined on January 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3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181,418</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194,386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379,392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383,956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16,978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(142,092)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 per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0.80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per share -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historical financial information has been adjusted to give effect to pro forma adjustments consisting of intangible asset amortization expense, acquisition-related costs, interest expense, and the related income tax effects. The unaudited pro forma information above includes adjustments to decrease expense for the three months ended June 30, 2017 by $0.3 million and include additional expense of $2.2 million for the three months ended June 30, 2016. We have included additional expense of $0.5 million and $5.6 million, for the six months ended June 30, 2017 and 2016, respectively.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it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Advisory</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203,137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942,845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Goodwill, net as of December 31, 2016</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60,154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799,862</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Goodwill recorded in connection with business acquisitions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(209,600)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reallocation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allocated to disposal of business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Goodwill, net as of June 30,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427,202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102,830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158,804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688,836</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5 "Acquisitions" for additional information on the goodwill recorded in connection with business acquisitions.</w:t>
      </w:r>
    </w:p>
    <w:p>
      <w:pPr>
        <w:spacing w:after="0" w:line="171" w:lineRule="exact"/>
        <w:rPr>
          <w:rFonts w:ascii="Arial" w:cs="Arial" w:eastAsia="Arial" w:hAnsi="Arial"/>
          <w:sz w:val="18"/>
          <w:szCs w:val="18"/>
          <w:color w:val="auto"/>
        </w:rPr>
      </w:pPr>
    </w:p>
    <w:p>
      <w:pPr>
        <w:ind w:left="660" w:right="120" w:hanging="652"/>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16, 2017, we sold our Life Sciences Compliance and Operations practice ("Life Sciences C&amp;O") to a third-party, and allocated a portion of goodwill within the Life Sciences reporting unit to the disposed business based on the relative fair values of Life Sciences C&amp;O and the remaining reporting unit. The allocated goodwill of $0.6 million was written off and included in the gain on sale of Life Sciences C&amp;O. The sale of Life Sciences C&amp;O did not meet the criteria for reporting separately as discontinued operations. In connection with the sale, we recorded a $0.9 million gain which is included in other income, net in our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Goodwill Impairment Charge</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Since the first quarter of 2016, the Healthcare segment, which is also a reporting unit, has experienced declining revenues, primarily driven by softness in our revenue cycle offering within our performance improvement solution. This softness is attributable to decreased demand for our services, the winding down of some of our larger projects, and a growing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 initiatives undertaken to improve the financial performance of our Healthcare segment are yielding some positive impacts, hospitals and health systems continue to face regulatory and funding uncertainty; therefore, we remain cautious about near-term growth. As we have previously 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the second quarter of 2017 in connection with our quarterly forecasting cycle, we now believe that the likely time frame to improve the financial results of this segment will take longer than originally anticipated. As such, we concluded that the fair value of the Healthcare reporting unit may no longer exceed its carrying value. In connection with the preparation of our financial statements for the quarter ended June 30, 2017, we performed an interim impairment test on the Healthcare reporting unit.</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goodwill impairment test was performed by comparing the fair value of the Healthcare reporting unit with its carrying value and, in accordance with ASU 2017-04 which we adopted in the second quarter of 2017, recognizing an impairment charge for the amount by which the carrying value exceeded the fair value. To estimate the fair value of the Healthcare reporting unit, we relied on a combination of the income approach and the market approach, utilizing the guideline company method, with a fifty-fifty weighting. Based on the estimated fair value of the Healthcare reporting unit, we recorded a $209.6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million non-cash pretax charge in the second quarter of 2017 to reduce the carrying value of goodwill in our Healthcare reporting unit.</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goodwill impairment test performed on the Healthcare reporting unit, we performed an impairment test on the long-lived assets allocated to the asset groups within the Healthcare reporting unit. Based on the impairment test performed, we concluded that the long-lived assets allocated to the asset groups within the Healthcare reporting unit were not impaired as of June 30,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Goodwill Reallocation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Effective June 1,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The Life Sciences practice will be a separate reporting unit for purposes of goodwill impairment testing. We will continue to operate under three reportable segments: Healthcare, Education, and Business Advisory. These three reportable segments will be comprised of the following six reporting units for goodwill impairment testing purposes: Healthcare, Education, Business Advisory, Enterprise Solutions and Analytics, Strategy and Innovation, and Life Sciences. The Business Advisory, Enterprise Solutions and Analytics, Strategy and Innovation, and Life Sciences reporting units comprise our Business Advisory segment. See Note 15 "Segment Information" for additional information on our reportable segments.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reorganization, we reallocated $10.8 million of the goodwill balance associated with the previous Education and Life Sciences reporting unit to the new Life Sciences reporting unit based on the relative fair values of the Life Sciences reporting unit and the remaining Education reporting unit. The estimated fair values were determined using a combination of the income approach and the market approach, utilizing the guideline company method, with a fifty-fifty weighting.</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conjunction with the goodwill reallocation, we performed a goodwill impairment test for the goodwill balances within our Education reporting unit and Life Sciences reporting unit as of June 1, 2017. Based on the results of the goodwill impairment test, we determined that the fair values of our Education reporting unit and Life Sciences reporting unit exceeded their carrying values. As such, we concluded that there was no indication of goodwill impairment for either reporting unit.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2017 and December 31, 2016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As of June 30, 2017</w:t>
            </w:r>
          </w:p>
        </w:tc>
        <w:tc>
          <w:tcPr>
            <w:tcW w:w="26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2016</w:t>
            </w:r>
          </w:p>
        </w:tc>
      </w:tr>
      <w:tr>
        <w:trPr>
          <w:trHeight w:val="27"/>
        </w:trPr>
        <w:tc>
          <w:tcPr>
            <w:tcW w:w="3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Useful</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 to 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11,652</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2,667</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2,062</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In-process technology</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 In connection with the acquisition of MyRounding Solutions, LLC, we acquired in-process technology which was accounted for as an indefinite-lived intangible asset until the development of the technology was complete, which occurred in the first quarter of 2017. Upon completion, we reclassified the technology to definite-lived technology and software, and began amortizing the asset over a five-year useful life on a straight-line basis.</w:t>
      </w:r>
    </w:p>
    <w:p>
      <w:pPr>
        <w:spacing w:after="0" w:line="30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Intangible asset amortization expense was $8.9 million and $8.2 million for the three months ended June 30, 2017 and 2016, respectively. Intangible asset amortization expense was $17.6 million and $15.6 million for the six months ended June 30, 2017 and 2016, respectively. The table below sets forth the estimated annual amortization expense for the year ending December 31, 2017 and each of the five succeeding years for the definite-lived intangible assets recorded as of June 30,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Amortization</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22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34,966</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23,936</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17,279</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12,116</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8,070</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6,092</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 Earnings (loss) per share under the basic and diluted computations are as follows:</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(144,875)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64"/>
        </w:trPr>
        <w:tc>
          <w:tcPr>
            <w:tcW w:w="5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earnings per diluted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560" w:type="dxa"/>
            <w:vAlign w:val="bottom"/>
            <w:gridSpan w:val="3"/>
          </w:tcPr>
          <w:p>
            <w:pPr>
              <w:ind w:left="1360"/>
              <w:spacing w:after="0"/>
              <w:rPr>
                <w:sz w:val="20"/>
                <w:szCs w:val="20"/>
                <w:color w:val="auto"/>
              </w:rPr>
            </w:pPr>
            <w:r>
              <w:rPr>
                <w:rFonts w:ascii="Arial" w:cs="Arial" w:eastAsia="Arial" w:hAnsi="Arial"/>
                <w:sz w:val="18"/>
                <w:szCs w:val="18"/>
                <w:b w:val="1"/>
                <w:bCs w:val="1"/>
                <w:color w:val="auto"/>
                <w:w w:val="96"/>
              </w:rPr>
              <w:t>As of June 30,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Outstanding common stock options</w:t>
            </w:r>
          </w:p>
        </w:tc>
        <w:tc>
          <w:tcPr>
            <w:tcW w:w="1840" w:type="dxa"/>
            <w:vAlign w:val="bottom"/>
            <w:vMerge w:val="restart"/>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currently have a share repurchase program, authorized by our board of directors, pursuant to which we may, from time to time, repurchase up to $125 million of our common stock through October 31, 2017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during the first six months of 2017. In the first quarter of 2016, we repurchased and retired 982,192 shares for $55.3 million. No shares were repurchased in the second quarter of 2016. As of June 30, 2017, $35.1 million remains available for share repurchases.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8. Financing Arrangements</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167,000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68,000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400,667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292,065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maturities of debt </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400,173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292,065</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8"/>
        <w:spacing w:after="0" w:line="436"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maturities of debt are included as a component of accrued expenses and other current liabilities on our consolidated balance sheets. A summary of the scheduled maturities of our debt follows:</w:t>
      </w: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Scheduled Maturities of</w:t>
            </w:r>
          </w:p>
        </w:tc>
      </w:tr>
      <w:tr>
        <w:trPr>
          <w:trHeight w:val="234"/>
        </w:trPr>
        <w:tc>
          <w:tcPr>
            <w:tcW w:w="9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9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250,515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167,529</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2,779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740" w:right="180" w:hanging="732"/>
        <w:spacing w:after="0" w:line="279"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June 30, 2017, the remaining life of the Convertible Notes is 2.3 years.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w w:val="95"/>
              </w:rPr>
              <w:t>As of June 30, 2017 and December 31, 2016, the Convertible Notes consisted of the following:</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As of June 30, 2017</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As of December 31, 2016</w:t>
            </w:r>
          </w:p>
        </w:tc>
      </w:tr>
      <w:tr>
        <w:trPr>
          <w:trHeight w:val="27"/>
        </w:trPr>
        <w:tc>
          <w:tcPr>
            <w:tcW w:w="2220" w:type="dxa"/>
            <w:vAlign w:val="bottom"/>
            <w:tcBorders>
              <w:bottom w:val="single" w:sz="8" w:color="CCEEFF"/>
            </w:tcBorders>
            <w:gridSpan w:val="2"/>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6900" w:type="dxa"/>
            <w:vAlign w:val="bottom"/>
            <w:gridSpan w:val="2"/>
          </w:tcPr>
          <w:p>
            <w:pPr>
              <w:ind w:left="80"/>
              <w:spacing w:after="0"/>
              <w:rPr>
                <w:sz w:val="20"/>
                <w:szCs w:val="20"/>
                <w:color w:val="auto"/>
              </w:rPr>
            </w:pPr>
            <w:r>
              <w:rPr>
                <w:rFonts w:ascii="Arial" w:cs="Arial" w:eastAsia="Arial" w:hAnsi="Arial"/>
                <w:sz w:val="18"/>
                <w:szCs w:val="18"/>
                <w:color w:val="auto"/>
              </w:rPr>
              <w:t>Proceeds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Less: debt discount, net of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(22,520)</w:t>
            </w:r>
          </w:p>
        </w:tc>
      </w:tr>
      <w:tr>
        <w:trPr>
          <w:trHeight w:val="243"/>
        </w:trPr>
        <w:tc>
          <w:tcPr>
            <w:tcW w:w="300" w:type="dxa"/>
            <w:vAlign w:val="bottom"/>
          </w:tcPr>
          <w:p>
            <w:pPr>
              <w:spacing w:after="0"/>
              <w:rPr>
                <w:sz w:val="21"/>
                <w:szCs w:val="21"/>
                <w:color w:val="auto"/>
              </w:rPr>
            </w:pPr>
          </w:p>
        </w:tc>
        <w:tc>
          <w:tcPr>
            <w:tcW w:w="6900" w:type="dxa"/>
            <w:vAlign w:val="bottom"/>
            <w:gridSpan w:val="2"/>
          </w:tcPr>
          <w:p>
            <w:pPr>
              <w:ind w:left="80"/>
              <w:spacing w:after="0"/>
              <w:rPr>
                <w:sz w:val="20"/>
                <w:szCs w:val="20"/>
                <w:color w:val="auto"/>
              </w:rPr>
            </w:pPr>
            <w:r>
              <w:rPr>
                <w:rFonts w:ascii="Arial" w:cs="Arial" w:eastAsia="Arial" w:hAnsi="Arial"/>
                <w:sz w:val="18"/>
                <w:szCs w:val="18"/>
                <w:color w:val="auto"/>
              </w:rPr>
              <w:t>Less: debt issuance costs, net of amortization</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7"/>
        </w:trPr>
        <w:tc>
          <w:tcPr>
            <w:tcW w:w="3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carrying amount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228,554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r>
      <w:tr>
        <w:trPr>
          <w:trHeight w:val="20"/>
        </w:trPr>
        <w:tc>
          <w:tcPr>
            <w:tcW w:w="2220" w:type="dxa"/>
            <w:vAlign w:val="bottom"/>
            <w:tcBorders>
              <w:top w:val="single" w:sz="8" w:color="CCEEFF"/>
            </w:tcBorders>
            <w:gridSpan w:val="2"/>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91"/>
        </w:trPr>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4"/>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900" w:type="dxa"/>
            <w:vAlign w:val="bottom"/>
            <w:gridSpan w:val="2"/>
          </w:tcPr>
          <w:p>
            <w:pPr>
              <w:jc w:val="right"/>
              <w:ind w:right="1400"/>
              <w:spacing w:after="0"/>
              <w:rPr>
                <w:sz w:val="20"/>
                <w:szCs w:val="20"/>
                <w:color w:val="auto"/>
              </w:rPr>
            </w:pPr>
            <w:r>
              <w:rPr>
                <w:rFonts w:ascii="Arial" w:cs="Arial" w:eastAsia="Arial" w:hAnsi="Arial"/>
                <w:sz w:val="18"/>
                <w:szCs w:val="18"/>
                <w:color w:val="auto"/>
                <w:w w:val="96"/>
              </w:rPr>
              <w:t>Included in additional paid-in capital on the consolidated balance sheet.</w:t>
            </w: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59"/>
        </w:trPr>
        <w:tc>
          <w:tcPr>
            <w:tcW w:w="300" w:type="dxa"/>
            <w:vAlign w:val="bottom"/>
          </w:tcPr>
          <w:p>
            <w:pPr>
              <w:spacing w:after="0"/>
              <w:rPr>
                <w:sz w:val="24"/>
                <w:szCs w:val="24"/>
                <w:color w:val="auto"/>
              </w:rPr>
            </w:pPr>
          </w:p>
        </w:tc>
        <w:tc>
          <w:tcPr>
            <w:tcW w:w="6900" w:type="dxa"/>
            <w:vAlign w:val="bottom"/>
            <w:gridSpan w:val="2"/>
          </w:tcPr>
          <w:p>
            <w:pPr>
              <w:jc w:val="right"/>
              <w:ind w:right="14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1,951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3,699</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3,037</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2,942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84" w:lineRule="exact"/>
        <w:rPr>
          <w:sz w:val="20"/>
          <w:szCs w:val="20"/>
          <w:color w:val="auto"/>
        </w:rPr>
      </w:pPr>
    </w:p>
    <w:p>
      <w:pPr>
        <w:ind w:left="660" w:right="120" w:hanging="652"/>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a $500 million five-year senior secured revolving credit facility, subject to the terms of a Second Amended and Restated Credit Agreement dated as of March 31, 2015 and amended by the first amendment to the credit agreement dated February 25, 2017 (as amended and modified the "Amended Credit Facility"),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3.25 to 1.00 to 3.75 to 1.00, depending on the measurement period, and</w:t>
      </w:r>
    </w:p>
    <w:p>
      <w:pPr>
        <w:ind w:right="280" w:firstLine="8"/>
        <w:spacing w:after="0" w:line="295"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June 30, 2017, we were in compliance with these financial covenants with a Consolidated Leverage Ratio of 3.22 to 1.00 and a Consolidated Interest Coverage Ratio of 15.78 to 1.00.</w:t>
      </w:r>
    </w:p>
    <w:p>
      <w:pPr>
        <w:spacing w:after="0" w:line="10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Borrowings outstanding under the Amended Credit Agreement at June 30, 2017 totaled $167.0 million. These borrowings carried a weighted average interest rate of 2.9%, including the effect of the interest rate swap in effect as of June 30, 2017 and described in Note 10 “Derivative Instruments and Hedging Activity." Borrowings outstanding under the Amended Credit Agreement at December 31, 2016 were $68.0 million and carried a weighted average interest rate of 2.5%. The borrowing capacity under the revolving credit facility is reduced by any outstanding borrowings under the revolving credit facility and outstanding letters of credit. At June 30, 2017, we had outstanding letters of credit totaling $2.6 million, which are primarily used as security deposits for our office facilities. As of June 30, 2017, the unused borrowing capacity under the revolving credit facility was $330.4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As of June 30, 2017, the aircraft had a carrying amount of $6.8 million.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second quarter of 2017, we incurred a $3.7 million pretax restructuring charge. The $3.7 million charge primarily consisted of $2.0 million related to workforce reductions in our Healthcare segment to better align our resources with market demand, $1.0 million for the accrual of remaining lease obligations, net of estimated sublease income, for offices vacated in the second quarter of 2017 and accelerated depreciation on leasehold improvements for our San Francisco office, and $0.4 million related to workforce reductions in our corporate operations primarily to adjust our infrastructure to align with the decreased workforce in the Healthcare segment.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we incurred a $0.3 million pretax restructuring charge primarily related to updated assumptions for lease accruals.</w:t>
      </w:r>
    </w:p>
    <w:p>
      <w:pPr>
        <w:spacing w:after="0" w:line="18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second quarter of 2016, we incurred a $1.7 million pretax restructuring charge. Of the $1.7 million charge, $1.2 million related to workforce reductions in our Healthcare segment to better align our resources with market demand and $0.3 million related to updated assumptions for the lease accrual of the Washington, D.C. space vacated in the fourth quarter of 2014.</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2016, we incurred a $1.3 million pretax restructuring charge. The $1.3 million charge primarily consisted of $0.8 million related to workforce reductions in our corporate operations as we adjusted our infrastructure to align with our Huron Legal divestiture, $0.2 million related to updated assumptions for the lease accrual of the Washington, D.C. space vacated in the fourth quarter of 2014, and $0.2 million related to the wind down of our foreign consulting operations based in the Middle East.</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six months ended June 30,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Office Space</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 Costs</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Reductions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10,979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(7,742)</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Non-cash items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right="160" w:hanging="632"/>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and adjustments for the six months ended June 30, 2017 include a restructuring gain of $0.6 million related to updated lease assumptions for vacated office space directly related to discontinued operations. Refer to Note 4 "Discontinued Operations" for additional information on our discontinued operations.</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June 30, 2017, our restructuring charge liability related to office space reductions of $5.4 million represented the present value of remaining lease payments, net of estimated sublease income, primarily for our vacated office spaces in Washington, D.C., Houston, and Chicago. This restructuring charge liability is included as a component of accrued expenses and other current liabilities and deferred compensation and other liabilities. All of the $1.1 million restructuring charge liability related to employee costs at June 30, 2017 is expected to be paid in the next 12 months. The restructuring charge liability related to employee costs is included as a component of accrued payroll and related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Activity</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hedge against the interest rate risks of our variable-rate borrowings. The swap had an initial notional amount of $60.0 million and amortized quarterly until April 2016. In April 2016,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further hedge against the interest rate risks of our variable-rate borrowings. Under the terms of the interest rate swap agreement, we will receive from the counterparty interest on the notional amount based on one-month LIBOR and we will pay to the counterparty a fixed rate of 1.900%.</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The ineffective portion of the change in fair value of the derivative instruments is recognized in interest expense. As of June 30, 2017, it was anticipated that $0.1 million of the losses, net of tax, currently recorded in accumulated other comprehensive income will be reclassified into earnings within the next 12 months. Our interest rate swap agreements were effective during the three and six months ended June 30, 2017.</w:t>
      </w:r>
    </w:p>
    <w:p>
      <w:pPr>
        <w:spacing w:after="0" w:line="13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sets forth additional information relating to our interest rate swap designated as a cash flow hedging instrument as of June 30, 2017 and December 31,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7"/>
              </w:rPr>
              <w:t>Fair Value (Derivative Asset and Liability)</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60" w:type="dxa"/>
            <w:vAlign w:val="bottom"/>
          </w:tcPr>
          <w:p>
            <w:pPr>
              <w:spacing w:after="0"/>
              <w:rPr>
                <w:sz w:val="20"/>
                <w:szCs w:val="20"/>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ind w:left="156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54</w:t>
            </w:r>
          </w:p>
        </w:tc>
      </w:tr>
      <w:tr>
        <w:trPr>
          <w:trHeight w:val="27"/>
        </w:trPr>
        <w:tc>
          <w:tcPr>
            <w:tcW w:w="6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 The interest rate swaps outstanding as of June 30, 2017 and December 31, 2016 were held with the same counterparty.</w:t>
      </w:r>
    </w:p>
    <w:p>
      <w:pPr>
        <w:spacing w:after="0" w:line="1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3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25"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2017 and December 31,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2017</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2,259</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Deferred compensation assets</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19,514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19,514</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57,342</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21,469</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21,589</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2,325</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Deferred compensation assets</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16,408</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53,408</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8,827</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8,881</w:t>
            </w:r>
          </w:p>
        </w:tc>
      </w:tr>
      <w:tr>
        <w:trPr>
          <w:trHeight w:val="20"/>
        </w:trPr>
        <w:tc>
          <w:tcPr>
            <w:tcW w:w="4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We have a non-qualified deferred compensation plan (the "Plan") for the members of our board of directors and a select group</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 Realized and unrealized gains (losses) from the deferred compensation assets are recorded to other income (expense), net in our consolidated statements of operations.</w:t>
      </w:r>
    </w:p>
    <w:p>
      <w:pPr>
        <w:sectPr>
          <w:pgSz w:w="11900" w:h="16838" w:orient="portrait"/>
          <w:cols w:equalWidth="0" w:num="1">
            <w:col w:w="11420"/>
          </w:cols>
          <w:pgMar w:left="240" w:top="125" w:right="2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our interest rate swaps was derived using estimates to settle the interest rate swap agreements, which is based on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of expected future cash flows on each leg of the swaps utilizing market-based inputs and discount rates reflecting the risks involved.</w:t>
      </w:r>
    </w:p>
    <w:p>
      <w:pPr>
        <w:spacing w:after="0" w:line="7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As part of the consideration received for the sale of our Accounting Advisory practice on December 30, 2011, we received a $3.5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promissory note payable over four years. During the second quarter of 2014, we agreed to amend and restate the note such that principal payments will be paid to us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This fair value measurement is based on significant inputs not observable in the market and thus represent Level 3 inputs. As of June 30, 2017, $0.2 million is recorded in prepaid expenses and other current assets and represents the present value of the payments expected to be received in the next 12 months, and the remaining $2.1 million is recorded in other non-current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six months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six months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871</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35,546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Refer to Note 5 “Acquisitions” for information on the acquisitions completed in 2017. The table below sets forth the changes in the balance of the contingent consideration for business acquisitions for the six months ended June 30,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15,489</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21,469</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8 “Financing Arrangements” for additional information on our promissory note due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2017</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228,554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239,445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245,018</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differences between the $250 million principal amount of the Convertible Notes and the carrying amounts shown above represent the unamortized debt discount and issuance costs. As of June 30, 2017 and December 31, 2016, the carrying value of the equity component of $39.3 million was unchanged from the date of issuance. Refer to Note 8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quarters ended June 30, 2017 and December 31, 2016.</w:t>
      </w:r>
    </w:p>
    <w:p>
      <w:pPr>
        <w:spacing w:after="0" w:line="1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Based on the closing price of our common stock of $43.20 on June 30, 2017, the if-converted value of the Convertible Notes was less than the principal amount.</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set forth the components of other comprehensive income (loss), net of tax, for the three and six months ended June 30, 2017 and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8"/>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7"/>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2016</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Tax</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Before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(Expense)</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Before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Taxes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Benefit</w:t>
            </w: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Taxes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802</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1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90"/>
              </w:rPr>
              <w:t>Six Months Ended</w:t>
            </w:r>
          </w:p>
        </w:tc>
        <w:tc>
          <w:tcPr>
            <w:tcW w:w="88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2016</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Tax</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Before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(Expense)</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Before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Taxes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Benefit</w:t>
            </w: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Taxes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32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729</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 Flow Hedges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1,730</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right"/>
              <w:ind w:right="12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three months ended June 30, 2017, our effective tax rate was 26.2% as we recognized income tax benefit from continuing operations of $53.5 million on a loss from continuing operations of $204.0 million. For the second quarter of 2016, our effective tax rate was 33.8% as we recognized income tax expense from continuing operations of $8.2 million on income from continuing operations of $24.4 million. The effective tax rate for the three months ended June 30, 2017 was less favorable than the statutory rate, inclusive of state income taxes, primarily due to the non-deductible portion of the goodwill impairment charge recorded in the second quarter of 2017. Of the $209.6 million goodwill impairment charge, $61.2 million was not deductible for income tax purposes. The effective tax rate for the three months ended June 30, 2016 was lower than the statutory rate, inclusive of state income taxes, primarily due to a discrete favorable adjustment to our state tax rate and a discrete tax benefit related to share-based compensation, as well as certain credits and deductions and the release of valuation allowance previously established on certain foreign tax credits, partially offset by non-deductible business expenses.</w:t>
      </w:r>
    </w:p>
    <w:p>
      <w:pPr>
        <w:spacing w:after="0" w:line="1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For the six months ended June 30, 2017, our effective tax rate was 24.7% as we recognized income tax benefit from continuing operations of $47.8 million on a loss from continuing operations of $193.1 million. For the six months ended June 30, 2016, our effective tax rate was 34.7% as we recognized income tax expense of $12.2 million on income from continuing operations of $35.2 million. The effective tax rate for the six months ended June 30, 2017 was less favorable than the statutory rate, inclusive of state income taxes, primarily due to the non-deductible portion of the goodwill impairment charge described above, as well as discrete tax expense for share-based compensation of $1.7 million related to the adoption of ASU 2016-09 </w:t>
      </w:r>
      <w:r>
        <w:rPr>
          <w:rFonts w:ascii="Arial" w:cs="Arial" w:eastAsia="Arial" w:hAnsi="Arial"/>
          <w:sz w:val="16"/>
          <w:szCs w:val="16"/>
          <w:i w:val="1"/>
          <w:iCs w:val="1"/>
          <w:color w:val="auto"/>
        </w:rPr>
        <w:t>Improvements to 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Share-Based Payment Accounting. </w:t>
      </w:r>
      <w:r>
        <w:rPr>
          <w:rFonts w:ascii="Arial" w:cs="Arial" w:eastAsia="Arial" w:hAnsi="Arial"/>
          <w:sz w:val="16"/>
          <w:szCs w:val="16"/>
          <w:color w:val="auto"/>
        </w:rPr>
        <w:t>Refer to Note 3 "New Accounting Pronouncements" for additional information on the adoption of ASU 2016-09.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tax rate for the six months ended June 30, 2016 was lower than the statutory rate, inclusive of state income taxes, primarily due to a discrete favorable adjustment to our state tax rate and a discrete tax benefit related to share-based compensation, as well as certain credits and deductions and the release of valuation allowance previously established on certain foreign tax credits, partially offset by non-deductible business expenses.</w:t>
      </w:r>
    </w:p>
    <w:p>
      <w:pPr>
        <w:spacing w:after="0" w:line="11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June 30, 2017, we had $3.3 million of unrecognized tax benefits, of which $0.9 million would affect the effective tax rate of continuing operations and $2.4 million would affect the effective tax rate of discontinued operations, if recognized. As of June 30, 2017, we had $2.4 million in unrecognized tax benefits related to positions taken on our tax returns for discontinued operations. While such tax returns remain subject to audit by tax authorities, it is reasonably possible that unrecognized tax benefits may decrease by $2.4 million over the next 12 months due to the expiration of the statute of limitations.</w:t>
      </w:r>
    </w:p>
    <w:p>
      <w:pPr>
        <w:spacing w:after="0" w:line="96" w:lineRule="exact"/>
        <w:rPr>
          <w:sz w:val="20"/>
          <w:szCs w:val="20"/>
          <w:color w:val="auto"/>
        </w:rPr>
      </w:pPr>
    </w:p>
    <w:p>
      <w:pPr>
        <w:ind w:right="7620" w:firstLine="8"/>
        <w:spacing w:after="0" w:line="440" w:lineRule="auto"/>
        <w:tabs>
          <w:tab w:leader="none" w:pos="2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Guarantees in the form of letters of credit totaling $2.6 million and $4.8 million were outstanding at June 30, 2017 and December 31, 2016, respectively, primarily to support certain office lease obligations.</w:t>
      </w:r>
    </w:p>
    <w:p>
      <w:pPr>
        <w:spacing w:after="0" w:line="116" w:lineRule="exact"/>
        <w:rPr>
          <w:sz w:val="20"/>
          <w:szCs w:val="20"/>
          <w:color w:val="auto"/>
        </w:rPr>
      </w:pPr>
    </w:p>
    <w:p>
      <w:pPr>
        <w:jc w:val="both"/>
        <w:ind w:left="60" w:right="6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2017 and December 31, 2016, the total estimated fair value of our contingent consideration liabilities was $21.5 million and $8.8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Business Advisory.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restated our historical segment information for consistent presentation.</w:t>
      </w:r>
    </w:p>
    <w:p>
      <w:pPr>
        <w:spacing w:after="0" w:line="1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color w:val="auto"/>
        </w:rPr>
      </w:pPr>
    </w:p>
    <w:p>
      <w:pPr>
        <w:ind w:left="660" w:right="120"/>
        <w:spacing w:after="0" w:line="297" w:lineRule="auto"/>
        <w:rPr>
          <w:rFonts w:ascii="Arial" w:cs="Arial" w:eastAsia="Arial" w:hAnsi="Arial"/>
          <w:sz w:val="18"/>
          <w:szCs w:val="18"/>
          <w:color w:val="auto"/>
        </w:rPr>
      </w:pPr>
      <w:r>
        <w:rPr>
          <w:rFonts w:ascii="Arial" w:cs="Arial" w:eastAsia="Arial" w:hAnsi="Arial"/>
          <w:sz w:val="16"/>
          <w:szCs w:val="16"/>
          <w:color w:val="auto"/>
        </w:rPr>
        <w:t>Our Healthcare segment provides advisory services - from strategy setting through implementation - in the areas of organizational and resource alignment, clinical transformation, financial and operational performance, patient and caregiver engagement, and technology implementation and optimization.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spacing w:after="0" w:line="254" w:lineRule="auto"/>
        <w:rPr>
          <w:rFonts w:ascii="Arial" w:cs="Arial" w:eastAsia="Arial" w:hAnsi="Arial"/>
          <w:sz w:val="18"/>
          <w:szCs w:val="18"/>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215" w:lineRule="exact"/>
        <w:rPr>
          <w:rFonts w:ascii="Arial" w:cs="Arial" w:eastAsia="Arial" w:hAnsi="Arial"/>
          <w:sz w:val="18"/>
          <w:szCs w:val="18"/>
          <w:color w:val="auto"/>
        </w:rPr>
      </w:pPr>
    </w:p>
    <w:p>
      <w:pPr>
        <w:ind w:left="660"/>
        <w:spacing w:after="0" w:line="287" w:lineRule="auto"/>
        <w:rPr>
          <w:rFonts w:ascii="Arial" w:cs="Arial" w:eastAsia="Arial" w:hAnsi="Arial"/>
          <w:sz w:val="18"/>
          <w:szCs w:val="18"/>
          <w:color w:val="auto"/>
        </w:rPr>
      </w:pPr>
      <w:r>
        <w:rPr>
          <w:rFonts w:ascii="Arial" w:cs="Arial" w:eastAsia="Arial" w:hAnsi="Arial"/>
          <w:sz w:val="16"/>
          <w:szCs w:val="16"/>
          <w:color w:val="auto"/>
        </w:rPr>
        <w:t>Our Business Advisory segment provides services to middle market and large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1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table below sets forth information about our operating segments for the three and six months ended June 30, 2017 and 2016, along with the items necessary to reconcile the segment information to the totals reported in the accompanying consolidated financial statements.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83,227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106,088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181,679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220,106</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57,802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80,405</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43,926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37,322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86,207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73,195</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20,577</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54,265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40,849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102,381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71,447</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14,668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181,418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184,259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370,267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364,748</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37,880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35,543</w:t>
            </w:r>
          </w:p>
        </w:tc>
      </w:tr>
      <w:tr>
        <w:trPr>
          <w:trHeight w:val="237"/>
        </w:trPr>
        <w:tc>
          <w:tcPr>
            <w:tcW w:w="580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202,348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203,241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408,147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400,291</w:t>
            </w:r>
          </w:p>
        </w:tc>
      </w:tr>
      <w:tr>
        <w:trPr>
          <w:trHeight w:val="67"/>
        </w:trPr>
        <w:tc>
          <w:tcPr>
            <w:tcW w:w="5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51"/>
        </w:trPr>
        <w:tc>
          <w:tcPr>
            <w:tcW w:w="5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48,339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63,737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103,870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115,650</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30,732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27,970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63,195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58,093</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9,684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18,603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14,972</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7,347</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35,238</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goodwill impairment charge is not allocated at the segment level because the underlying goodwill asset is reflective of our corporate investment in the segments. We do not include the impact of goodwill impairment charges in our evaluation of segment performance.</w:t>
      </w:r>
    </w:p>
    <w:p>
      <w:pPr>
        <w:spacing w:after="0" w:line="9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At June 30, 2017 and December 31, 2016, no single client accounted for greater than 10% of our combined receivables and unbilled services balances. During the three and six months ended June 30, 2017 and 2016, no single client generated greater than 10% of our consolidated revenues.</w:t>
      </w:r>
    </w:p>
    <w:p>
      <w:pPr>
        <w:spacing w:after="0" w:line="25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2016 and under Part II, Item 1A. "Risk Factors" in this Quarterly Report on Form 10-Q,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clients. We bring a depth of expertise in strategy, technology, operations, advisory services, and analytics to drive lasting and measurable results in the healthcare, higher education, life sciences and commercial sectors. Through focus, passion and collaboration, we provide guidance and solutions to support organizations as they contend with the changes transforming their industries and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Education, and Business Advisory.</w:t>
      </w:r>
    </w:p>
    <w:p>
      <w:pPr>
        <w:spacing w:after="0" w:line="194"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89" w:lineRule="exact"/>
        <w:rPr>
          <w:sz w:val="20"/>
          <w:szCs w:val="20"/>
          <w:color w:val="auto"/>
        </w:rPr>
      </w:pPr>
    </w:p>
    <w:p>
      <w:pPr>
        <w:ind w:left="660" w:right="120"/>
        <w:spacing w:after="0" w:line="297" w:lineRule="auto"/>
        <w:rPr>
          <w:sz w:val="20"/>
          <w:szCs w:val="20"/>
          <w:color w:val="auto"/>
        </w:rPr>
      </w:pPr>
      <w:r>
        <w:rPr>
          <w:rFonts w:ascii="Arial" w:cs="Arial" w:eastAsia="Arial" w:hAnsi="Arial"/>
          <w:sz w:val="16"/>
          <w:szCs w:val="16"/>
          <w:color w:val="auto"/>
        </w:rPr>
        <w:t>Our Healthcare segment provides advisory services - from strategy setting through implementation - in the areas of organizational and resource alignment, clinical transformation, financial and operational performance, patient and caregiver engagement, and technology implementation and optimization.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0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spacing w:after="0" w:line="254" w:lineRule="auto"/>
        <w:rPr>
          <w:rFonts w:ascii="Arial" w:cs="Arial" w:eastAsia="Arial" w:hAnsi="Arial"/>
          <w:sz w:val="18"/>
          <w:szCs w:val="18"/>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215" w:lineRule="exact"/>
        <w:rPr>
          <w:rFonts w:ascii="Arial" w:cs="Arial" w:eastAsia="Arial" w:hAnsi="Arial"/>
          <w:sz w:val="18"/>
          <w:szCs w:val="18"/>
          <w:color w:val="auto"/>
        </w:rPr>
      </w:pPr>
    </w:p>
    <w:p>
      <w:pPr>
        <w:ind w:left="660" w:right="100"/>
        <w:spacing w:after="0" w:line="255" w:lineRule="auto"/>
        <w:rPr>
          <w:rFonts w:ascii="Arial" w:cs="Arial" w:eastAsia="Arial" w:hAnsi="Arial"/>
          <w:sz w:val="18"/>
          <w:szCs w:val="18"/>
          <w:color w:val="auto"/>
        </w:rPr>
      </w:pPr>
      <w:r>
        <w:rPr>
          <w:rFonts w:ascii="Arial" w:cs="Arial" w:eastAsia="Arial" w:hAnsi="Arial"/>
          <w:sz w:val="18"/>
          <w:szCs w:val="18"/>
          <w:color w:val="auto"/>
        </w:rPr>
        <w:t>Our Business Advisory segment provides services to middle market and large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w:t>
      </w:r>
    </w:p>
    <w:p>
      <w:pPr>
        <w:sectPr>
          <w:pgSz w:w="11900" w:h="16838" w:orient="portrait"/>
          <w:cols w:equalWidth="0" w:num="1">
            <w:col w:w="11360"/>
          </w:cols>
          <w:pgMar w:left="240" w:top="125" w:right="299" w:bottom="1440" w:gutter="0" w:footer="0" w:header="0"/>
        </w:sect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60"/>
          </w:cols>
          <w:pgMar w:left="240" w:top="125" w:right="2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technology and analytic solutions that enable 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Reorganization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restated our historical segment information for consistent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 (International)</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 2017, we completed our acquisition of the international assets of ADI Strategies, Inc. ("ADI Strategies") in Dubai and India. Huron acquired the U.S. assets of ADI Strategies in the second quarter of 2016. ADI Strategies is a leading enterprise performance management, risk management and business intelligence firm. The acquisition strengthens Huron's technology and analytics competencies and expands its global reach. The international results of operations of ADI Strategies have been included in our consolidated financial statements and results of operations of the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March 1, 2017, we completed our acquisition of Innosight Holdings, LLC ("Innosight"), a growth strategy firm focused on helping companies navigate disruptive change, enable innovation, and manage strategic transformation. Together with Innosight, we will use our strategic, operational, and technology capabilities to help clients across multiple industries develop pioneering solutions to address disruption and achieve sustained growth. Innosight's results of operations have been included in our consolidated financial statements and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Note 5 "Acquisitions" within our consolidated financial statements for further information regarding our recent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 Compliance and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2017, we divested our Life Sciences Compliance and Operations practice ("Life Sciences C&amp;O"), which was part of our broader Life Sciences practice within the Business Advisory segment. The sale of Life Sciences C&amp;O did not meet the criteria for reporting separately as discontinued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1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Fixed-fee engagements represented 45.9% and 47.6% of our revenues for the three months ended June 30, 2017 and 2016, respectively, and 44.1% and 50.6% of our revenues for the six months ended June 30, 2017 and 2016, respectively.</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46.4% and 37.1% of our revenues for the three months ended June 30, 2017 and 2016, respectively, and 44.7% and 35.2% of our revenues for the six months ended June 30, 2017 and 2016, respectively.</w:t>
      </w:r>
    </w:p>
    <w:p>
      <w:pPr>
        <w:spacing w:after="0" w:line="11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2.5% and 10.6% of our revenues for the three months ended June 30, 2017 and 2016, respectively, and 4.5% and 9.5% of our revenues for the six months ended June 30, 2017 and 2016, respectively. Performance-based fee engagements may cause significant variations in quarterly revenues and operating results depending on the timing of achieving the performance-based criteria.</w:t>
      </w:r>
    </w:p>
    <w:p>
      <w:pPr>
        <w:spacing w:after="0" w:line="11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and maintenance and subscription revenues are recognized ratably over the support or subscription period, which ranges from one to three years. These fees are billed in advance and included in deferred revenues until recognized. Software support and maintenance and subscription revenues represented 5.2% and 4.7% of our revenues for the three months ended June 30, 2017 and 2016, respectively, and 6.7% and 4.7% of our revenues for the six months ended June 30, 2017 and 2016, respectively.</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9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During the second quarter of 2017, we reorganized our internal financial reporting structure by moving our Life Sciences practice from the Education and Life Sciences segment to the Business Advisory segment. The remaining Education and Life Sciences segment is now referred to as the Education segment. While our consolidated results have not been impacted, we have restated our historical segment information for consistent presentation.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0" w:right="2020"/>
        <w:spacing w:after="0" w:line="347" w:lineRule="auto"/>
        <w:rPr>
          <w:sz w:val="20"/>
          <w:szCs w:val="20"/>
          <w:color w:val="auto"/>
        </w:rPr>
      </w:pPr>
      <w:r>
        <w:rPr>
          <w:rFonts w:ascii="Arial" w:cs="Arial" w:eastAsia="Arial" w:hAnsi="Arial"/>
          <w:sz w:val="15"/>
          <w:szCs w:val="15"/>
          <w:b w:val="1"/>
          <w:bCs w:val="1"/>
          <w:color w:val="auto"/>
        </w:rPr>
        <w:t>Segment and Consolidated Operating Results (in thousands, except per share amounts):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880" w:type="dxa"/>
            <w:vAlign w:val="bottom"/>
          </w:tcPr>
          <w:p>
            <w:pPr>
              <w:spacing w:after="0"/>
              <w:rPr>
                <w:sz w:val="20"/>
                <w:szCs w:val="20"/>
                <w:color w:val="auto"/>
              </w:rPr>
            </w:pPr>
          </w:p>
        </w:tc>
        <w:tc>
          <w:tcPr>
            <w:tcW w:w="176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66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8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r>
      <w:tr>
        <w:trPr>
          <w:trHeight w:val="237"/>
        </w:trPr>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2016</w:t>
            </w:r>
          </w:p>
        </w:tc>
      </w:tr>
      <w:tr>
        <w:trPr>
          <w:trHeight w:val="27"/>
        </w:trPr>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-8255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540" w:space="720"/>
            <w:col w:w="51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83,227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106,088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181,679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220,106</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23,652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57,802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80,405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43,926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37,322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86,207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73,195</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20,577</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54,265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40,849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102,381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71,447</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14,668</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181,418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184,259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370,267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364,748</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37,880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35,543</w:t>
            </w:r>
          </w:p>
        </w:tc>
      </w:tr>
      <w:tr>
        <w:trPr>
          <w:trHeight w:val="237"/>
        </w:trPr>
        <w:tc>
          <w:tcPr>
            <w:tcW w:w="626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202,348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203,241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408,147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400,291</w:t>
            </w:r>
          </w:p>
        </w:tc>
      </w:tr>
      <w:tr>
        <w:trPr>
          <w:trHeight w:val="67"/>
        </w:trPr>
        <w:tc>
          <w:tcPr>
            <w:tcW w:w="62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64"/>
        </w:trPr>
        <w:tc>
          <w:tcPr>
            <w:tcW w:w="6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48,339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63,737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103,870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115,650</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30,732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27,970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63,195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58,093</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gains,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7,558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18,603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14,972</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209,600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Total operating income (loss)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(200,575)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28,209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(186,426)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42,585</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(7,347)</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 expense</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(203,986)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24,362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(193,083)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35,238</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(53,504)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12,233</w:t>
            </w:r>
          </w:p>
        </w:tc>
      </w:tr>
      <w:tr>
        <w:trPr>
          <w:trHeight w:val="297"/>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16,139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(145,327)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23,005</w:t>
            </w:r>
          </w:p>
        </w:tc>
      </w:tr>
      <w:tr>
        <w:trPr>
          <w:trHeight w:val="237"/>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from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1.09</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r>
      <w:tr>
        <w:trPr>
          <w:trHeight w:val="27"/>
        </w:trPr>
        <w:tc>
          <w:tcPr>
            <w:tcW w:w="6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2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2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952</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428</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516</w:t>
            </w:r>
          </w:p>
        </w:tc>
      </w:tr>
      <w:tr>
        <w:trPr>
          <w:trHeight w:val="27"/>
        </w:trPr>
        <w:tc>
          <w:tcPr>
            <w:tcW w:w="6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1,896</w:t>
            </w:r>
          </w:p>
        </w:tc>
      </w:tr>
      <w:tr>
        <w:trPr>
          <w:trHeight w:val="270"/>
        </w:trPr>
        <w:tc>
          <w:tcPr>
            <w:tcW w:w="628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1,015</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415</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433</w:t>
            </w:r>
          </w:p>
        </w:tc>
      </w:tr>
      <w:tr>
        <w:trPr>
          <w:trHeight w:val="237"/>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1,863</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70"/>
        </w:trPr>
        <w:tc>
          <w:tcPr>
            <w:tcW w:w="628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5"/>
                <w:szCs w:val="25"/>
                <w:b w:val="1"/>
                <w:bCs w:val="1"/>
                <w:color w:val="auto"/>
                <w:vertAlign w:val="superscript"/>
              </w:rPr>
              <w:t>(4)</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Healthcare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216</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215</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 per full-time billable consultant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158</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158</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r>
      <w:tr>
        <w:trPr>
          <w:trHeight w:val="270"/>
        </w:trPr>
        <w:tc>
          <w:tcPr>
            <w:tcW w:w="628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5"/>
                <w:szCs w:val="25"/>
                <w:b w:val="1"/>
                <w:bCs w:val="1"/>
                <w:color w:val="auto"/>
                <w:vertAlign w:val="superscript"/>
              </w:rPr>
              <w:t>(5)</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Healthcare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Business Advisory</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37"/>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250</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 per full-time equivalent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299</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277</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200</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r>
      <w:tr>
        <w:trPr>
          <w:trHeight w:val="27"/>
        </w:trPr>
        <w:tc>
          <w:tcPr>
            <w:tcW w:w="6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right="320" w:hanging="532"/>
        <w:spacing w:after="0" w:line="317"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non-cash goodwill impairment charge is not allocated at the segment level because the underlying goodwill asset is reflective of our corporate investment in the segments. We do not include the impact of goodwill impairment charges in our evaluation of segment performance.</w:t>
      </w: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20" w:hanging="532"/>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60" w:hanging="532"/>
        <w:spacing w:after="0" w:line="34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(loss) before interest, taxes, depreciation and amortization ("EBITDA"), adjusted EBITDA, adjusted EBITDA as a percentage of revenues, adjusted net income (loss) from continuing operations, and adjusted diluted earnings (loss)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181,418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184,259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370,267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364,748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4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(150,482)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16,139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(145,327)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23,005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(53,504)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8,223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12,233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12,429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11,398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24,334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22,198</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Earnings (loss) before interest, taxes, depreciation and amortization (EBITDA)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65,530</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Other gains, net</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gains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24,525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41,623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51,633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68,256</w:t>
            </w:r>
          </w:p>
        </w:tc>
        <w:tc>
          <w:tcPr>
            <w:tcW w:w="0" w:type="dxa"/>
            <w:vAlign w:val="bottom"/>
          </w:tcPr>
          <w:p>
            <w:pPr>
              <w:spacing w:after="0"/>
              <w:rPr>
                <w:sz w:val="1"/>
                <w:szCs w:val="1"/>
                <w:color w:val="auto"/>
              </w:rPr>
            </w:pPr>
          </w:p>
        </w:tc>
      </w:tr>
      <w:tr>
        <w:trPr>
          <w:trHeight w:val="67"/>
        </w:trPr>
        <w:tc>
          <w:tcPr>
            <w:tcW w:w="6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EBITDA as a percentage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33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21,376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21,418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gains,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Goodwill impairment charge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209,600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209,600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interest on convertible notes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adjustments, net of tax</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161,062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167,729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36,588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weighted average shares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21,376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21,418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Other gains, net: </w:t>
      </w:r>
      <w:r>
        <w:rPr>
          <w:rFonts w:ascii="Arial" w:cs="Arial" w:eastAsia="Arial" w:hAnsi="Arial"/>
          <w:sz w:val="18"/>
          <w:szCs w:val="18"/>
          <w:color w:val="auto"/>
        </w:rPr>
        <w:t>We have excluded the effects of remeasurement gains and losses related to contingent acquisition liabilities to permit comparability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that were not impacted by these items.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Goodwill impairment charge: </w:t>
      </w:r>
      <w:r>
        <w:rPr>
          <w:rFonts w:ascii="Arial" w:cs="Arial" w:eastAsia="Arial" w:hAnsi="Arial"/>
          <w:sz w:val="18"/>
          <w:szCs w:val="18"/>
          <w:color w:val="auto"/>
        </w:rPr>
        <w:t>We have excluded the effect of goodwill impairment charge in the second quarter of 2017 as this is an infrequent event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exclusion permits comparability with periods that were not impacted by such charge.</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Gain on sale of business: </w:t>
      </w:r>
      <w:r>
        <w:rPr>
          <w:rFonts w:ascii="Arial" w:cs="Arial" w:eastAsia="Arial" w:hAnsi="Arial"/>
          <w:sz w:val="18"/>
          <w:szCs w:val="18"/>
          <w:color w:val="auto"/>
        </w:rPr>
        <w:t>We have excluded the effect of the gain on the sale of Life Sciences C&amp;O, as management believes that this one-time gain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divestiture of a business is not indicative of the ongoing performance of our business.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Foreign currency transaction gains: </w:t>
      </w:r>
      <w:r>
        <w:rPr>
          <w:rFonts w:ascii="Arial" w:cs="Arial" w:eastAsia="Arial" w:hAnsi="Arial"/>
          <w:sz w:val="18"/>
          <w:szCs w:val="18"/>
          <w:color w:val="auto"/>
        </w:rPr>
        <w:t>We have excluded the effect of foreign currency transaction gains from the calculation of adjusted EBITDA because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each gain is significantly affected by timing and changes in foreign exchange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impact applicable to the non-GAAP adjustments.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three and six months ended June 30, 2017, GAAP diluted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outstanding equals the basic weighted average shares outstanding for those periods. For the three and six months ended June 30, 2017, the non-GAAP adjustments described above resulted in an adjusted net income from continuing operations. Therefore, we included the dilutive common stock equivalents in the calculation of adjusted diluted weighted average shares outstanding.</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40"/>
        <w:spacing w:after="0" w:line="522" w:lineRule="auto"/>
        <w:rPr>
          <w:sz w:val="20"/>
          <w:szCs w:val="20"/>
          <w:color w:val="auto"/>
        </w:rPr>
      </w:pPr>
      <w:r>
        <w:rPr>
          <w:rFonts w:ascii="Arial" w:cs="Arial" w:eastAsia="Arial" w:hAnsi="Arial"/>
          <w:sz w:val="18"/>
          <w:szCs w:val="18"/>
          <w:color w:val="auto"/>
        </w:rPr>
        <w:t xml:space="preserve">customary exclusions as defined by the calculation of EBITDA to arrive at meaningful earnings from core operations excluding the effect of such items. </w:t>
      </w:r>
      <w:r>
        <w:rPr>
          <w:rFonts w:ascii="Arial" w:cs="Arial" w:eastAsia="Arial" w:hAnsi="Arial"/>
          <w:sz w:val="18"/>
          <w:szCs w:val="18"/>
          <w:b w:val="1"/>
          <w:bCs w:val="1"/>
          <w:color w:val="auto"/>
        </w:rPr>
        <w:t>Three Months Ended June 30, 2017 Compared to Three Months Ended June 30, 2016 Revenues</w:t>
      </w:r>
    </w:p>
    <w:p>
      <w:pPr>
        <w:spacing w:after="0" w:line="234"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Revenues decreased $2.8 million, or 1.5%, to $181.4 million for the second quarter of 2017 from $184.3 million for the second quarter of 2016. Second quarter 2017 revenues included $19.8 million from our acquisitions of Innosight, Healthcare Services Management, Inc. ("HSM Consulting"), and Pope Woodhead, all of which were completed subsequent to the second quarter of 2016. Second quarter 2017 revenues also included a full quarter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the overall $2.8 million decrease in revenues, $3.6 million was attributable to our full-time billable consultants, partially offset by a $0.7 million increase attributable to our full-time equivalents.</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decrease in full-time billable consultant revenues reflected a decrease in the average bill rate for the second quarter of 2017 compared to the prior year period, partially offset by an increase in the average number of billable consultants. As discussed below in Segment Results, this decrease in revenue attributable to our full-time billable consultants reflected decreased demand for our services in the Healthcare segment, partially offset by strengthened demand for our services in the Education and Business Advisory segments.</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 in full-time equivalent revenues reflected an increase in the average number of full-time equivalents for the second quarter of 2017 compared to the prior year period, partially offset by a decrease in revenue per full-time equivalent. The increase was primarily attributable to an increased use of contractors in our Healthcare segment, largely due to our acquisition of HSM Consulting, partially offset by a decrease in license revenue in our Education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$9.5 million, or 8.9%, to $116.4 million in the three months ended June 30, 2017, from $106.9 million in the three months ended June 30, 2016. The $9.5 million increase primarily related to a $6.6 million increase in salaries and related expenses for our revenue-generating professionals, which was largely driven by increased headcount from acquisitions and our ongoing cloud-based enterprise resource planning (ERP) investment, partially offset by decreases in salaries and related expenses in our Healthcare segment as a result of headcount reductions. Additional increases included a $1.5 million increase in performance bonus expense for our revenue-generating professionals, a $1.1 million increase in contractor expense, a $0.6 million increase in project costs, and a $0.4 million increase in product and event costs. All of these increases were partially offset by a $1.0 million decrease in amortization of intangible assets and a $0.5 million decrease in share-based compensation expense for our revenue-generating professionals. As a percentage of revenues, our total direct costs increased to 64.2% during the second quarter of 2017 compared to 58.0% during the second quarter of 2016, primarily due to the items described above.</w:t>
      </w:r>
    </w:p>
    <w:p>
      <w:pPr>
        <w:spacing w:after="0" w:line="11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Total direct costs for the three months ended June 30, 2017 included $2.7 million of amortization expense for intangible assets, primarily representing customer contracts and software acquired in business combinations, and internal software development costs, compared to $3.8 million of amortization expense for the same prior year period. The $1.1 million decrease in amortization expense was primarily attributable to the decreasing amortization expense of customer contracts acquired in our Studer Group acquisition, due to the accelerated basis of amortization. See Note 5 "Acquisitions" and Note 6 "Goodwill and Intangible Assets" within the notes to our consolidated financial statements for additional information about our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Selling, general and administrative expenses increased $4.1 million, or 10.3%, to $43.7 million in the second quarter of 2017 from $39.6 million in the second quarter of 2016. Selling, general and administrative expenses for the second quarter of 2017 included $4.3 million from Innosight and Pope Woodhead. The overall $4.1 million increase primarily related to a $3.1 million increase in salaries and related expenses for our support personnel, a $1.2 million increase in promotion and sponsorship expenses, a $0.7 million increase in facilities and other office-related expenses, and a $0.6 million increase in travel expenses, partially offset by a $1.6 million decrease in performance bonus expense for our support personnel, a $0.7 million decrease in legal costs, and a $0.7 million decrease in share-based compensation expense for our support personnel. As a percentage of revenues, selling, general and administrative expenses increased to 24.1% during the second quarter of 2017 compared to 21.5% during the second quarter of 2016, primarily due to the items described above.</w:t>
      </w:r>
    </w:p>
    <w:p>
      <w:pPr>
        <w:spacing w:after="0" w:line="11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Restructuring charges for the second quarter of 2017 totaled $3.7 million, compared to $1.7 million for the second quarter of 2016. The charges incurred in the second quarter of 2017 primarily consisted of $2.0 million related to workforce reductions in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Healthcare segment to better align our resources with market demand, $1.0 million for the accrual of remaining lease obligations, net of estimated sublease income, for offices vacated in the second quarter of 2017 and accelerated depreciation on leasehold improvements for our San Francisco office, and $0.4 million related to workforce reductions in our corporate operations primarily to adjust our infrastructure to align with the decreased workforce in the Healthcare segment. The $1.7 million charge incurred in the second quarter of 2016 primarily consisted of $1.2 million related to workforce reductions in our Healthcare segment to better align our resources with market demand and $0.3 million related to updated assumptions for lease accruals for our Washington, D.C. space vacated in the fourth quarter of 2014. See Note 9 "Restructuring Charges" within the notes to our consolidated financial statements for further discussion of our restructuring expenses.</w:t>
      </w:r>
    </w:p>
    <w:p>
      <w:pPr>
        <w:spacing w:after="0" w:line="13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Other gains, net totaled $1.1 million for the three months ended June 30, 2017, and represents gains related to the decrease in the fair value of the liability for future expected contingent consideration payments related to acquisitions. No remeasurement gains or losses were recorded in the second quarter of 2016.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Depreciation and amortization expense increased by $2.1 million to $9.7 million in the three months ended June 30, 2017 from $7.6 million in the three months ended June 30, 2016. The increase was primarily attributable to an increase in amortization expense for intangible assets acquired in the HSM Consulting, Pope Woodhead, and Innosight acquisitions, all of which were completed subsequent to the second quarter of 2016, and an increase in amortization expense for a customer-related intangible asset acquired in the Studer Group acquisition. Intangible asset amortization included within operating expenses primarily relates to certain customer relationships, non-competition agreements, and trade names acquired in connection with our business acquisitions. See Note 5 "Acquisitions" and Note 6 "Goodwill and Intangible Assets" within the notes to our consolidated financial statements for additional information about our intangible assets.</w:t>
      </w:r>
    </w:p>
    <w:p>
      <w:pPr>
        <w:spacing w:after="0" w:line="13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quarter ended June 30, 2017, we recorded a $209.6 million non-cash pretax goodwill impairment charge related to our Healthcare reporting unit. This charge is non-cash in nature and does not affect our liquidity or debt covenants. See the "Critical Accounting Policies" section below and Note 6 "Goodwill and Intangible Assets" within the notes to our consolidated financial statements for further discussion of this charge.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Operating income decreased $228.8 million to a loss of $200.6 million in the second quarter of 2017 from operating income of $28.2 million in the second quarter of 2016. This decrease is primarily attributable to the $209.6 million non-cash pretax goodwill impairment charge related to our Healthcare segment. See the "Critical Accounting Policies" section below and Note 6 "Goodwill and Intangible Assets" within the notes to our consolidated financial statements for additional information on the non-cash goodwill impairment charge. Operating margin, which is defined as operating income expressed as a percentage of revenues, decreased to (110.6)% in the three months ended June 30, 2017, compared to an operating margin of 15.3% in the three months ended June 30, 2016. The decrease in operating margin was primarily attributable to the goodwill impairment charge, increases in salaries and related expenses for both our revenue-generating professionals and support personnel, restructuring charges, performance bonus expense for our revenue-generating professionals, promotion and sponsorship expense, and contractor expense, partially offset by decreases, as percentages of revenue, in performance bonus expense for our support personnel, intangible asset amortization expense, and share-based compensation expense for our revenue-generating professionals and support personnel during the first three months of 2017 compared to the same prior year period, as described above.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Total other expense, net decreased by $0.4 million to $3.4 million in the second quarter of 2017 from $3.8 million in the second quarter of 2016. The decrease was primarily attributable to a $0.9 million gain on sale of our Life Sciences Compliance and Operations solution within our Business Advisory segment in the second quarter of 2017. See Note 6 "Goodwill and Intangible Assets" within the notes to our consolidated financial statements for additional information on the sale. The decrease in total other expense, net was also attributable to a $0.5 million increase in the market value of our investments that are used to fund our deferred compensation liability, compared to a $0.3 million gain in the second quarter of 2016. These decreases were partially offset by a $0.8 million increase in interest expense, net of interest income. The increase in interest expense was due to higher levels of borrowings under our credit facility during the second quarter of 2017 compared to the second quarter of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2017, our effective tax rate was 26.2% as we recognized income tax benefit from continuing operations of $53.5 million on a loss from continuing operations of $204.0 million. For the second quarter of 2016, our effective tax rate was 33.8% as we recognized income tax expense from continuing operations of $8.2 million on income from continuing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operations of $24.4 million. The effective tax rate for the three months ended June 30, 2017 was less favorable than the statutory rate, inclusive of state income taxes, primarily due to the non-deductible portion of the goodwill impairment charge recorded in the second quarter of 2017. Of the $209.6 million pretax goodwill impairment charge, $61.2 million was not deductible for income tax purposes. The effective tax rate for the three months ended June 30, 2016 was lower than the statutory rate, inclusive of state income taxes, primarily due to a discrete favorable adjustment to our state tax rate and a discrete tax benefit related to share-based compensation, as well as certain credits and deductions and the release of valuation allowance previously established on certain foreign tax credits, partially offset by non-deductible business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income from continuing operations decreased by $166.6 million, to a net loss from continuing operations of $150.5 million for the three months ended June 30, 2017, from net income from continuing operations of $16.1 million for the same period last year. This decrease is primarily attributable to the $209.6 million non-cash pretax goodwill impairment charge related to our Healthcare segment. As a result of the decrease in net income from continuing operations, diluted loss per share from continuing operations for the second quarter of 2017 was $7.00 compared to diluted earnings per share from continuing operations of $0.76 for the second quarter of 2016. The non-cash goodwill impairment charge had a $7.14 unfavorable impact on diluted earnings per share from continuing operations for the second quarter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income from discontinued operations was $0.3 million for the three months ended June 30, 2017, compared to net loss from discontinued operations of $1.0 million for the same period last year. See Note 4 "Discontinued Operations" within the notes to our consolidated financial statements for additional information about our discontinued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EBITDA decreased $226.5 million to a loss of $186.6 million for the three months ended June 30, 2017 from earnings of $39.9 million for the three months ended June 30, 2016. Adjusted EBITDA decreased $17.1 million to $24.5 million in the second quarter of 2017 from $41.6 million in the second quarter of 2016. The decrease in EBITDA was primarily attributable to the non-cash goodwill impairment charge of $209.6 million recorded in the second quarter of</w:t>
      </w:r>
    </w:p>
    <w:p>
      <w:pPr>
        <w:ind w:right="200"/>
        <w:spacing w:after="0" w:line="261" w:lineRule="auto"/>
        <w:rPr>
          <w:sz w:val="20"/>
          <w:szCs w:val="20"/>
          <w:color w:val="auto"/>
        </w:rPr>
      </w:pPr>
      <w:r>
        <w:rPr>
          <w:rFonts w:ascii="Arial" w:cs="Arial" w:eastAsia="Arial" w:hAnsi="Arial"/>
          <w:sz w:val="18"/>
          <w:szCs w:val="18"/>
          <w:color w:val="auto"/>
        </w:rPr>
        <w:t>2017. The decrease in adjusted EBITDA was primarily due to the decrease in segment operating income, as discussed below in Segment Results, as well as an increase in corporate expenses primarily due to our acquisitions of Innosight and Pope Woodhead.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Adjusted net income from continuing operations decreased $12.7 million to $10.6 million in the second quarter of 2017 compared to $23.3 million in the second quarter of 2016. As a result of the decrease in adjusted net income from continuing operations, adjusted diluted earnings per share from continuing operations was $0.49 for the second quarter of 2017, compared to $1.09 for the second quarter of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Healthcare segment revenues decreased $22.9 million, or 21.5%, to $83.2 million for the second quarter of 2017 from $106.1 million for the second quarter of 2016. Revenues for the second quarter of 2017 included $6.4 million from our acquisition of HSM Consulting, which was completed subsequent to the second quarter of 2016.</w:t>
      </w:r>
    </w:p>
    <w:p>
      <w:pPr>
        <w:spacing w:after="0" w:line="12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the three months ended June 30, 2017, revenues from fixed-fee engagements, time-and-expense engagements, performance-based arrangements, and software support and maintenance and subscription arrangements represented 67.9%, 19.0%, 5.5%, and 7.6% of this segment’s revenues, respectively, compared to 70.0%, 10.4%, 14.0%, and 5.6% of this segment’s revenues, respectively, for the same prior year period.</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the overall $22.9 million decrease in revenues, $24.2 million was attributable to a decrease in revenue from our full-time billable consultants, partially offset by a $1.3 million increase in revenue generated by our full-time equivalents.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revenue attributable to our full-time billable consultants reflected decreases in the average number of full-time billable consultants and the average billing rate. This decrease in revenue was primarily driven by a decreased demand for our performance improvement solution. Performance-based fee revenue was $4.5 million during the second quarter of 2017 compared to $14.8 million during the second quarter of 2016. The level of performance-based fees earned may vary based on our clients’ risk sharing preferences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revenue attributable to our full-time equivalents was primarily driven by an increase in the average number of full-time equivalents, largely due to our acquisition of HSM Consulting, partially offset by a decrease in revenue per full-time equivalent.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Healthcare segment operating income decreased $17.7 million, or 42.9%, to $23.7 million for the three months ended June 30, 2017 from $41.4 million for the three months ended June 30, 2016. The Healthcare segment operating margin, defined as segment operating income expressed as a percentage of segment revenues, decreased to 28.4% for the second quarter of 2017 from 39.0% in the same period last year. The decrease in this segment’s operating margin was primarily attributable to an increase in salaries and related expenses for our revenue-generating professionals as a percentage of revenues, as well as increases in salaries and related expenses for our support personnel, contractor expenses, restructuring charges, product and event costs, and performance bonus expense for our revenue-generating professionals. The increase in performance bonus expense in the second quarter of 2017 is primarily attributable to a performance bonus adjustment in the second quarter of 2016 that decreased our year-to-date performance bonus accrual as a result of a revised full year forecast at that time. These decreases to the operating margin are partially offset by a decrease in performance bonus expense for our support personnel as a percentage of revenues.</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non-cash goodwill impairment charge discussed above with the consolidated results is not allocated at the segment level because the underlying goodwill asset is reflective of our corporate investment in the segments. We do not include the impact of goodwill impairment charges in our evaluation of segment performance. See the "Critical Accounting Policies" section below and Note 6 "Goodwill and Intangible Assets" within the notes to our consolidated financial statements for further discussion of this charge. We will continue to evaluate goodwill for impairment during future periods. Any future significant decline in the performance of our Healthcare segment could result in another non-cash goodwill impairment charge.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Education segment revenues increased $6.6 million, or 17.7%, to $43.9 million for the second quarter of 2017 from $37.3 million for the second quarter of 2016.</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three months ended June 30, 2017, revenues from fixed-fee engagements, time-and-expense engagements, performance-based arrangements, and software support and maintenance and subscription arrangements represented 15.0%, 79.6%, 0.2%, and 5.2% of this segment’s revenues, respectively. During the three months ended June 30, 2016, revenues from fixed-fee engagements, time-and-expense engagements, and software support and maintenance and subscription arrangements represented 15.5%, 78.5%, and 6.0% of this segment’s revenues, respectively.</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Of the overall $6.6 million increase in revenues, $7.3 million was attributable to our full-time billable consultants, partially offset by a $0.7 million decrease in revenue generated by our full-time equivalents. The increase in revenue attributable to our full-time billable consultants reflected increases in the average number of full-time billable consultants and consultant utilization rate. The decrease in revenue from our full-time equivalents was largely driven by a decrease in license revenues, and reflected decreases in both revenue per full-time equivalent and the average number of full-time equivalents in the second quarter of 2017 compared to the same prior 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Education segment operating income increased $1.0 million, or 8.8%, to $12.5 million for the three months ended June 30, 2017 from $11.5 million for the three months ended June 30, 2016. Segment operating margin slightly decreased to 28.4% for the second quarter of 2017 from 30.8% in the same period last year. The decrease in this segment’s operating margin was primarily attributable to increases in performance bonus expense for our revenue-generating professionals and promotion and sponsorship expenses, both as a percentage of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Business Advisory segment revenues increased $13.4 million, or 32.8%, to $54.3 million for the second quarter of 2017 from $40.8 million for the second quarter of 2016. Revenues for the second quarter of 2017 included $13.4 million from our acquisitions of Innosight and Pope Woodhead, which were completed subsequent to the second quarter of 2016. Second quarter 2017 revenues also included a full quarter impact of our acquisition of the U.S. assets of ADI Strategies and revenues from our acquisition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international assets of ADI Strategies. These acquisitions were completed in May 2016 and April 2017, respectively, and have since been fully integrated into the Business Advisory segment.</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Revenues from fixed-fee engagements, time-and-expense engagements, and software support and maintenance and subscription arrangements represented 37.0%, 61.5%, and 1.5% of this segment’s revenues, respectively, during the second quarter of 2017. During the second quarter of 2016, revenues from fixed-fee engagements, time-and-expense engagements, performance-based arrangements, and software support and maintenance and subscription arrangements represented 18.9%, 68.8%, 11.3%, and 1.0% of this segment’s revenues, respectively. Performance-based fee revenue was $4.6 million for the second quarter of 2016. There was no performance-based fee revenue in the second quarter of 2017 for the Business Advisory segment. The level of performance-based fees earned may vary based on our clients’ preferences 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Of the overall $13.4 million increase in revenues, $13.3 million was attributable to our full-time billable consultants and $0.1 million was attributable to our full-time equivalents. The increase in revenue from our full-time billable consultants was primarily driven by our acquisitions of Innosight, ADI Strategies, and Pope Woodhead, and reflected an increase in the average number of full-time billable consultants, partially offset by a decrease in the average billing rate, driven by the decrease in performance-based fees in the second quarter of 2017 compared to the same prior year period, and a decrease in the consultant utilization rate. The increase in revenue from our full-time equivalents reflected an increase in revenue per full-time equivalent, mostly offset by a decrease in the average number of full-time equivalents in the second quarter of 2017 compared to the same prior year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Business Advisory segment operating income increased by $1.3 million, or 12.3%, to $12.2 million for the three months ended June 30, 2017 from $10.9 million for the three months ended June 30, 2016. Segment operating margin decreased to 22.5% for the second quarter of 2017 from 26.6% in the same period last year. The decrease in this segment’s operating margin was primarily attributable to increases in salaries and related benefits for our revenue-generating professionals, project costs, promotion and sponsorship expenses, and professional advisory fees, all as a percentage of revenues, as well as a decrease in performance-based fees in the second quarter of 2017 compared to the same prior year period. These decreases to segment operating margin were partially offset by decreases in performance bonus expense and share-based compensation expense for our revenue-generating professionals, contractor expenses, and intangible assets amortization expense.</w:t>
      </w:r>
    </w:p>
    <w:p>
      <w:pPr>
        <w:spacing w:after="0" w:line="131" w:lineRule="exact"/>
        <w:rPr>
          <w:sz w:val="20"/>
          <w:szCs w:val="20"/>
          <w:color w:val="auto"/>
        </w:rPr>
      </w:pPr>
    </w:p>
    <w:p>
      <w:pPr>
        <w:ind w:right="5260"/>
        <w:spacing w:after="0" w:line="440" w:lineRule="auto"/>
        <w:rPr>
          <w:sz w:val="20"/>
          <w:szCs w:val="20"/>
          <w:color w:val="auto"/>
        </w:rPr>
      </w:pPr>
      <w:r>
        <w:rPr>
          <w:rFonts w:ascii="Arial" w:cs="Arial" w:eastAsia="Arial" w:hAnsi="Arial"/>
          <w:sz w:val="18"/>
          <w:szCs w:val="18"/>
          <w:b w:val="1"/>
          <w:bCs w:val="1"/>
          <w:color w:val="auto"/>
        </w:rPr>
        <w:t>Six Months Ended June 30, 2017 Compared to Six Months Ended June 30, 2016 Revenues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Revenues increased $5.5 million, or 1.5%, to $370.3 million for the first six months of 2017 from $364.7 million for the first six months of 2016. Revenues for the first six months of 2017 included $32.7 million from our acquisitions of Innosight, HSM Consulting, and Pope Woodhead, all of which were completed subsequent to the second quarter of 2016, and $0.3 million of incremental revenues due to the full period impact of our acquisition of MyRounding Solutions, LLC ("MyRounding"), which we completed mid-first quarter 2016. Revenues for the first six months of 2017 also included a full period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the overall $5.5 million increase in revenues, $5.3 million was attributable to our full-time equivalents and $0.2 million was attributable to our full-time billable consultants.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full-time equivalent revenues reflected an increase in the average number of full-time equivalents for the first six months of 2017 compared to the prior year period, partially offset by a decrease in revenue per full-time equivalent. The increase in the average number of full-time equivalents was primarily attributable to an increased use of contractors in our Healthcare and Education segments and an increase in software support and maintenance revenue and license revenue in our Business Advisory segment.</w:t>
      </w:r>
    </w:p>
    <w:p>
      <w:pPr>
        <w:spacing w:after="0" w:line="13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increase in full-time billable consultant revenues was driven by an increase in the average number of billable consultants, mostly offset by a decrease in the average billing rate. As discussed below in Segment Results, this increase in revenue was largely driven by strengthened demand for our services in the Education and Business Advisory segments, largely offset by a decreased demand for our services in the Healthcare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total direct costs, including amortization of intangible assets and software development costs, increased $13.0 million, or 5.8%, to $235.1 million for the six months ended June 30, 2017, from $222.2 million for the six months ended June 30, 2016. The overall $13.0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million increase primarily related to a $12.2 million increase in salaries and related expenses for our revenue-generating professionals, which was primarily driven by increased headcount from acquisitions and our ongoing cloud-based ERP investment. Additional increases included a $1.8 million increase in contractor expense, a $1.1 million increase in signing and retention bonus expense for our revenue-generating professionals, and a $0.6 million increase in technology expenses. These increases were partially offset by a $1.2 million decrease in performance bonus expense for our revenue-generating professionals, a $1.3 million decrease in intangible asset amortization expense, and a $1.0 million decrease in share-based compensation expense for our revenue-generating professionals. As a percentage of revenues, our total direct costs increased to 63.5% during the first six months of 2017 compared to 60.9% during the first six months of 2016 primarily due to the items described above.</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Total direct costs for the six months ended June 30, 2017 included $5.7 million of amortization expense for intangible assets, primarily representing customer contracts and software acquired in business combinations and internal software development costs, compared to $7.2 million of amortization expense for the same prior year period. The $1.5 million decrease in amortization expense was primarily attributable to the decreasing amortization expense of customer contracts acquired in our Studer Group acquisition, due to the accelerated basis of amortization, partially offset by amortization of intangible assets acquired in the Innosight acquisition, which we completed in the first quarter of 2017. See Note 5 "Acquisitions" and Note 6 "Goodwill and Intangible Assets" within the notes to our consolidated financial statements for additional information about our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Selling, general and administrative expenses increased $8.9 million, or 10.9%, to $90.6 million in the six months ended June 30, 2017, from $81.7 million in the six months ended June 30, 2016. Selling, general and administrative expenses for the first half of 2017 included $5.9 million from Innosight and Pope Woodhead. The overall $8.9 million increase was primarily related to a $6.6 million increase in salaries and related expenses for our support personnel, a $1.3 million increase in facilities and other office-related expenses, a $1.1 million increase in promotion and sponsorship expenses, a $1.0 million increase in travel costs, a $0.6 million increase in practice administration and meetings expenses, a $0.5 million increase in professional advisory fees, and a $0.4 million increase in signing and retention bonus expense for our support personnel. These increases were partially offset by a $2.4 million decrease in performance bonus expense for our support personnel and a $1.0 million decrease in share-based compensation expense for our support personnel. As a percentage of revenues, selling, general and administrative expenses increased to 24.5% during the first six months of 2017 compared to 22.4% during the first six months of 2016 primarily due to the items described above.</w:t>
      </w:r>
    </w:p>
    <w:p>
      <w:pPr>
        <w:spacing w:after="0" w:line="1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Restructuring charges for the first six months of 2017 totaled $3.9 million, compared to $3.1 million for the first six months of 2016. The charges for the first six months of 2017 primarily consisted of $2.0 million related to workforce reductions in our Healthcare segment to better align our resources with market demand, $1.2 million related to the accrual of remaining lease obligations, net of estimated sublease income, for offices vacated in the second quarter of 2017 and accelerated depreciation on leasehold improvements for our San Francisco office, and $0.4 million related to workforce reductions in our corporate operations primarily to adjust our infrastructure to align with the decreased workforce in the Healthcare segment. The charges for the first six months of 2016 primarily consisted of $1.2 million related to workforce reductions in our Healthcare segment to better align resources with market demand, $0.9 million related to workforce reductions in our corporate operations as we adjusted our infrastructure to align with our Huron Legal divestiture, $0.5 million related to updated assumptions for lease accruals for our Washington, D.C. space vacated in the fourth quarter of 2014, and $0.2 million related to the wind down of our foreign consulting operations based in the Middle East.</w:t>
      </w:r>
    </w:p>
    <w:p>
      <w:pPr>
        <w:spacing w:after="0" w:line="128"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Other gains, net totaled $1.1 million for the six months ended June 30, 2017, and represents gains related to the decrease in the fair value of the liability for future expected contingent consideration payments related to acquisitions. No remeasurement gains or losses were recorded in the first six months of 2016.</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Depreciation and amortization expense increased by $3.6 million to $18.6 million in the six months ended June 30, 2017, from $15.0 million in the six months ended June 30, 2016. The increase was primarily attributable to amortization expense for intangible assets acquired in the HSM Consulting, Pope Woodhead, and Innosight acquisitions, all of which were completed subsequent to the second quarter of 2016, and an increase in amortization expense for a customer-related intangible asset acquired in the Studer Group acquisition. Intangible asset amortization included within operating expenses primarily relates to certain customer relationships, trade names, and non-competition agreements acquired in connection with our business acquisitions. See Note 5 "Acquisitions" and Note 6 "Goodwill and Intangible Assets" within the notes to our consolidated financial statements for additional information about our intangible assets.</w:t>
      </w:r>
    </w:p>
    <w:p>
      <w:pPr>
        <w:spacing w:after="0" w:line="13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quarter ended June 30, 2017, we recorded a $209.6 million non-cash pretax goodwill impairment charge related to our Healthcare reporting unit. This charge is non-cash in nature and does not affect our liquidity or debt covenants. See the "Critical Accounting Policies" section below and Note 6 "Goodwill and Intangible Assets" within the notes to our consolidated financial statements for further discussion of this charge.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Operating income decreased $229.0 million, to a loss of $186.4 million in the first six months of 2017 from income of $42.6 million in the first six months of 2016. This decrease is primarily attributable to the $209.6 million non-cash pretax goodwill impairment charge related to our Healthcare segment. See the "Critical Accounting Policies" section below and Note 6 "Goodwill and Intangible Assets" within the notes to our consolidated financial statements for additional information on the non-cash goodwill impairment charge. Operating margin decreased to (50.3)% for the six months ended June 30, 2017, compared to 11.7% for the six months ended June 30, 2016. The decrease in operating margin was primarily attributable to the goodwill impairment charge, increase in salaries and related expenses for both our revenue-generating professionals and support personnel, as well as the increases in intangible asset amortization expense included in selling, general and administrative expenses and contractor expenses, all as a percentage of revenues, partially offset by the decrease in performance bonus expense for both our revenue-generating professionals and support personnel during the first six months of 2017 compared to the same prior year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Total other expense, net decreased by $0.7 million to $6.7 million in the first six months of 2017 from $7.3 million in the first six months of 2016. The decrease was primarily attributable to a $0.9 million gain on sale of our Life Sciences Compliance and Operations solution within our Business Advisory segment in the second quarter of 2017. See Note 6 "Goodwill and Intangible Assets" within the notes to our consolidated financial statements for additional information on the sale. The decrease in total other expense, net was also attributable to a $1.3 million gain in the market value of our investments that are used to fund our deferred compensation liability, compared to a $0.4 million gain in the first six months of 2016. These decreases were partially offset by a $0.8 million increase in interest expense, net of interest income in the first six months of 2017 compared to the same prior year period, as well as a $0.4 million decrease in foreign currency transaction gains. The increase in interest expense was due to higher levels of borrowings under our credit facility during the first six months of 2017 compared to the first six months of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For the six months ended June 30, 2017, our effective tax rate was 24.7% as we recognized income tax benefit from continuing operations of $47.8 million on a loss from continuing operations of $193.1 million. For the six months ended June 30, 2016, our effective tax rate was 34.7% as we recognized income tax expense of $12.2 million on income from continuing operations of $35.2 million. The effective tax rate for the six months ended June 30, 2017 was less favorable than the statutory rate, inclusive of state income taxes, primarily due to the non-deductible portion of the goodwill impairment charge recorded in the second quarter of 2017. Of the $209.6 million pretax goodwill impairment charge, $61.2 million was not deductible for income tax purposes. The effective tax rate for the second quarter of 2017 was also higher than the statutory rate, inclusive of state income taxes, due to discrete tax expense for share-based compensation of $1.7 million related to the adoption of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Refer to Note 3 "New Accounting Pronouncements" within the notes to our consolidated financial statements for additional information on our adoption of ASU 2016-09. The effective tax rate for the six months ended June 30, 2016 was lower than the statutory rate, inclusive of state income taxes, primarily due to a discrete favorable adjustment to our state tax rate and a discrete tax benefit related to share-based compensation, as well as certain credits and deductions and the release of valuation allowance previously established on certain foreign tax credits, partially offset by non-deductible business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from continuing operations decreased by $168.3 million, to a net loss from continuing operations of $145.3 million for the six months ended June 30, 2017, from net income from continuing operations of $23.0 million for the same prior year period. This decrease is primarily attributable to the $209.6 million non-cash pretax goodwill impairment charge related to our Healthcare segment. As a result of the decrease in net income from continuing operations, diluted loss per share from continuing operations for the first six months of 2017 was $6.80 compared to diluted earnings per share from continuing operations of $1.07 for the first six months of 2016. The non-cash goodwill impairment charge had a $7.18 unfavorable impact on diluted earnings per share from continuing operations for the first half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income from discontinued operations for the six months ended June 30, 2017 was $0.5 million, compared to net loss from discontinued operations of $1.8 million for the same period last year. See Note 4 "Discontinued Operations" within the notes to our consolidated financial statements for additional information about our discontinued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EBITDA decreased $225.3 million to a loss of $159.8 million for the six months ended June 30, 2017, from earnings of $65.5 million for the six months ended June 30, 2016. Adjusted EBITDA decreased $16.6 million to $51.6 million in the first six months of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from $68.3 million in the first six months of 2016. The decrease in EBITDA was primarily attributable to the non-cash goodwill impairment charge of $209.6 million recorded in the second quarter of 2017. The decrease in adjusted EBITDA was primarily due to the decrease in segment operating income, as discussed below in Segment Results, as well as an increase in corporate expenses primarily due to our acquisitions of Innosight and Pope Woodhead.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Adjusted net income from continuing operations decreased $14.2 million to $22.4 million in the first six months of 2017 compared to $36.6 million in the first six months of 2016. As a result of the decrease in adjusted net income from continuing operations, adjusted diluted earnings per share from continuing operations for the first six months of 2017 was $1.04 compared to $1.71 for the first six months of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Healthcare segment revenues decreased $38.4 million, or 17.5%, to $181.7 million for the first six months of 2017 from $220.1 million for the first six months of 2016. Revenues for the first six months of 2017 included $11.9 million from our acquisition of HSM Consulting, which was completed subsequent to the second quarter of 2016, and $0.3 million of incremental revenues due to the full period impact of our acquisition of MyRounding, which we completed mid-first quarter 2016.</w:t>
      </w:r>
    </w:p>
    <w:p>
      <w:pPr>
        <w:spacing w:after="0" w:line="13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During the six months ended June 30, 2017, revenues from fixed-fee engagements, time-and-expense engagements, performance-based arrangements, and software support and maintenance and subscription arrangements represented 63.9%, 16.9%, 8.9%, and 10.3% of this segment’s revenues, respectively, compared to 72.0%, 9.4%, 13.1%, and 5.5% of this segment’s revenues, respectively, for the same prior year period.</w:t>
      </w:r>
    </w:p>
    <w:p>
      <w:pPr>
        <w:spacing w:after="0" w:line="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Of the overall $38.4 million decrease in revenues, $42.0 million was attributable to a decrease in revenue from our full-time billable consultants, partially offset by a $3.6 million increase in revenue generated by our full-time equivalents.</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decrease in revenue attributable to our full-time billable consultants reflected decreases in the average number of full-time billable consultants, consultant utilization rate, and the average billing rate. This decrease in revenue was primarily driven by a decreased demand for our performance improvement solution compared to the prior year. Performance-based fee revenue was $16.2 million during the first six months of 2017 compared to $28.7 million during the first six months of 2016. The level of performance-based fees earned may vary based on our clients’ risk sharing preferences 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revenue attributable to our full-time equivalents was primarily driven by an increase in the average number of full-time equivalents, largely due to our acquisition of HSM Consulting, partially offset by a decrease in revenue per full-time equivalent.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Healthcare segment operating income decreased $22.6 million, or 28.1%, to $57.8 million for the six months ended June 30, 2017, from $80.4 million for the six months ended June 30, 2016. The Healthcare segment operating margin decreased to 31.8% for the first six months of 2017 from 36.5% in the same period last year. The decrease in this segment’s operating margin was primarily attributable to an increase in salaries and related expenses for our revenue-generating professionals as a percentage of revenues, as well as increases in salaries and related expenses for our support personnel, contractor expenses, restructuring charges, and product and event costs, partially offset by decreases in performance bonus expense for our revenue-generating professionals and support personnel, both as a percentage of revenues.</w:t>
      </w:r>
    </w:p>
    <w:p>
      <w:pPr>
        <w:spacing w:after="0" w:line="13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non-cash goodwill impairment charge discussed above with the consolidated results is not allocated at the segment level because the underlying goodwill asset is reflective of our corporate investment in the segments. We do not include the impact of goodwill impairment charges in our evaluation of segment performance. See the "Critical Accounting Policies" section below and Note 6 "Goodwill and Intangible Assets" within the notes to our consolidated financial statements for further discussion of this charge. We will continue to evaluate goodwill for impairment during future periods. Any future significant decline in the performance of the Healthcare segment could result in another non-cash goodwill impairment charge.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Education segment revenues increased $13.0 million, or 17.8%, to $86.2 million for the first six months of 2017 from $73.2 million for the first six months of 2016.</w:t>
      </w:r>
    </w:p>
    <w:p>
      <w:pPr>
        <w:spacing w:after="0" w:line="116"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For the six months ended June 30, 2017, revenues from fixed-fee engagements, time-and-expense engagements, performance-based arrangements, and software support and maintenance and subscription arrangements represented 15.6%, 78.7%, 0.4%, and 5.3% of this segment’s revenues, respectively, compared to 15.8%, 77.7%, 0.5%, and 6.0% of this segment's revenues, respectively, during the same prior year period.</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overall $13.0 million increase in revenues, $12.6 million was attributable to our full-time billable consultants and $0.4 million was attributable to our full-time equivalents. The increase in revenue from our full-time billable consultants reflected increases in the average number of full-time billable consultants, consultant utilization rate, and average billing rate. The increase in revenue from our full-time equivalents was driven by increases in the average number of full-time equivalents and revenue per full-time equivalent.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Education segment operating income increased $3.4 million, or 16.7%, to $24.0 million for the six months ended June 30, 2017, from $20.6 million for the six months ended June 30, 2016. The Education segment operating margin slightly decreased to 27.9% for the first six months of 2017 from 28.1% in the same period last year. The decrease in this segment’s operating margin was primarily attributable to an increase in performance bonus expense for our revenue-generating professionals as a percentage of revenues, partially offset by a decrease in contractor expense and a decrease in salaries and related expenses for our support personnel as a percentage of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Business Advisory segment revenues increased $30.9 million, or 43.3%, to $102.4 million for the first six months of 2017 from $71.4 million for the first six months of 2016. Revenues for the first six months of 2017 included $20.8 million from our acquisitions of Innosight and Pope Woodhead, which were completed subsequent to the second quarter of 2016. Revenues for the first six months of 2017 also included a full period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1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Revenues from fixed-fee engagements, time-and-expense engagements, performance-based arrangements, and software support and maintenance and subscription arrangements represented 33.2%, 65.3%, 0.2%, and 1.3% of this segment’s revenues, respectively, during the first six months of 2017, compared to 20.1%, 71.5%, 7.6%, and 0.8% of this segment’s revenues, respectively, during the same prior year period. Performance-based fee revenue was $0.2 million for the first six months of 2017 compared to $5.5 million for the same prior year period. The level of performance-based fees earned may vary based on our clients’ preferences 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Of the overall $30.9 million increase in revenues, $29.7 million was attributable to our full-time billable consultants and $1.2 million was attributable to our full-time equivalents. The increase in revenue from our full-time billable consultants was primarily driven by our acquisitions of Innosight, ADI Strategies, and Pope Woodhead, and reflected increases in the average number of full-time billable consultants and consultant utilization rate, partially offset by a decrease in the average billing rate. The increase in revenue from our full-time equivalents reflected increases in the average number of full-time equivalents and revenue per full-time equivalent.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Business Advisory segment operating income increased by $7.4 million, or 50.4%, to $22.1 million for the six months ended June 30, 2017, from $14.7 million for the six months ended June 30, 2016. The Business Advisory segment operating margin increased to 21.5% for the first six months of 2017 from 20.5% in the same period last year. The increase in this segment’s operating margin was primarily attributable to revenue growth that outpaced the increase in performance bonus expense for our revenue-generating professionals as well as a decrease in share-based compensation for our revenue-generating professionals and a decrease in contractor expense, partially offset by increases, as percentages of revenues, in salaries and related expenses for our revenue-generating professionals, professional advisory fees, and promotion and sponsorship expenses.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Cash and cash equivalents decreased $3.4 million, from $17.0 million at December 31, 2016 to $13.6 million at June 30, 2017. As of June 30, 2017,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41,407</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(56,682)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(36,587)</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(51,737)</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provided by operating activities totaled $23.3 million for the six months ended June 30, 2017 and $41.4 million for the same period last year.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decrease in cash provided by operations for the first six months of 2017 compared to the same prior year period was primarily attributable to the collection of a settlement receivable in the first quarter of 2016 and a decrease in cash collections from clients in the first half of 2017, partially offset by decreased vendor and tax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$119.4 million for the six months ended June 30, 2017 and $56.7 million for the same period last year.</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use of cash in the first six months of 2017 primarily consisted of $103.5 million for the purchases of businesses and $15.3 million for purchases of property and equipment, primarily related to leasehold improvements and purchases of furniture and fixtures for new office spaces in certain locations. The use of cash in the first six months of 2016 primarily consisted of $49.1 million for the purchases of businesses and $5.4 million for purchases of property and equipment.</w:t>
      </w:r>
    </w:p>
    <w:p>
      <w:pPr>
        <w:spacing w:after="0" w:line="1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estimate that cash utilized for purchases of property and equipment in 2017 will be approximately $25.0 million, primarily consisting of leasehold improvements, furniture and fixtures, and information technology related equipment to support our corporate infrastructure.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financing activities was $92.5 million for the six months ended June 30, 2017. During the first six months of 2017, we borrowed $205.5 million under our credit facility, primarily to fund our acquisitions of Innosight and Pope Woodhead and our annual performance bonus payment, and made repayments on our credit facility of $106.5 million.</w:t>
      </w:r>
    </w:p>
    <w:p>
      <w:pPr>
        <w:spacing w:after="0" w:line="12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cash used in financing activities was $36.6 million for the six months ended June 30, 2016. During the first six months of 2016, we repurchased and retired $55.3 million of our common stock under our Share Repurchase Program, as defined below, and had net borrowings of $23.0 million under our credit facility, primarily to fund the acquisition of the U.S. assets of ADI Strategies and our annual performance bonus payment.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have a share repurchase program permitting us to repurchase up to $125 million of our common stock through October 31, 2017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 During the first six months of 2016, we repurchased and retired 982,192 shares for $55.3 million. No shares were repurchased in the first six months of 2017. As of June 30, 2017, $35.1 million remains available for share repurchases.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June 30, 2017, we had $250.0 million principal amount of our 1.25% convertible senior notes outstanding, $167.0 million outstanding under our senior secured credit facility, and $5.1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a $500 million senior secured revolving credit facility, subject to the terms of a Second Amended and Restated Credit Agreement dated as of March 31, 2015 and amended by the first amendment to the credit agreement dated February 25, 2017 (as amended and modified the "Amended Credit Facility"),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3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3.25 to 1.00 to 3.75 to 1.00, depending on the measurement period, and</w:t>
      </w:r>
    </w:p>
    <w:p>
      <w:pPr>
        <w:ind w:right="300" w:firstLine="8"/>
        <w:spacing w:after="0" w:line="302"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June 30, 2017, we were in compliance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with these financial covenants with a Consolidated Leverage Ratio of 3.22 to 1.00 and a Consolidated Interest Coverage Ratio of 15.78 to 1.00.</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$50 million plus 50% of cumulative consolidated net income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outstanding under the Amended Credit Agreement at June 30, 2017 totaled $167.0 million. These borrowings carried a weighted average interest rate of 2.9%, including the impact of the interest rate swap in effect as of June 30, 2017 and described in Note 10 “Derivative Instruments and Hedging Activity” within the notes to the consolidated financial statements. Borrowings outstanding under the Amended Credit Agreement at December 31, 2016 were $68.0 million and carried a weighted average interest rate of 2.5%. The borrowing capacity under the revolving credit facility is reduced by any outstanding borrowings under the revolving credit facility and outstanding letters of credit. At June 30, 2017, we had outstanding letters of credit totaling $2.6 million, which are primarily used as security deposits for our office facilities. As of June 30, 2017, the unused borrowing capacity under the revolving credit facility was $330.4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As of June 30, 2017, the aircraft had a carrying amount of $6.8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2016.</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business acquisitions completed during the first six months of 2017, we entered into contingent consideration arrangements, under which we may be required to pay post-closing consideration to the sellers if specific financial performance targets are met over a number of years as specified in the related purchase agreements. The aggregate fair value of the contingent consideration liabilities on the dates of acquisition was $15.5 million. Refer to Note 5 “Acquisitions” within the notes to the consolidated financial statements for additional information on the businesses acquired during the first six months of 2017.</w:t>
      </w:r>
    </w:p>
    <w:p>
      <w:pPr>
        <w:spacing w:after="0" w:line="1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discussed above in "Liquidity and Capital Resources," 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Refer to "Liquidity and Capital Resources" and Note 8 "Financing Arrangements" within the notes to the consolidated financial statements for additional information on our outstanding borrowings, including the schedule of monthly principal payments.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scheduled years of payments for the contingent consideration arrangements and promissory note described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12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Less than</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More than</w:t>
            </w:r>
          </w:p>
        </w:tc>
      </w:t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1 Year</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note—principal and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to our contractual obligations since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2016. Below is an update to our critical accounting policy related to the carrying value of goodwill and other intangible assets. There have been no material changes to our other critical accounting policies during the first six months of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Carrying Values of Goodwill and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Innosight</w:t>
      </w:r>
    </w:p>
    <w:p>
      <w:pPr>
        <w:spacing w:after="0" w:line="33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March 1, 2017, we completed our acquisition of Innosight, a growth strategy firm focused on helping companies navigate disruptive change, enable innovation, and manage strategic transformation. Innosight's results of operations have been included in our consolidated financial statements and results of operations of our Business Advisory segment from the date of acquisition. The goodwill recorded as part of the allocation of the purchase price of Innosight has been assigned to Innosight as a separate reporting unit, which is referred to as Strategy and Innovation.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ASU 2017-04</w:t>
      </w:r>
    </w:p>
    <w:p>
      <w:pPr>
        <w:spacing w:after="0" w:line="3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ASU 2017-04 eliminates Step 2 of the goodwill impairment test, which required us to determine the implied fair value of goodwill by allocating the reporting unit's fair value to each of its assets and liabilities as if the reporting unit was acquired in a business acquisition. Instead, the updated guidance requires an entity to perform its annual or interim goodwill impairment test by comparing the fair value of the reporting unit to its carrying value, and recognizing a non-cash impairment charge for the amount by which the carrying value exceeds the reporting unit's fair value with the loss not exceeding the total amount of goodwill allocated to that reporting unit. We adopted this guidance in the second quarter of 2017 on a prospective basis and applied the new guidance to our goodwill impairment tests described below.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2017 Goodwill Reallocation</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Effective June 1, 2017, we reorganized our internal financial reporting structure, which management uses to assess performance and allocate resources, by moving our Life Sciences practice from the Education and Life Sciences reporting unit and segment to its own reporting unit within the Business Advisory segment. The remaining Education and Life Sciences segment is now referred to as the Education segment. We will continue to operate under three reportable segments: Healthcare, Education, and Business Advisory. These three reportable segments will be comprised of the following six reporting units for goodwill impairment testing purpose: Healthcare, Education, Business Advisory, Enterprise Solutions and Analytics, Strategy and Innovation, and Life Sciences. The</w:t>
      </w:r>
    </w:p>
    <w:p>
      <w:pPr>
        <w:sectPr>
          <w:pgSz w:w="11900" w:h="16838" w:orient="portrait"/>
          <w:cols w:equalWidth="0" w:num="1">
            <w:col w:w="11400"/>
          </w:cols>
          <w:pgMar w:left="240" w:top="125" w:right="2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25" w:right="2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Business Advisory, Enterprise Solutions and Analytics, Strategy and Innovation, and Life Sciences reporting units comprise our Business Advisory segment.</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reorganization, we reallocated $10.8 million of the goodwill balance associated with the previous Education and Life Sciences reporting unit to the new Life Sciences reporting unit based on the relative fair values of the Life Sciences reporting unit and the remaining Education reporting unit. The estimated fair values were determined using a combination of the income approach and the market approach, utilizing the guideline company method, with a fifty-fifty weighting.</w:t>
      </w:r>
    </w:p>
    <w:p>
      <w:pPr>
        <w:spacing w:after="0" w:line="13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conjunction with the goodwill reallocation, we performed a goodwill impairment test for the goodwill balances within our Education reporting unit and Life Sciences reporting unit as of June 1, 2017. Based on the results of the goodwill impairment test, we determined that the fair values of our Education reporting unit and Life Sciences reporting unit exceeded their carrying values. As such, we concluded there was no indication of goodwill impairment for either reporting unit.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2017 Goodwill Impairment Analysis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Since the first quarter of 2016, the Healthcare segment, which is also a reporting unit, has experienced declining revenues, primarily driven by softness in our revenue cycle offering within our performance improvement solution. This softness is attributable to decreased demand for our services, the winding down of some of our larger projects and a growing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 initiatives undertaken to improve the financial performance of our Healthcare segment are yielding some positive impacts, hospitals and health systems continue to face regulatory and funding uncertainty; therefore, we remain cautious about near-term growth. As we have previously 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connection with our quarterly forecasting cycle, we now believe that the likely time frame to improve the financial results of this segment will take longer than originally anticipated. As such, we concluded that the fair value of the Healthcare reporting unit may no longer exceed its carrying value. In connection with the preparation of our financial statements for the quarter ended June 30, 2017, we performed an interim impairment test on the Healthcare reporting unit.</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the estimated fair value of the Healthcare reporting unit described below, we recorded a $209.6 million non-cash pretax charge in the second quarter of 2017 to reduce the carrying value of goodwill in our Healthcare reporting unit.</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goodwill impairment test was performed by comparing the fair value of the Healthcare reporting unit with its carrying value and, in accordance with ASU 2017-04 which we adopted in the second quarter of 2017, recognizing an impairment charge for the amount by which the carrying value exceeded the fair value. To estimate the fair value of the Healthcare reporting unit, we relied on a combination of the income approach and the market approach, with a fifty-fifty weighting.</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and a discount rate that reflects the risk inherent in the future cash flows. In estimating future cash flows, we relied on an internally generated 11-year forecast. For periods after the 11-year forecast, we assumed a long-term annual revenue growth rate of 3.5%. Our forecast is based on historical experience, current backlog, expected market demand, and other industry information. Our discounted cash flow analysis assumed a 10.0% weighted average cost of capital discount rate.</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are evaluated and adjusted based on specific characteristics of the Healthcare reporting unit relative to the selected guideline companies and applied to the reporting unit's operating data to arrive at an indication of value.</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Determining the fair value of any reporting unit requires us to make significant judgments, estimates, and assumptions. While we believe that the estimates and assumptions underlying our valuation of the Healthcare reporting unit are reasonable, these estimates and assumptions could have a significant impact on whether or not another non-cash impairment charge is recognized in the future and also the magnitude of any such charge. The results of an impairment analysis are as of a point in time. There is no assurance that the actual future earnings or cash flows of our Healthcare reporting unit will be consistent with our projections. We will monitor any changes to our assumptions and will evaluate goodwill as deemed warranted during future periods. Any future significant decline in our operations could result in another non-cash goodwill impairment charge, which could be material.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discussed above, as of June 30, 2017, we have six reporting units with goodwill balances: our Healthcare and Education segments, and our Business Advisory, Enterprise Solutions and Analytics, Strategy and Innovation, and Life Sciences practices, which together make up our Business Advisory operating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goodwill for each of our reporting units as of June 30, 2017 are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Carrying Value</w:t>
            </w:r>
          </w:p>
        </w:tc>
      </w:tr>
      <w:tr>
        <w:trPr>
          <w:trHeight w:val="234"/>
        </w:trPr>
        <w:tc>
          <w:tcPr>
            <w:tcW w:w="982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16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9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427,202</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102,830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Enterprise Solutions and Analytics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44,950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Strategy and Innovation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87,426</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Life Sciences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10,334</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688,836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Enterprise Solutions and Analytics reporting unit was established with the acquisition of Blue Stone International, LLC in 2013. Since that time, we have completed five additional business acquisitions within the reporting unit, most recently the acquisitions of the U.S. assets and international assets of ADI Strategies in May 2016 and April 2017, respectively.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its fair value equaling its carrying value. We performed our annual goodwill impairment test as of November 30, 2016, pursuant to our policy, and based on the results of the first step of the Enterprise Solutions and Analytics goodwill impairment analysis, the reporting unit’s fair value exceeded its carrying value by 11%. During the first half of 2017, the performance of Enterprise Solutions and Analytics continued to reasonably meet our expectations such that no triggering event for an interim goodwill impairment analysis was identified. Due to this reporting unit’s relatively low headroom, in the event that the financial performance of the reporting unit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w:t>
      </w:r>
    </w:p>
    <w:p>
      <w:pPr>
        <w:spacing w:after="0" w:line="12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 further discussion of our 2016 annual goodwill impairment test, see "Item 7. Management's Discussion and Analysis of Financial Condition and Results of Operations - Critical Accounting Policies" in our Annual Report on Form 10-K for the year ended December 31,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$228.6 million as of June 30, 2017, which represents the liability component of the $250.0 million principal balance. The estimated fair value of our Convertible Notes at June 30, 2017 was $239.4 million, and was determined based on the quoted bid price of the Convertible Notes in an over-the-counter market as of the last day of trading for the quarter ended June 30, 2017, which was $95.778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June 30, 2017, we had borrowings outstanding under the credit facility totaling $167.0 million that carried a weighted average interest rate of 2.9%, including the impact of the interest rate swap in effect as of June 30, 2017 described below. A hypothetical 100 basis point change in this interest rate would have a $1.1 million effect on our pretax income, on an annualized basis, including the effect of the interest rate swap. At December 31, 2016, our borrowings outstanding under the credit facility totaled $68.0 million and carried a weighted average interest rate of 2.5%, including the effect of the interest rate swap described below. The outstanding borrowings at December 31, 2016 were fully hedged against changes in interest rates by our interest rate swap, which had a notional amount of $68.0 million at December 31, 2016.</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hedge against the interest rate risks of our variable-rate borrowings. The swap had an initial notional amount of $60.0 million and amortized quarterly until April 2016. In April 2016,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further hedge against the interest rate risks of our variable-rate borrowings. Under the terms of the interest rate swap agreement, we will receive from the counterparty interest on the notional amount based on one-month LIBOR and we will pay to the counterparty a fixed rate of 1.900%.</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two aircraft, which has variable interest rates tied to LIBOR. At June 30, 2017, the outstanding principal amount of the promissory note was $5.1 million and carried an interest rate of 3.0%. A hypothetical 100 basis point change in this interest rate would have a $0.1 million effect on our pretax income, on an annualized basis.</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June 30, 2017, the fair value of the investment was $35.5 million, with a total cost basis of $27.9 million.</w:t>
      </w:r>
    </w:p>
    <w:p>
      <w:pPr>
        <w:spacing w:after="0" w:line="28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2017. Based on this evaluation, our Chief Executive Officer and Chief Financial Officer have concluded that, as of June 30, 2017,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2017 that has materially affected, or is reasonably likely to materially affect, our internal control over financial reporting.</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Quarterly Report on Form 10-Q.</w:t>
      </w:r>
    </w:p>
    <w:p>
      <w:pPr>
        <w:spacing w:after="0" w:line="1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40" w:lineRule="exact"/>
        <w:rPr>
          <w:sz w:val="20"/>
          <w:szCs w:val="20"/>
          <w:color w:val="auto"/>
        </w:rPr>
      </w:pPr>
    </w:p>
    <w:p>
      <w:pPr>
        <w:ind w:right="1980"/>
        <w:spacing w:after="0" w:line="264" w:lineRule="auto"/>
        <w:rPr>
          <w:sz w:val="20"/>
          <w:szCs w:val="20"/>
          <w:color w:val="auto"/>
        </w:rPr>
      </w:pPr>
      <w:r>
        <w:rPr>
          <w:rFonts w:ascii="Arial" w:cs="Arial" w:eastAsia="Arial" w:hAnsi="Arial"/>
          <w:sz w:val="18"/>
          <w:szCs w:val="18"/>
          <w:color w:val="auto"/>
        </w:rPr>
        <w:t>The following information updates, and should be read in conjunction with, the information disclosed in Part 1, Item 1A, “Risk Factors” of our Annual Report on Form 10-K for the fiscal year ended December 31, 2016, which was filed with the Securities and Exchange Commission on February 23, 2017.</w:t>
      </w:r>
    </w:p>
    <w:p>
      <w:pPr>
        <w:spacing w:after="0" w:line="123"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total assets reflect a substantial amount of intangible assets, primarily goodwill. At December 31, 2016, goodwill and other intangible assets totaled $881.2 million, or 76%, of our total assets. During the second quarter of 2017, we wrote off $209.6 million million of goodwill related to our Healthcare segment as discussed below, resulting in a total goodwill and other intangible asset balance of $778.3 million, or 71%, of our total assets as of June 30, 2017. The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w:t>
      </w:r>
    </w:p>
    <w:p>
      <w:pPr>
        <w:spacing w:after="0" w:line="13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Since the first quarter of 2016, the Healthcare segment, which is also a reporting unit, has experienced declining revenues, primarily driven by softness in our revenue cycle offering within our performance improvement solution. This softness is attributable to decreased demand for our services, the winding down of some of our larger projects and a growing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and workforce reductions to better align resources with market demand. While the initiatives undertaken to improve the financial performance of our Healthcare segment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are yielding some positive impacts, hospitals and health systems continue to face regulatory and funding uncertainty; therefore, we remain cautious about near-term growth. As we have previously disclosed in prior quarters, if the financial performance of our Healthcare segment continued to decline and did not meet our expectations, we could be required to perform an interim impairment analysis with respect to our carrying value of goodwill for the Healthcare reporting unit prior to our usual annual test. Based on forecasts prepared in connection with our quarterly forecasting cycle, we now believe that the likely time frame to improve the financial results of this segment will take longer than originally anticipated. As such, we concluded that the fair value of the Healthcare reporting unit may no longer exceed its carrying value. In connection with the preparation of our financial statements for the quarter ended June 30, 2017, we performed an interim impairment test on the Healthcare reporting unit. Based on the estimated fair value of the Healthcare reporting unit, we recorded a $209.6 million non-cash pretax charge in the second quarter of 2017 to reduce the carrying value of goodwill in our Healthcare reporting unit.</w:t>
      </w:r>
    </w:p>
    <w:p>
      <w:pPr>
        <w:spacing w:after="0" w:line="11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Determining the fair value of any reporting unit requires us to make significant judgments, estimates, and assumptions. While we believe that the estimates and assumptions underlying our valuation of the Healthcare reporting unit are reasonable, these estimates and assumptions could have a significant impact on whether or not another non-cash impairment charge is recognized in the future and also the magnitude of any such charge. The results of an impairment analysis are as of a point in time. There is no assurance that the actual future earnings or cash flows of our Healthcare reporting unit will be consistent with our projections. We will monitor any changes to our assumptions and will evaluate goodwill as deemed warranted during future periods. Any future significant decline in our operations could result in another non-cash goodwill impairment charge, which could be material.</w:t>
      </w:r>
    </w:p>
    <w:p>
      <w:pPr>
        <w:spacing w:after="0" w:line="1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Enterprise Solutions and Analytics reporting unit was established with the acquisition of Blue Stone International, LLC in 2013. Since that time, we have completed five additional business acquisitions within the reporting unit, most recently the acquisitions of the U.S. assets and international assets of ADI Strategies in May 2016 and April 2017, respectively.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its fair value equaling its carrying value. We performed our annual goodwill impairment test as of November 30, 2016, pursuant to our policy, and based on the results of the first step of the Enterprise Solutions and Analytics goodwill impairment analysis, the reporting unit’s fair value exceeded its carrying value by 11%. During the first half of 2017, the performance of Enterprise Solutions and Analytics continued to reasonably meet our expectations such that no triggering event for an interim goodwill impairment analysis was identified. Due to this reporting unit’s relatively low headroom, in the event that the financial performance of the reporting unit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w:t>
      </w:r>
    </w:p>
    <w:p>
      <w:pPr>
        <w:spacing w:after="0" w:line="12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 to “Critical Accounting Policies” within Part I - Item 2. “Management’s Discussion and Analysis of Financial Condition and Results of Operations” and Note 6 “Goodwill and Intangible Assets” within the notes to our consolidated financial statements for further discussion of business combinations, goodwill, intangible assets, and impairment tests performed in 2017.</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June 30, 2017, we reacquired 1,816 shares of common stock with a weighted average fair market value of $42.97 as a result of such tax withholdings.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October 2014, our board of directors authorized a share repurchase program pursuant to which we may, from time to time, repurchase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"Share Repurchase Program"). The Share Repurchase Program allows us to repurchase up to $125 million of our common stock and expires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31, 2017. The amount and timing of the repurchases will be determined by management and will depend on a variety of factors, including the trading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our common stock, capacity under our line of credit, general market and business conditions, and applicable legal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w w:val="91"/>
              </w:rPr>
              <w:t>Total 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Paid per Share</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center"/>
              <w:ind w:right="130"/>
              <w:spacing w:after="0" w:line="262" w:lineRule="exact"/>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5"/>
                <w:szCs w:val="25"/>
                <w:b w:val="1"/>
                <w:bCs w:val="1"/>
                <w:color w:val="auto"/>
                <w:w w:val="87"/>
                <w:vertAlign w:val="superscript"/>
              </w:rPr>
              <w:t>(2)</w:t>
            </w: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2017 - April 30, 2017</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May 1, 2017 - May 31, 2017</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243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2017 - June 30, 2017</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42.74</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1,816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40" w:lineRule="exact"/>
        <w:rPr>
          <w:sz w:val="20"/>
          <w:szCs w:val="20"/>
          <w:color w:val="auto"/>
        </w:rPr>
      </w:pPr>
    </w:p>
    <w:p>
      <w:pPr>
        <w:ind w:left="980" w:right="440" w:hanging="972"/>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 The following exhibits are filed as part of this Quarterly Report on Form 10-Q.</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line="297" w:lineRule="auto"/>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203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9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3"/>
        </w:trPr>
        <w:tc>
          <w:tcPr>
            <w:tcW w:w="5000" w:type="dxa"/>
            <w:vAlign w:val="bottom"/>
            <w:gridSpan w:val="2"/>
            <w:vMerge w:val="restart"/>
          </w:tcPr>
          <w:p>
            <w:pPr>
              <w:ind w:left="20"/>
              <w:spacing w:after="0"/>
              <w:rPr>
                <w:sz w:val="20"/>
                <w:szCs w:val="20"/>
                <w:color w:val="auto"/>
              </w:rPr>
            </w:pPr>
            <w:r>
              <w:rPr>
                <w:rFonts w:ascii="Arial" w:cs="Arial" w:eastAsia="Arial" w:hAnsi="Arial"/>
                <w:sz w:val="16"/>
                <w:szCs w:val="16"/>
                <w:color w:val="auto"/>
                <w:w w:val="96"/>
              </w:rPr>
              <w:t>Huron Consulting Group Inc. 2012 Omnibus Incentive Plan, as amended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DEF 14A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Appendix A</w:t>
            </w:r>
          </w:p>
        </w:tc>
        <w:tc>
          <w:tcPr>
            <w:tcW w:w="900" w:type="dxa"/>
            <w:vAlign w:val="bottom"/>
          </w:tcPr>
          <w:p>
            <w:pPr>
              <w:jc w:val="right"/>
              <w:spacing w:after="0"/>
              <w:rPr>
                <w:sz w:val="20"/>
                <w:szCs w:val="20"/>
                <w:color w:val="auto"/>
              </w:rPr>
            </w:pPr>
            <w:r>
              <w:rPr>
                <w:rFonts w:ascii="Arial" w:cs="Arial" w:eastAsia="Arial" w:hAnsi="Arial"/>
                <w:sz w:val="16"/>
                <w:szCs w:val="16"/>
                <w:color w:val="auto"/>
              </w:rPr>
              <w:t>3/27/2017</w:t>
            </w:r>
          </w:p>
        </w:tc>
        <w:tc>
          <w:tcPr>
            <w:tcW w:w="0" w:type="dxa"/>
            <w:vAlign w:val="bottom"/>
          </w:tcPr>
          <w:p>
            <w:pPr>
              <w:spacing w:after="0"/>
              <w:rPr>
                <w:sz w:val="1"/>
                <w:szCs w:val="1"/>
                <w:color w:val="auto"/>
              </w:rPr>
            </w:pPr>
          </w:p>
        </w:tc>
      </w:tr>
      <w:tr>
        <w:trPr>
          <w:trHeight w:val="81"/>
        </w:trPr>
        <w:tc>
          <w:tcPr>
            <w:tcW w:w="50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color w:val="auto"/>
        </w:rPr>
        <w:t>and restated effective May 1, 2017.</w:t>
      </w:r>
    </w:p>
    <w:p>
      <w:pPr>
        <w:spacing w:after="0" w:line="150" w:lineRule="exact"/>
        <w:rPr>
          <w:sz w:val="20"/>
          <w:szCs w:val="20"/>
          <w:color w:val="auto"/>
        </w:rPr>
      </w:pPr>
    </w:p>
    <w:p>
      <w:pPr>
        <w:sectPr>
          <w:pgSz w:w="11900" w:h="16838" w:orient="portrait"/>
          <w:cols w:equalWidth="0" w:num="2">
            <w:col w:w="540" w:space="240"/>
            <w:col w:w="1064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03"/>
        </w:trPr>
        <w:tc>
          <w:tcPr>
            <w:tcW w:w="680" w:type="dxa"/>
            <w:vAlign w:val="bottom"/>
          </w:tcPr>
          <w:p>
            <w:pPr>
              <w:spacing w:after="0"/>
              <w:rPr>
                <w:sz w:val="20"/>
                <w:szCs w:val="20"/>
                <w:color w:val="auto"/>
              </w:rPr>
            </w:pPr>
            <w:r>
              <w:rPr>
                <w:rFonts w:ascii="Arial" w:cs="Arial" w:eastAsia="Arial" w:hAnsi="Arial"/>
                <w:sz w:val="16"/>
                <w:szCs w:val="16"/>
                <w:color w:val="auto"/>
              </w:rPr>
              <w:t>31.1</w:t>
            </w:r>
          </w:p>
        </w:tc>
        <w:tc>
          <w:tcPr>
            <w:tcW w:w="5160" w:type="dxa"/>
            <w:vAlign w:val="bottom"/>
          </w:tcPr>
          <w:p>
            <w:pPr>
              <w:ind w:left="80"/>
              <w:spacing w:after="0"/>
              <w:rPr>
                <w:sz w:val="20"/>
                <w:szCs w:val="20"/>
                <w:color w:val="auto"/>
              </w:rPr>
            </w:pPr>
            <w:r>
              <w:rPr>
                <w:rFonts w:ascii="Arial" w:cs="Arial" w:eastAsia="Arial" w:hAnsi="Arial"/>
                <w:sz w:val="16"/>
                <w:szCs w:val="16"/>
                <w:color w:val="auto"/>
              </w:rPr>
              <w:t>Certification of the Chief Executive Officer, pursuant to Rule 13a-</w:t>
            </w:r>
          </w:p>
        </w:tc>
        <w:tc>
          <w:tcPr>
            <w:tcW w:w="132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03"/>
        </w:trPr>
        <w:tc>
          <w:tcPr>
            <w:tcW w:w="68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rPr>
              <w:t>14(a)/15d-14(a), as adopted pursuant to Section 302 of the Sarbanes-</w:t>
            </w:r>
          </w:p>
        </w:tc>
        <w:tc>
          <w:tcPr>
            <w:tcW w:w="1320" w:type="dxa"/>
            <w:vAlign w:val="bottom"/>
          </w:tcPr>
          <w:p>
            <w:pPr>
              <w:spacing w:after="0"/>
              <w:rPr>
                <w:sz w:val="17"/>
                <w:szCs w:val="17"/>
                <w:color w:val="auto"/>
              </w:rPr>
            </w:pPr>
          </w:p>
        </w:tc>
      </w:tr>
      <w:tr>
        <w:trPr>
          <w:trHeight w:val="206"/>
        </w:trPr>
        <w:tc>
          <w:tcPr>
            <w:tcW w:w="68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rPr>
              <w:t>Oxley Act of 2002.</w:t>
            </w:r>
          </w:p>
        </w:tc>
        <w:tc>
          <w:tcPr>
            <w:tcW w:w="1320" w:type="dxa"/>
            <w:vAlign w:val="bottom"/>
          </w:tcPr>
          <w:p>
            <w:pPr>
              <w:spacing w:after="0"/>
              <w:rPr>
                <w:sz w:val="17"/>
                <w:szCs w:val="17"/>
                <w:color w:val="auto"/>
              </w:rPr>
            </w:pPr>
          </w:p>
        </w:tc>
      </w:tr>
      <w:tr>
        <w:trPr>
          <w:trHeight w:val="253"/>
        </w:trPr>
        <w:tc>
          <w:tcPr>
            <w:tcW w:w="680" w:type="dxa"/>
            <w:vAlign w:val="bottom"/>
          </w:tcPr>
          <w:p>
            <w:pPr>
              <w:spacing w:after="0"/>
              <w:rPr>
                <w:sz w:val="20"/>
                <w:szCs w:val="20"/>
                <w:color w:val="auto"/>
              </w:rPr>
            </w:pPr>
            <w:r>
              <w:rPr>
                <w:rFonts w:ascii="Arial" w:cs="Arial" w:eastAsia="Arial" w:hAnsi="Arial"/>
                <w:sz w:val="16"/>
                <w:szCs w:val="16"/>
                <w:color w:val="auto"/>
              </w:rPr>
              <w:t>31.2</w:t>
            </w:r>
          </w:p>
        </w:tc>
        <w:tc>
          <w:tcPr>
            <w:tcW w:w="5160" w:type="dxa"/>
            <w:vAlign w:val="bottom"/>
          </w:tcPr>
          <w:p>
            <w:pPr>
              <w:ind w:left="80"/>
              <w:spacing w:after="0"/>
              <w:rPr>
                <w:sz w:val="20"/>
                <w:szCs w:val="20"/>
                <w:color w:val="auto"/>
              </w:rPr>
            </w:pPr>
            <w:r>
              <w:rPr>
                <w:rFonts w:ascii="Arial" w:cs="Arial" w:eastAsia="Arial" w:hAnsi="Arial"/>
                <w:sz w:val="16"/>
                <w:szCs w:val="16"/>
                <w:color w:val="auto"/>
              </w:rPr>
              <w:t>Certification of the Chief Financial Officer, pursuant to Rule 13a-</w:t>
            </w:r>
          </w:p>
        </w:tc>
        <w:tc>
          <w:tcPr>
            <w:tcW w:w="132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03"/>
        </w:trPr>
        <w:tc>
          <w:tcPr>
            <w:tcW w:w="68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rPr>
              <w:t>14(a)/15d-14(a), as adopted pursuant to Section 302 of the Sarbanes-</w:t>
            </w:r>
          </w:p>
        </w:tc>
        <w:tc>
          <w:tcPr>
            <w:tcW w:w="1320" w:type="dxa"/>
            <w:vAlign w:val="bottom"/>
          </w:tcPr>
          <w:p>
            <w:pPr>
              <w:spacing w:after="0"/>
              <w:rPr>
                <w:sz w:val="17"/>
                <w:szCs w:val="17"/>
                <w:color w:val="auto"/>
              </w:rPr>
            </w:pPr>
          </w:p>
        </w:tc>
      </w:tr>
      <w:tr>
        <w:trPr>
          <w:trHeight w:val="206"/>
        </w:trPr>
        <w:tc>
          <w:tcPr>
            <w:tcW w:w="68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rPr>
              <w:t>Oxley Act of 2002.</w:t>
            </w:r>
          </w:p>
        </w:tc>
        <w:tc>
          <w:tcPr>
            <w:tcW w:w="1320" w:type="dxa"/>
            <w:vAlign w:val="bottom"/>
          </w:tcPr>
          <w:p>
            <w:pPr>
              <w:spacing w:after="0"/>
              <w:rPr>
                <w:sz w:val="17"/>
                <w:szCs w:val="17"/>
                <w:color w:val="auto"/>
              </w:rPr>
            </w:pPr>
          </w:p>
        </w:tc>
      </w:tr>
      <w:tr>
        <w:trPr>
          <w:trHeight w:val="253"/>
        </w:trPr>
        <w:tc>
          <w:tcPr>
            <w:tcW w:w="680" w:type="dxa"/>
            <w:vAlign w:val="bottom"/>
          </w:tcPr>
          <w:p>
            <w:pPr>
              <w:spacing w:after="0"/>
              <w:rPr>
                <w:sz w:val="20"/>
                <w:szCs w:val="20"/>
                <w:color w:val="auto"/>
              </w:rPr>
            </w:pPr>
            <w:r>
              <w:rPr>
                <w:rFonts w:ascii="Arial" w:cs="Arial" w:eastAsia="Arial" w:hAnsi="Arial"/>
                <w:sz w:val="16"/>
                <w:szCs w:val="16"/>
                <w:color w:val="auto"/>
              </w:rPr>
              <w:t>32.1</w:t>
            </w:r>
          </w:p>
        </w:tc>
        <w:tc>
          <w:tcPr>
            <w:tcW w:w="5160" w:type="dxa"/>
            <w:vAlign w:val="bottom"/>
          </w:tcPr>
          <w:p>
            <w:pPr>
              <w:ind w:left="80"/>
              <w:spacing w:after="0"/>
              <w:rPr>
                <w:sz w:val="20"/>
                <w:szCs w:val="20"/>
                <w:color w:val="auto"/>
              </w:rPr>
            </w:pPr>
            <w:r>
              <w:rPr>
                <w:rFonts w:ascii="Arial" w:cs="Arial" w:eastAsia="Arial" w:hAnsi="Arial"/>
                <w:sz w:val="16"/>
                <w:szCs w:val="16"/>
                <w:color w:val="auto"/>
                <w:w w:val="97"/>
              </w:rPr>
              <w:t>Certification of the Chief Executive Officer, pursuant to 18 U.S.C. Section</w:t>
            </w:r>
          </w:p>
        </w:tc>
        <w:tc>
          <w:tcPr>
            <w:tcW w:w="1320" w:type="dxa"/>
            <w:vAlign w:val="bottom"/>
          </w:tcPr>
          <w:p>
            <w:pPr>
              <w:ind w:left="1200"/>
              <w:spacing w:after="0"/>
              <w:rPr>
                <w:sz w:val="20"/>
                <w:szCs w:val="20"/>
                <w:color w:val="auto"/>
              </w:rPr>
            </w:pPr>
            <w:r>
              <w:rPr>
                <w:rFonts w:ascii="Arial" w:cs="Arial" w:eastAsia="Arial" w:hAnsi="Arial"/>
                <w:sz w:val="16"/>
                <w:szCs w:val="16"/>
                <w:color w:val="auto"/>
                <w:w w:val="93"/>
              </w:rPr>
              <w:t>X</w:t>
            </w:r>
          </w:p>
        </w:tc>
      </w:tr>
      <w:tr>
        <w:trPr>
          <w:trHeight w:val="203"/>
        </w:trPr>
        <w:tc>
          <w:tcPr>
            <w:tcW w:w="68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w w:val="99"/>
              </w:rPr>
              <w:t>1350, as adopted pursuant to Section 906 of the Sarbanes-Oxley Act of</w:t>
            </w:r>
          </w:p>
        </w:tc>
        <w:tc>
          <w:tcPr>
            <w:tcW w:w="1320" w:type="dxa"/>
            <w:vAlign w:val="bottom"/>
          </w:tcPr>
          <w:p>
            <w:pPr>
              <w:spacing w:after="0"/>
              <w:rPr>
                <w:sz w:val="17"/>
                <w:szCs w:val="17"/>
                <w:color w:val="auto"/>
              </w:rPr>
            </w:pPr>
          </w:p>
        </w:tc>
      </w:tr>
      <w:tr>
        <w:trPr>
          <w:trHeight w:val="206"/>
        </w:trPr>
        <w:tc>
          <w:tcPr>
            <w:tcW w:w="68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rPr>
              <w:t>2002.</w:t>
            </w:r>
          </w:p>
        </w:tc>
        <w:tc>
          <w:tcPr>
            <w:tcW w:w="1320" w:type="dxa"/>
            <w:vAlign w:val="bottom"/>
          </w:tcPr>
          <w:p>
            <w:pPr>
              <w:spacing w:after="0"/>
              <w:rPr>
                <w:sz w:val="17"/>
                <w:szCs w:val="17"/>
                <w:color w:val="auto"/>
              </w:rPr>
            </w:pPr>
          </w:p>
        </w:tc>
      </w:tr>
      <w:tr>
        <w:trPr>
          <w:trHeight w:val="253"/>
        </w:trPr>
        <w:tc>
          <w:tcPr>
            <w:tcW w:w="680" w:type="dxa"/>
            <w:vAlign w:val="bottom"/>
          </w:tcPr>
          <w:p>
            <w:pPr>
              <w:spacing w:after="0"/>
              <w:rPr>
                <w:sz w:val="20"/>
                <w:szCs w:val="20"/>
                <w:color w:val="auto"/>
              </w:rPr>
            </w:pPr>
            <w:r>
              <w:rPr>
                <w:rFonts w:ascii="Arial" w:cs="Arial" w:eastAsia="Arial" w:hAnsi="Arial"/>
                <w:sz w:val="16"/>
                <w:szCs w:val="16"/>
                <w:color w:val="auto"/>
              </w:rPr>
              <w:t>32.2</w:t>
            </w:r>
          </w:p>
        </w:tc>
        <w:tc>
          <w:tcPr>
            <w:tcW w:w="5160" w:type="dxa"/>
            <w:vAlign w:val="bottom"/>
          </w:tcPr>
          <w:p>
            <w:pPr>
              <w:ind w:left="80"/>
              <w:spacing w:after="0"/>
              <w:rPr>
                <w:sz w:val="20"/>
                <w:szCs w:val="20"/>
                <w:color w:val="auto"/>
              </w:rPr>
            </w:pPr>
            <w:r>
              <w:rPr>
                <w:rFonts w:ascii="Arial" w:cs="Arial" w:eastAsia="Arial" w:hAnsi="Arial"/>
                <w:sz w:val="16"/>
                <w:szCs w:val="16"/>
                <w:color w:val="auto"/>
                <w:w w:val="98"/>
              </w:rPr>
              <w:t>Certification of the Chief Financial Officer, pursuant to 18 U.S.C. Section</w:t>
            </w:r>
          </w:p>
        </w:tc>
        <w:tc>
          <w:tcPr>
            <w:tcW w:w="1320" w:type="dxa"/>
            <w:vAlign w:val="bottom"/>
          </w:tcPr>
          <w:p>
            <w:pPr>
              <w:ind w:left="1200"/>
              <w:spacing w:after="0"/>
              <w:rPr>
                <w:sz w:val="20"/>
                <w:szCs w:val="20"/>
                <w:color w:val="auto"/>
              </w:rPr>
            </w:pPr>
            <w:r>
              <w:rPr>
                <w:rFonts w:ascii="Arial" w:cs="Arial" w:eastAsia="Arial" w:hAnsi="Arial"/>
                <w:sz w:val="16"/>
                <w:szCs w:val="16"/>
                <w:color w:val="auto"/>
                <w:w w:val="93"/>
              </w:rPr>
              <w:t>X</w:t>
            </w:r>
          </w:p>
        </w:tc>
      </w:tr>
      <w:tr>
        <w:trPr>
          <w:trHeight w:val="203"/>
        </w:trPr>
        <w:tc>
          <w:tcPr>
            <w:tcW w:w="68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w w:val="99"/>
              </w:rPr>
              <w:t>1350, as adopted pursuant to Section 906 of the Sarbanes-Oxley Act of</w:t>
            </w:r>
          </w:p>
        </w:tc>
        <w:tc>
          <w:tcPr>
            <w:tcW w:w="1320" w:type="dxa"/>
            <w:vAlign w:val="bottom"/>
          </w:tcPr>
          <w:p>
            <w:pPr>
              <w:spacing w:after="0"/>
              <w:rPr>
                <w:sz w:val="17"/>
                <w:szCs w:val="17"/>
                <w:color w:val="auto"/>
              </w:rPr>
            </w:pPr>
          </w:p>
        </w:tc>
      </w:tr>
      <w:tr>
        <w:trPr>
          <w:trHeight w:val="206"/>
        </w:trPr>
        <w:tc>
          <w:tcPr>
            <w:tcW w:w="680" w:type="dxa"/>
            <w:vAlign w:val="bottom"/>
          </w:tcPr>
          <w:p>
            <w:pPr>
              <w:spacing w:after="0"/>
              <w:rPr>
                <w:sz w:val="17"/>
                <w:szCs w:val="17"/>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rPr>
              <w:t>2002.</w:t>
            </w:r>
          </w:p>
        </w:tc>
        <w:tc>
          <w:tcPr>
            <w:tcW w:w="1320" w:type="dxa"/>
            <w:vAlign w:val="bottom"/>
          </w:tcPr>
          <w:p>
            <w:pPr>
              <w:spacing w:after="0"/>
              <w:rPr>
                <w:sz w:val="17"/>
                <w:szCs w:val="17"/>
                <w:color w:val="auto"/>
              </w:rPr>
            </w:pPr>
          </w:p>
        </w:tc>
      </w:tr>
      <w:tr>
        <w:trPr>
          <w:trHeight w:val="257"/>
        </w:trPr>
        <w:tc>
          <w:tcPr>
            <w:tcW w:w="680" w:type="dxa"/>
            <w:vAlign w:val="bottom"/>
          </w:tcPr>
          <w:p>
            <w:pPr>
              <w:spacing w:after="0"/>
              <w:rPr>
                <w:sz w:val="20"/>
                <w:szCs w:val="20"/>
                <w:color w:val="auto"/>
              </w:rPr>
            </w:pPr>
            <w:r>
              <w:rPr>
                <w:rFonts w:ascii="Arial" w:cs="Arial" w:eastAsia="Arial" w:hAnsi="Arial"/>
                <w:sz w:val="16"/>
                <w:szCs w:val="16"/>
                <w:color w:val="auto"/>
              </w:rPr>
              <w:t>101.INS</w:t>
            </w:r>
          </w:p>
        </w:tc>
        <w:tc>
          <w:tcPr>
            <w:tcW w:w="5160" w:type="dxa"/>
            <w:vAlign w:val="bottom"/>
          </w:tcPr>
          <w:p>
            <w:pPr>
              <w:ind w:left="80"/>
              <w:spacing w:after="0"/>
              <w:rPr>
                <w:sz w:val="20"/>
                <w:szCs w:val="20"/>
                <w:color w:val="auto"/>
              </w:rPr>
            </w:pPr>
            <w:r>
              <w:rPr>
                <w:rFonts w:ascii="Arial" w:cs="Arial" w:eastAsia="Arial" w:hAnsi="Arial"/>
                <w:sz w:val="16"/>
                <w:szCs w:val="16"/>
                <w:color w:val="auto"/>
              </w:rPr>
              <w:t>XBRL Instance Document</w:t>
            </w:r>
          </w:p>
        </w:tc>
        <w:tc>
          <w:tcPr>
            <w:tcW w:w="132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70"/>
        </w:trPr>
        <w:tc>
          <w:tcPr>
            <w:tcW w:w="680" w:type="dxa"/>
            <w:vAlign w:val="bottom"/>
          </w:tcPr>
          <w:p>
            <w:pPr>
              <w:spacing w:after="0"/>
              <w:rPr>
                <w:sz w:val="20"/>
                <w:szCs w:val="20"/>
                <w:color w:val="auto"/>
              </w:rPr>
            </w:pPr>
            <w:r>
              <w:rPr>
                <w:rFonts w:ascii="Arial" w:cs="Arial" w:eastAsia="Arial" w:hAnsi="Arial"/>
                <w:sz w:val="16"/>
                <w:szCs w:val="16"/>
                <w:color w:val="auto"/>
              </w:rPr>
              <w:t>101.SCH</w:t>
            </w:r>
          </w:p>
        </w:tc>
        <w:tc>
          <w:tcPr>
            <w:tcW w:w="5160" w:type="dxa"/>
            <w:vAlign w:val="bottom"/>
          </w:tcPr>
          <w:p>
            <w:pPr>
              <w:ind w:left="80"/>
              <w:spacing w:after="0"/>
              <w:rPr>
                <w:sz w:val="20"/>
                <w:szCs w:val="20"/>
                <w:color w:val="auto"/>
              </w:rPr>
            </w:pPr>
            <w:r>
              <w:rPr>
                <w:rFonts w:ascii="Arial" w:cs="Arial" w:eastAsia="Arial" w:hAnsi="Arial"/>
                <w:sz w:val="16"/>
                <w:szCs w:val="16"/>
                <w:color w:val="auto"/>
              </w:rPr>
              <w:t>XBRL Taxonomy Extension Schema Document</w:t>
            </w:r>
          </w:p>
        </w:tc>
        <w:tc>
          <w:tcPr>
            <w:tcW w:w="132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70"/>
        </w:trPr>
        <w:tc>
          <w:tcPr>
            <w:tcW w:w="680" w:type="dxa"/>
            <w:vAlign w:val="bottom"/>
          </w:tcPr>
          <w:p>
            <w:pPr>
              <w:spacing w:after="0"/>
              <w:rPr>
                <w:sz w:val="20"/>
                <w:szCs w:val="20"/>
                <w:color w:val="auto"/>
              </w:rPr>
            </w:pPr>
            <w:r>
              <w:rPr>
                <w:rFonts w:ascii="Arial" w:cs="Arial" w:eastAsia="Arial" w:hAnsi="Arial"/>
                <w:sz w:val="16"/>
                <w:szCs w:val="16"/>
                <w:color w:val="auto"/>
              </w:rPr>
              <w:t>101.CAL</w:t>
            </w:r>
          </w:p>
        </w:tc>
        <w:tc>
          <w:tcPr>
            <w:tcW w:w="5160" w:type="dxa"/>
            <w:vAlign w:val="bottom"/>
          </w:tcPr>
          <w:p>
            <w:pPr>
              <w:ind w:left="80"/>
              <w:spacing w:after="0"/>
              <w:rPr>
                <w:sz w:val="20"/>
                <w:szCs w:val="20"/>
                <w:color w:val="auto"/>
              </w:rPr>
            </w:pPr>
            <w:r>
              <w:rPr>
                <w:rFonts w:ascii="Arial" w:cs="Arial" w:eastAsia="Arial" w:hAnsi="Arial"/>
                <w:sz w:val="16"/>
                <w:szCs w:val="16"/>
                <w:color w:val="auto"/>
              </w:rPr>
              <w:t>XBRL Taxonomy Extension Calculation Linkbase Document</w:t>
            </w:r>
          </w:p>
        </w:tc>
        <w:tc>
          <w:tcPr>
            <w:tcW w:w="132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70"/>
        </w:trPr>
        <w:tc>
          <w:tcPr>
            <w:tcW w:w="680" w:type="dxa"/>
            <w:vAlign w:val="bottom"/>
          </w:tcPr>
          <w:p>
            <w:pPr>
              <w:spacing w:after="0"/>
              <w:rPr>
                <w:sz w:val="20"/>
                <w:szCs w:val="20"/>
                <w:color w:val="auto"/>
              </w:rPr>
            </w:pPr>
            <w:r>
              <w:rPr>
                <w:rFonts w:ascii="Arial" w:cs="Arial" w:eastAsia="Arial" w:hAnsi="Arial"/>
                <w:sz w:val="16"/>
                <w:szCs w:val="16"/>
                <w:color w:val="auto"/>
              </w:rPr>
              <w:t>101.LAB</w:t>
            </w:r>
          </w:p>
        </w:tc>
        <w:tc>
          <w:tcPr>
            <w:tcW w:w="5160" w:type="dxa"/>
            <w:vAlign w:val="bottom"/>
          </w:tcPr>
          <w:p>
            <w:pPr>
              <w:ind w:left="80"/>
              <w:spacing w:after="0"/>
              <w:rPr>
                <w:sz w:val="20"/>
                <w:szCs w:val="20"/>
                <w:color w:val="auto"/>
              </w:rPr>
            </w:pPr>
            <w:r>
              <w:rPr>
                <w:rFonts w:ascii="Arial" w:cs="Arial" w:eastAsia="Arial" w:hAnsi="Arial"/>
                <w:sz w:val="16"/>
                <w:szCs w:val="16"/>
                <w:color w:val="auto"/>
              </w:rPr>
              <w:t>XBRL Taxonomy Extension Label Linkbase Document</w:t>
            </w:r>
          </w:p>
        </w:tc>
        <w:tc>
          <w:tcPr>
            <w:tcW w:w="132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70"/>
        </w:trPr>
        <w:tc>
          <w:tcPr>
            <w:tcW w:w="680" w:type="dxa"/>
            <w:vAlign w:val="bottom"/>
          </w:tcPr>
          <w:p>
            <w:pPr>
              <w:spacing w:after="0"/>
              <w:rPr>
                <w:sz w:val="20"/>
                <w:szCs w:val="20"/>
                <w:color w:val="auto"/>
              </w:rPr>
            </w:pPr>
            <w:r>
              <w:rPr>
                <w:rFonts w:ascii="Arial" w:cs="Arial" w:eastAsia="Arial" w:hAnsi="Arial"/>
                <w:sz w:val="16"/>
                <w:szCs w:val="16"/>
                <w:color w:val="auto"/>
              </w:rPr>
              <w:t>101.PRE</w:t>
            </w:r>
          </w:p>
        </w:tc>
        <w:tc>
          <w:tcPr>
            <w:tcW w:w="5160" w:type="dxa"/>
            <w:vAlign w:val="bottom"/>
          </w:tcPr>
          <w:p>
            <w:pPr>
              <w:ind w:left="80"/>
              <w:spacing w:after="0"/>
              <w:rPr>
                <w:sz w:val="20"/>
                <w:szCs w:val="20"/>
                <w:color w:val="auto"/>
              </w:rPr>
            </w:pPr>
            <w:r>
              <w:rPr>
                <w:rFonts w:ascii="Arial" w:cs="Arial" w:eastAsia="Arial" w:hAnsi="Arial"/>
                <w:sz w:val="16"/>
                <w:szCs w:val="16"/>
                <w:color w:val="auto"/>
              </w:rPr>
              <w:t>XBRL Taxonomy Extension Presentation Linkbase Document</w:t>
            </w:r>
          </w:p>
        </w:tc>
        <w:tc>
          <w:tcPr>
            <w:tcW w:w="132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70"/>
        </w:trPr>
        <w:tc>
          <w:tcPr>
            <w:tcW w:w="680" w:type="dxa"/>
            <w:vAlign w:val="bottom"/>
          </w:tcPr>
          <w:p>
            <w:pPr>
              <w:spacing w:after="0"/>
              <w:rPr>
                <w:sz w:val="20"/>
                <w:szCs w:val="20"/>
                <w:color w:val="auto"/>
              </w:rPr>
            </w:pPr>
            <w:r>
              <w:rPr>
                <w:rFonts w:ascii="Arial" w:cs="Arial" w:eastAsia="Arial" w:hAnsi="Arial"/>
                <w:sz w:val="16"/>
                <w:szCs w:val="16"/>
                <w:color w:val="auto"/>
              </w:rPr>
              <w:t>101.DEF</w:t>
            </w:r>
          </w:p>
        </w:tc>
        <w:tc>
          <w:tcPr>
            <w:tcW w:w="5160" w:type="dxa"/>
            <w:vAlign w:val="bottom"/>
          </w:tcPr>
          <w:p>
            <w:pPr>
              <w:ind w:left="80"/>
              <w:spacing w:after="0"/>
              <w:rPr>
                <w:sz w:val="20"/>
                <w:szCs w:val="20"/>
                <w:color w:val="auto"/>
              </w:rPr>
            </w:pPr>
            <w:r>
              <w:rPr>
                <w:rFonts w:ascii="Arial" w:cs="Arial" w:eastAsia="Arial" w:hAnsi="Arial"/>
                <w:sz w:val="16"/>
                <w:szCs w:val="16"/>
                <w:color w:val="auto"/>
              </w:rPr>
              <w:t>XBRL Taxonomy Extension Definition Linkbase Document</w:t>
            </w:r>
          </w:p>
        </w:tc>
        <w:tc>
          <w:tcPr>
            <w:tcW w:w="1320" w:type="dxa"/>
            <w:vAlign w:val="bottom"/>
          </w:tcPr>
          <w:p>
            <w:pPr>
              <w:ind w:left="240"/>
              <w:spacing w:after="0"/>
              <w:rPr>
                <w:sz w:val="20"/>
                <w:szCs w:val="20"/>
                <w:color w:val="auto"/>
              </w:rPr>
            </w:pPr>
            <w:r>
              <w:rPr>
                <w:rFonts w:ascii="Arial" w:cs="Arial" w:eastAsia="Arial" w:hAnsi="Arial"/>
                <w:sz w:val="16"/>
                <w:szCs w:val="16"/>
                <w:color w:val="auto"/>
              </w:rPr>
              <w:t>X</w:t>
            </w:r>
          </w:p>
        </w:tc>
      </w:tr>
    </w:tbl>
    <w:p>
      <w:pPr>
        <w:spacing w:after="0" w:line="194" w:lineRule="exact"/>
        <w:rPr>
          <w:sz w:val="20"/>
          <w:szCs w:val="20"/>
          <w:color w:val="auto"/>
        </w:rPr>
      </w:pPr>
    </w:p>
    <w:p>
      <w:pPr>
        <w:ind w:left="5620" w:right="5140" w:hanging="5612"/>
        <w:spacing w:after="0" w:line="870" w:lineRule="auto"/>
        <w:tabs>
          <w:tab w:leader="none" w:pos="13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Indicates the exhibit is a management contract or compensatory plan or arrangement. 54</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280" w:val="left"/>
          <w:tab w:leader="none" w:pos="80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125"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64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64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June 30, 2017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6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June 30, 2017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64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lowerRoman"/>
      <w:start w:val="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4"/>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2019-12-29T04:52:56Z</dcterms:created>
  <dcterms:modified xsi:type="dcterms:W3CDTF">2019-12-29T04:52:56Z</dcterms:modified>
</cp:coreProperties>
</file>