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7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August 17, 2009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Huron Consulting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000-50976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01-0666114</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170" w:lineRule="exact"/>
        <w:rPr>
          <w:sz w:val="24"/>
          <w:szCs w:val="24"/>
          <w:color w:val="auto"/>
        </w:rPr>
      </w:pPr>
    </w:p>
    <w:p>
      <w:pPr>
        <w:sectPr>
          <w:pgSz w:w="11900" w:h="16838" w:orient="portrait"/>
          <w:cols w:equalWidth="0" w:num="3">
            <w:col w:w="4340" w:space="720"/>
            <w:col w:w="3140" w:space="720"/>
            <w:col w:w="2100"/>
          </w:cols>
          <w:pgMar w:left="240" w:top="301"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550 West Van Buren Street</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Chicago, Illinois</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60607</w:t>
      </w: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399"/>
        <w:spacing w:after="0"/>
        <w:rPr>
          <w:sz w:val="20"/>
          <w:szCs w:val="20"/>
          <w:color w:val="auto"/>
        </w:rPr>
      </w:pPr>
      <w:r>
        <w:rPr>
          <w:rFonts w:ascii="Arial" w:cs="Arial" w:eastAsia="Arial" w:hAnsi="Arial"/>
          <w:sz w:val="14"/>
          <w:szCs w:val="14"/>
          <w:b w:val="1"/>
          <w:bCs w:val="1"/>
          <w:color w:val="auto"/>
        </w:rPr>
        <w:t>(Zip Code)</w:t>
      </w:r>
    </w:p>
    <w:p>
      <w:pPr>
        <w:spacing w:after="0" w:line="13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(312) 583-8700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17, 2009, Huron Consulting Group Inc. (the “Company”) issued a press release announcing its financial results for the three and six months ended June 30, 2009. The Company also announced it has completed the restatement of its financial statements for the fiscal years ended 2006, 2007 and 2008, as well as for the quarter ended March 31, 2009. Management has modified its previous assessments of the Company’s disclosure controls and procedures and internal control over financial reporting in light of the restatement. The modified assessments are described under Item 9A of the Company’s amended Annual Report on Form 10-K/A for the year ended December 31, 2008 and under Part I, Item 4 of the Company’s amended Quarterly Report on Form 10-Q/A for the period ended March 31, 2009 and Quarterly Report on Form 10-Q for the period ended June 30, 2009, all of which were filed with the U.S. Securities and Exchange Commission on August 17, 2009.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filed as Exhibit 99.1 attached hereto and is incorporated in this report as if fully set forth herein.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furnished pursuant to this Item 2.02 and the attached Exhibit 99.1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17, 2009</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8400" w:val="left"/>
          <w:tab w:leader="none" w:pos="87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17,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James K. Rojas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K. Rojas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17, 2009</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17, 2009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Announces Second Quarter 2009 Financial Results and Filing of Second Quarter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Completes Restatement For Fiscal Years 2006, 2007 and 2008 and Q1 2009</w:t>
      </w:r>
    </w:p>
    <w:p>
      <w:pPr>
        <w:spacing w:after="0" w:line="8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$165.8 million for Q2 2009 increased 15.6% from $143.4 million in Q2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diluted earnings per share was $0.47 in Q2 2009 compared to $0.06 in Q2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adjusted diluted earnings per share was $0.84 in Q2 2009 compared to $1.06 for Q2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filed restated financials for fiscal years 2006, 2007 and 2008 and Q1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on net income and EBITDA</w:t>
      </w:r>
      <w:r>
        <w:rPr>
          <w:rFonts w:ascii="Arial" w:cs="Arial" w:eastAsia="Arial" w:hAnsi="Arial"/>
          <w:sz w:val="11"/>
          <w:szCs w:val="11"/>
          <w:color w:val="auto"/>
        </w:rPr>
        <w:t>(6)</w:t>
      </w:r>
      <w:r>
        <w:rPr>
          <w:rFonts w:ascii="Arial" w:cs="Arial" w:eastAsia="Arial" w:hAnsi="Arial"/>
          <w:sz w:val="18"/>
          <w:szCs w:val="18"/>
          <w:color w:val="auto"/>
        </w:rPr>
        <w:t xml:space="preserve"> for all restated periods totaled approximately $56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Restatement has no impact on cash, cash flows from operations or Adjusted EBITDA.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confirms full year 2009 revenue guidance of $650 million to $680 million.</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CHICAGO – August 17, 2009—Huron Consulting Group Inc. (NASDAQ: HURN), a leading provider of business consulting services, today announced its financial results for the second quarter ended June 30, 2009. Huron also announced that it has completed its restatement of financial statements for fiscal years 2006, 2007 and 2008 and Q1 2009. The Company filed its amended annual report on Form 10K/A for the year ended December 31, 2008, its amended quarterly report on Form 10Q/A for the quarter ended March 31, 2009, and Form 10Q for the quarter ended June 30, 2009 with the Securities and Exchange Commission (“SEC”). All prior period amounts have been restated in this press release.</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previously announced, the restatement pertains to the accounting for certain acquisition-related payments received by selling shareholders of four acquired businesses that were subsequently redistributed by such selling shareholders among themselves and to other select client-serving and administrative Company employees based, in part, on continuing employment with the Company or the achievement of personal performance measures. The selling shareholders were not prohibited from redistributing such acquisition-related payments under the terms of the purchase agreements with the Company for the acquisitions of the acquired businesses. The restatement items are non-cash charges with a total impact on net income and EBITDA for all restated periods of approximately $56 million. The restatement has no impact on cash, cash flows from operations or Adjusted EBITDA. The sellers have recently amended their agreements related to these payments as described below. While there can be no assurances, as discussed below, the Company currently anticipates that the non-cash compensation charges causing the restatement will not continue past July 31, 2009.</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evaluating the Company’s financial performance and consistent with previous periods, the Company has adopted the use of certain non-GAAP measures for a comparison to prior periods and for guidance as described below under “Use of Non-GAAP Financial Measures.”</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Quarter 2009 Results</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James H. Roth, chief executive officer, Huron Consulting Group said, “The on-going weakness in the economy and the recent restatement create a challenging environment for our people and our company. However, Huron is a vibrant company and our second quarter results reflect the fundamental strength of our operations. We believe that our diversified portfolio of services enables us to continue to succeed in our core markets.”</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Revenues of $165.8 million for the second quarter of 2009 increased 15.6% from $143.4 million for the second quarter of 2008. GAAP net income was $9.6 million, or $0.47 per diluted share, for the second quarter of 2009 compared to $1.1 million, or $0.06 per diluted share, for the same period last year. The second quarter 2009 included a one-time gain of $2.7 million. Non-GAAP adjusted net income was $17.1 million, or $0.84 per diluted share, for the second quarter of 2009 compared to $19.2 million, or $1.06 per diluted share, for the comparable quarter in 2008. Adjusted earnings before interest, taxes, depreciation and amortization (“Adjusted EBITDA”) </w:t>
      </w:r>
      <w:r>
        <w:rPr>
          <w:rFonts w:ascii="Arial" w:cs="Arial" w:eastAsia="Arial" w:hAnsi="Arial"/>
          <w:sz w:val="10"/>
          <w:szCs w:val="10"/>
          <w:color w:val="auto"/>
        </w:rPr>
        <w:t>(6)</w:t>
      </w:r>
      <w:r>
        <w:rPr>
          <w:rFonts w:ascii="Arial" w:cs="Arial" w:eastAsia="Arial" w:hAnsi="Arial"/>
          <w:sz w:val="16"/>
          <w:szCs w:val="16"/>
          <w:color w:val="auto"/>
        </w:rPr>
        <w:t>, which excludes share-based compensation expense, non-cash compensation expense, expenses relating to the restatement and a one-time gain of $2.7 million in the second quarter 2009, was $36.5 million, or 22.0% of revenues, compared to $32.8 million, or 22.9% of revenues, in the comparable quarter last year.</w:t>
      </w:r>
    </w:p>
    <w:p>
      <w:pPr>
        <w:spacing w:after="0" w:line="15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average number of full-time billable consultants</w:t>
      </w:r>
      <w:r>
        <w:rPr>
          <w:rFonts w:ascii="Arial" w:cs="Arial" w:eastAsia="Arial" w:hAnsi="Arial"/>
          <w:sz w:val="10"/>
          <w:szCs w:val="10"/>
          <w:color w:val="auto"/>
        </w:rPr>
        <w:t>(2)</w:t>
      </w:r>
      <w:r>
        <w:rPr>
          <w:rFonts w:ascii="Arial" w:cs="Arial" w:eastAsia="Arial" w:hAnsi="Arial"/>
          <w:sz w:val="16"/>
          <w:szCs w:val="16"/>
          <w:color w:val="auto"/>
        </w:rPr>
        <w:t xml:space="preserve"> increased 23.0% to 1,506 in the second quarter of 2009 compared to 1,224 in the same quarter last year. Full-time billable consultant utilization rate was 69.6% during the second quarter of 2009 compared with 66.8% during the same period last year. The average number of full-time equivalent professionals</w:t>
      </w:r>
      <w:r>
        <w:rPr>
          <w:rFonts w:ascii="Arial" w:cs="Arial" w:eastAsia="Arial" w:hAnsi="Arial"/>
          <w:sz w:val="10"/>
          <w:szCs w:val="10"/>
          <w:color w:val="auto"/>
        </w:rPr>
        <w:t>(5)</w:t>
      </w:r>
      <w:r>
        <w:rPr>
          <w:rFonts w:ascii="Arial" w:cs="Arial" w:eastAsia="Arial" w:hAnsi="Arial"/>
          <w:sz w:val="16"/>
          <w:szCs w:val="16"/>
          <w:color w:val="auto"/>
        </w:rPr>
        <w:t xml:space="preserve"> totaled 854 in the second quarter of 2009 compared to 863 for the comparable period in 2008. Average billing rate per hour for full-time billable consultants was $264 for the second quarter of 2009 compared to $273 for the second quarter of 2008.</w:t>
      </w:r>
    </w:p>
    <w:p>
      <w:pPr>
        <w:spacing w:after="0" w:line="15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Health and Education Consulting segment, which represents approximately 56 percent of revenue for the quarter, has continued the momentum we saw in the first quarter,” said Roth. “As pressure mounts on hospitals, healthcare organizations and universities, Huron’s services have been in high demand to help our clients address their business challenges. Our Legal Consulting segment, as expected, showed improved results in the second quarter as we saw solid demand for our document review and e-discovery services. On an overall basis, results for the Accounting &amp; Financial and Corporate Consulting segments did not meet expectations as demand in the litigation and regulatory markets remained soft and the continued sluggishness in the macroeconomic environment dampened demand for other consulting services.”</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Roth added, “In response to current market conditions we are taking action to align our cost structure with anticipated demand and are implementing a $30 million annualized cost reduction program. This will positively impact margins and allow us to continue to invest where we currently have strong market positions as well as to reward key contributors across all of our practice areas. One of Huron’s historical strengths has been an ability to adapt to the marketplace and help our clients meet their business challenges – this fundamental value remains unchanged. Our management team and our more than 2000 employees remain focused on serving our clients, growing our company, and creating long-term value for our stakeholders.”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Results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of $328.9 million for the first six months of 2009 increased 16.3% from $282.8 million for the first half of 2008. GAAP net income was $16.7 million, or $0.82 per diluted share, for the first half of 2009 compared to $4.2 million, or $0.23 per diluted share, for the same period last year. The second quarter 2009 included a one-time gain of $2.7 million. Non-GAAP adjusted net income was $33.7 million, or $1.66 per diluted share, for the first half of 2009 compared to $32.1 million, or $1.77 per diluted share, for the comparable period in 2008. Adjusted EBITDA, which excludes share-based compensation expense, non-cash compensation expense, expenses relating to the restatement and a one-time gain of $2.7 million in the second quarter 2009, rose 11.4% to $72.4 million, or 22.0% of revenues, compared to $65.0 million, or 23.0% of revenues, in the comparable period last year.</w:t>
      </w:r>
    </w:p>
    <w:p>
      <w:pPr>
        <w:sectPr>
          <w:pgSz w:w="11900" w:h="16838" w:orient="portrait"/>
          <w:cols w:equalWidth="0" w:num="1">
            <w:col w:w="11400"/>
          </w:cols>
          <w:pgMar w:left="240" w:top="274" w:right="259" w:bottom="1440" w:gutter="0" w:footer="0" w:header="0"/>
        </w:sectPr>
      </w:pPr>
    </w:p>
    <w:bookmarkStart w:id="6" w:name="page7"/>
    <w:bookmarkEnd w:id="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average number of full-time billable consultants</w:t>
      </w:r>
      <w:r>
        <w:rPr>
          <w:rFonts w:ascii="Arial" w:cs="Arial" w:eastAsia="Arial" w:hAnsi="Arial"/>
          <w:sz w:val="10"/>
          <w:szCs w:val="10"/>
          <w:color w:val="auto"/>
        </w:rPr>
        <w:t>(2)</w:t>
      </w:r>
      <w:r>
        <w:rPr>
          <w:rFonts w:ascii="Arial" w:cs="Arial" w:eastAsia="Arial" w:hAnsi="Arial"/>
          <w:sz w:val="16"/>
          <w:szCs w:val="16"/>
          <w:color w:val="auto"/>
        </w:rPr>
        <w:t xml:space="preserve"> increased 24.4% to 1,522 in the first half of 2009 compared to 1,223 in the same period last year. The average number of full-time equivalent professionals</w:t>
      </w:r>
      <w:r>
        <w:rPr>
          <w:rFonts w:ascii="Arial" w:cs="Arial" w:eastAsia="Arial" w:hAnsi="Arial"/>
          <w:sz w:val="10"/>
          <w:szCs w:val="10"/>
          <w:color w:val="auto"/>
        </w:rPr>
        <w:t>(5)</w:t>
      </w:r>
      <w:r>
        <w:rPr>
          <w:rFonts w:ascii="Arial" w:cs="Arial" w:eastAsia="Arial" w:hAnsi="Arial"/>
          <w:sz w:val="16"/>
          <w:szCs w:val="16"/>
          <w:color w:val="auto"/>
        </w:rPr>
        <w:t xml:space="preserve"> decreased slightly to 783 in the first half of 2009 compared to 807 for the comparable period in 2008. Full-time billable consultant utilization rate was 69.7% during the first half of 2009 compared with 65.9% during the same period last year. Average billing rate per hour for full-time billable consultants was $261 for the first half of 2009 compared to $275 for the first half of 2008.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Huron’s long-term success is dependent upon its broad portfolio of service offerings that help clients address complex business challenges. The Company’s operating segments are as follows:</w:t>
      </w:r>
    </w:p>
    <w:p>
      <w:pPr>
        <w:spacing w:after="0" w:line="51" w:lineRule="exact"/>
        <w:rPr>
          <w:sz w:val="20"/>
          <w:szCs w:val="20"/>
          <w:color w:val="auto"/>
        </w:rPr>
      </w:pPr>
    </w:p>
    <w:p>
      <w:pPr>
        <w:ind w:left="440" w:right="120" w:hanging="324"/>
        <w:spacing w:after="0" w:line="306"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Health and Education Consulting – Representing approximately 56% of Huron’s total second quarter 2009 revenues, this segment met the Company’s second quarter expectations and continues to show solid growth as it helps healthcare institutions and universities respond to increased funding constraints and regulatory challenges. Huron’s services help the institutions it serves improve their financial and operational performance.</w:t>
      </w:r>
    </w:p>
    <w:p>
      <w:pPr>
        <w:spacing w:after="0" w:line="25" w:lineRule="exact"/>
        <w:rPr>
          <w:rFonts w:ascii="Arial" w:cs="Arial" w:eastAsia="Arial" w:hAnsi="Arial"/>
          <w:sz w:val="16"/>
          <w:szCs w:val="16"/>
          <w:color w:val="auto"/>
        </w:rPr>
      </w:pPr>
    </w:p>
    <w:p>
      <w:pPr>
        <w:ind w:left="440" w:right="10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Consulting – Representing approximately 19% of total second quarter 2009 revenues, this segment performed well as document review, e-discovery, and other consulting services continued to help Fortune 500 general counsels manage spiraling litigation and regulatory compliance costs in what are challenging times for the legal industry.</w:t>
      </w:r>
    </w:p>
    <w:p>
      <w:pPr>
        <w:spacing w:after="0" w:line="59" w:lineRule="exact"/>
        <w:rPr>
          <w:rFonts w:ascii="Arial" w:cs="Arial" w:eastAsia="Arial" w:hAnsi="Arial"/>
          <w:sz w:val="18"/>
          <w:szCs w:val="18"/>
          <w:color w:val="auto"/>
        </w:rPr>
      </w:pPr>
    </w:p>
    <w:p>
      <w:pPr>
        <w:ind w:left="440" w:right="20" w:hanging="324"/>
        <w:spacing w:after="0" w:line="259"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&amp; Financial Consulting – Representing approximately 14% of total second quarter 2009 revenues, this segment continues to pursue opportunities in this evolving and event-driven market. While litigation and regulatory activity remains somewhat sluggish, Huron is pursuing opportunities in financial services, government services, and International Financial Reporting Standards (IFRS).</w:t>
      </w:r>
    </w:p>
    <w:p>
      <w:pPr>
        <w:spacing w:after="0" w:line="59" w:lineRule="exact"/>
        <w:rPr>
          <w:rFonts w:ascii="Arial" w:cs="Arial" w:eastAsia="Arial" w:hAnsi="Arial"/>
          <w:sz w:val="18"/>
          <w:szCs w:val="18"/>
          <w:color w:val="auto"/>
        </w:rPr>
      </w:pPr>
    </w:p>
    <w:p>
      <w:pPr>
        <w:ind w:left="440" w:right="540" w:hanging="324"/>
        <w:spacing w:after="0" w:line="370" w:lineRule="auto"/>
        <w:tabs>
          <w:tab w:leader="none" w:pos="4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Corporate Consulting – Representing approximately 11% of total second quarter 2009 revenues, this segment is benefiting from solid demand for its Restructuring and Turnaround business while services being delivered in its Strategy, Utilities and Japan markets are experiencing softer demand.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Segment financial results are included in the attached schedules and discussed in greater detail in Huron’s Form 10-Q for the quarter ended June 30,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Restatement</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Audit Committee, assisted by legal and financial advisors, concluded as previously announced, that the Company would restate its financial statements for the fiscal years 2006, 2007 and 2008 and the first quarter of 2009.</w:t>
      </w:r>
    </w:p>
    <w:p>
      <w:pPr>
        <w:spacing w:after="0" w:line="13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restatement pertains to the accounting for certain acquisition-related payments received by selling shareholders of four acquired businesses that were subsequently redistributed by such selling shareholders among themselves and to other select client-serving and administrative Company employees based, in part, on continuing employment with the Company or the achievement of personal performance measures.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selling shareholders were not prohibited from redistributing such acquisition-related payments under the terms of the purchase agreements with the Company for the acquisitions of the acquired businesses. However, under GAAP, such payments are imputed to the Company, and the portion of such payments redistributed based on performance or employment is required to be reflected as non-</w:t>
      </w:r>
    </w:p>
    <w:p>
      <w:pPr>
        <w:sectPr>
          <w:pgSz w:w="11900" w:h="16838" w:orient="portrait"/>
          <w:cols w:equalWidth="0" w:num="1">
            <w:col w:w="11420"/>
          </w:cols>
          <w:pgMar w:left="240" w:top="280" w:right="239" w:bottom="1440" w:gutter="0" w:footer="0" w:header="0"/>
        </w:sectPr>
      </w:pPr>
    </w:p>
    <w:bookmarkStart w:id="7" w:name="page8"/>
    <w:bookmarkEnd w:id="7"/>
    <w:p>
      <w:pPr>
        <w:ind w:right="1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compensation expense of the Company, even though the amounts received by the selling shareholders do not differ significantly from the amounts they would have received if such portion had been distributed solely in accordance with their ownership interests. The restatement is necessary because the Company did not record such portions of the acquisition-related payments as a separate non-cash compensation expense with a corresponding increase in paid-in capital.</w:t>
      </w:r>
    </w:p>
    <w:p>
      <w:pPr>
        <w:spacing w:after="0" w:line="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restatement resulted in a reduction of approximately $56 million in net income and EBITDA for all restated periods. For the three years 2008, 2007 and 2006, $38.1 million ($25.2 million in 2008, $12.8 million in 2007 and $0.1 million in 2006) was redistributed by the selling shareholders among themselves and $13.9 million ($5.4 million in 2008, $4.8 million in 2007 and $3.7 million in 2006) was redistributed to other Huron employees. The redistribution of the $38.1 million in 2008, 2007 and 2006 by the selling shareholders among themselves resulted in certain selling shareholders receiving an aggregate of $5.2 million ($2.7 million in 2008, $2.4 million in 2007 and $0.1 million in 2006) in excess of the amounts they would have received if the portion of the acquisition-related payments redistributed based on performance or employment had been distributed solely in accordance with their ownership interests. Other selling shareholders received a corresponding lower amount in 2008, 2007 and 2006 than they would have received based on their ownership interests. For additional detail with respect to these redistributed amounts, see the Company’s Form 10K/A filed on August 17, 2009.</w:t>
      </w:r>
    </w:p>
    <w:p>
      <w:pPr>
        <w:spacing w:after="0" w:line="118"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The redistributed acquisition-related payments are not tax-deductible because the payments were not made by the Company, and there is no change to the provision for income taxes or the Company’s tax accounts on an annual basis. However, as a result of the correction of the errors related to the accounting for the acquisition-related payments, the Company recalculated its provision for income taxes for each of the quarterly periods in 2006, 2007 and 2008 and for the first quarter of 2009 using the annual effective income tax rate method in accordance with Statement of Financial Accounting Standards No. 109, “Accounting for Income Taxes.” As a result, the Company’s interim quarterly provision for income taxes decreased in certain periods and increased in others, with a corresponding change in income tax receivable or payable. The recalculation of the provision for income taxes also resulted in changes to the Company’s net income, earnings per share, total assets and total stockholders’ equity for each of the affected quarters that were in addition to the changes in the Company’s net income and earnings per share that resulted from the accounting of the redistributed acquisition-related payments as non-cash compensation expense and the corresponding adjustment to additional paid-in capital. As a result of the recalculation, the Company’s restated net income, restated basic earnings per share and restated diluted earnings per share for the quarter ended March 31, 2009, as set forth in the Form 10Q/A, was $7.1 million, $0.36 per share and $0.35 per share, respectively, compared to $6.0 million, $0.33 per share and $0.32 per share, respectively, for the same period, as set forth in the July 31 press release.</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correction of the errors in accounting for the acquisition-related payments significantly reduced the Company’s net income and earnings per share for each of the affected periods, it had no effect on our total assets, total liabilities or total stockholders’ equity on an annual basis. The correction of these errors also had no effect on the Company’s cash or cash flows from operations or Adjusted EBITDA. See the attached schedules included in this release as well as schedules and disclosures included in the Company’s Form 10K/A filed on August 17, 2009, Form 10Q/A filed on August 17, 2009 and Form 10Q filed on August 17, 2009 for additional information with respect to the restatement.</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Based on the results of the Company’s inquiry into the acquisition-related payments matter to date and the agreement amendments described below, the Company currently anticipates that future earn-outs will only be accounted for as additional purchase consideration and not also as non-cash compensation expense. Effective August 1, 2009, the selling shareholders of two of the acquired businesses each amended certain agreements related to the earn-outs to provide that future earn-outs will be distributed only</w:t>
      </w:r>
    </w:p>
    <w:p>
      <w:pPr>
        <w:sectPr>
          <w:pgSz w:w="11900" w:h="16838" w:orient="portrait"/>
          <w:cols w:equalWidth="0" w:num="1">
            <w:col w:w="11400"/>
          </w:cols>
          <w:pgMar w:left="240" w:top="280" w:right="259" w:bottom="1440" w:gutter="0" w:footer="0" w:header="0"/>
        </w:sectPr>
      </w:pPr>
    </w:p>
    <w:bookmarkStart w:id="8" w:name="page9"/>
    <w:bookmarkEnd w:id="8"/>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applicable selling shareholders and only in accordance with their equity interests on the date we acquired the business with no required continuing employment. The Company expects to recognize approximately $8.3 million of non-cash compensation expense during the first seven months of 2009 related to the redistribution of acquisition-related payments for that period, of which $7.1 million was recognized in the six months ended June 30, 2009. In addition, the Company expects to incur a moderate increase in cash compensation expense in future periods related to shareholder payments and employee payments for such periods, which it currently estimate to be no more than $4 million in each of 2009, 2010 and 2011.</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However, there can be no assurance that additional information will not be discovered that will require future acquisition-related payments pertaining to the acquired businesses to continue to be accounted for as non-cash compensation expense, which would be material to our results of operations through 2011. The earn-out payments for one of the acquired businesses are payable through March 31, 2010, and the earn-out payments for a second acquired business are payable through December 31, 2011. There are no additional earn-out obligations related to the other two acquired businesses.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as a result of the impact that our restatement may have on the business, the Company expects to incur a moderate increase in cash compensation expense to retain our top-performing employees. It also expects an increase in operating expenses, including legal fees, as a result of the Company’s inquiries into the acquisition-related payments and the allocation of chargeable hours further described below, the restatement, the SEC investigation with respect to the circumstances that led to the restatement, the SEC inquiry into the allocation of chargeable hours and the purported shareholder class action lawsuits in respect of the restatement.</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Having completed the restatement and upon the delivery of compliance certificates for the second quarter of 2009 to its lenders under the Company’s credit agreement, the Company expects to be in full compliance with the financial covenants under the credit agreement. However, as a result of the significant decline in the price of the Company’s common stock following the July 31, 2009 announcement of the restatement, the Company expects to engage in an impairment analysis with respect to the carrying value of its goodwill in connection with the preparation of its financial statements for the quarter ended September 30, 2009. If, following such analysis, the Company is required to record a non-cash goodwill impairment charge, the Company may not be in compliance with the financial covenants in its credit agreement. There can be no assurance that the Company will remain in compliance with the financial covenants under the credit agreement or, if it does not, that it will obtain any necessary amendments or waivers from any lenders and, even if the Company is able to obtain them, such amendments or waivers may subject the Company to terms materially less favorable than those in its current agreement.</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as previously announced, the SEC is commencing an investigation with respect to the circumstances that led to the restatement. In addition to the SEC investigation, the Company has conducted a separate inquiry, in response to an inquiry from the SEC, into the allocation of chargeable hours. This matter has no impact on billings to the Company’s clients, and did not result in an adjustment to the Company’s historical financial statements. The Company intends to cooperate fully with the SEC in its investigation and inquiry. In addition, several purported shareholder class action complaints have been filed in connection with the restatement, which assert claims under Section 10(b) and Section 20(a) of the Securities Exchange Act of 1934, as amended, and Rule 10b-5 promulgated thereunder. The Company intends to defend vigorously the actions.</w:t>
      </w:r>
    </w:p>
    <w:p>
      <w:pPr>
        <w:spacing w:after="0" w:line="12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See the Company’s Form 10K/A filed on August 17, 2009, Form 10Q/A filed on August 17, 2009 and Form 10Q filed on August 17, 2009 for additional information about the expected impairment analysis, the SEC investigation and inquiry, and the private litigation.</w:t>
      </w:r>
    </w:p>
    <w:p>
      <w:pPr>
        <w:sectPr>
          <w:pgSz w:w="11900" w:h="16838" w:orient="portrait"/>
          <w:cols w:equalWidth="0" w:num="1">
            <w:col w:w="11400"/>
          </w:cols>
          <w:pgMar w:left="240" w:top="280" w:right="259" w:bottom="1440" w:gutter="0" w:footer="0" w:header="0"/>
        </w:sectPr>
      </w:pPr>
    </w:p>
    <w:bookmarkStart w:id="9" w:name="page10"/>
    <w:bookmarkEnd w:id="9"/>
    <w:p>
      <w:pPr>
        <w:ind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John McCartney, chairman of the Audit Committee of Huron Consulting Group’s Board of Directors said, “We are confident that our review of the Company’s accounting for the acquisition-related payments has identified the necessary adjustments to our financial statements and we have taken appropriate action in connection with these matters. We continue to cooperate fully with the SEC investigation with respect to the restatement, as well as the SEC inquiry into the allocation of chargeable hours. It is important that Huron continue to focus on providing high-quality service to its clients. The Company also appreciates the support it has received from its employees and many of its clients during this process.”</w:t>
      </w:r>
    </w:p>
    <w:p>
      <w:pPr>
        <w:spacing w:after="0" w:line="1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Company recognizes that employee retention is a key to the Company’s continued success, and earlier this year, the Company began working with an external compensation consultant to update the Company’s compensation structure for Managing Directors. Huron has an optimistic view of the future and is committed to retaining and properly rewarding key performers in the organization,” added McCartney.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2009</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Company also confirmed its previously disclosed guidance for full year 2009 revenues before reimbursable expenses in a range of $650 million to $680 million. Management will provide a more detailed discussion of operations during the Company’s earnings conference call and webcast.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2009 Webcast</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In light of the significant amount of information that has been released, the Company will host a webcast to discuss its financial results, the restatement and the current state of the business on Wednesday, August 19, 2009, at 10:00 a.m. Eastern Time (9:00 a.m. Central Time). The conference call is being webcast by Thomson and can be accessed at Huron Consulting Group’s website at </w:t>
      </w:r>
      <w:r>
        <w:rPr>
          <w:rFonts w:ascii="Arial" w:cs="Arial" w:eastAsia="Arial" w:hAnsi="Arial"/>
          <w:sz w:val="16"/>
          <w:szCs w:val="16"/>
          <w:u w:val="single" w:color="auto"/>
          <w:color w:val="auto"/>
        </w:rPr>
        <w:t>http://ir.huronconsultinggroup.com</w:t>
      </w:r>
      <w:r>
        <w:rPr>
          <w:rFonts w:ascii="Arial" w:cs="Arial" w:eastAsia="Arial" w:hAnsi="Arial"/>
          <w:sz w:val="16"/>
          <w:szCs w:val="16"/>
          <w:color w:val="auto"/>
        </w:rPr>
        <w:t>. A replay will be available approximately two hours after the conclusion of the webcast and for 90 days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Huron Consulting Group</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Huron Consulting Group helps clients in diverse industries improve performance, comply with complex regulations, resolve disputes, recover from distress, leverage technology, and stimulate growth. The Company teams with its clients to deliver sustainable and measurable results. Huron provides services to a wide variety of both financially sound and distressed organizations, including leading academic institutions, healthcare organizations, Fortune 500 companies, medium-sized businesses, and the law firms that represent these various organizations. Learn more at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evaluating the Company’s financial performance and outlook, management uses EBITDA, Adjusted EBITDA, adjusted net income, and adjusted diluted earnings per share, which are non-GAAP measures. Management believes that such measures, as supplements to operating income, net income and diluted earnings per share and other GAAP measures, are useful indicators for investors. These useful indicators can help readers gain a meaningful understanding of our core operating results and future prospects without the effect of non-cash or special items and the Company’s ability to generate cash flows from operations that are available for taxes, capital expenditures, and to repay debt. Investors should recognize that these non-GAAP measures might not be comparable to similarly titled measures of other companies. These measures should be considered in addition to, and not as a substitute for or superior to, any measure of performance, cash flows or liquidity prepared in accordance with accounting principles generally accepted in the United States.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Statements in this press release, including the information incorporated by reference herein, that are not historical in nature, including those concerning the Company’s current expectations about its future results, are “forward-looking” statements as defined in Section 21E of the Securities Exchange Act of 1934 and the Private Securities Litigation Reform Act of 1995. Forward-looking statements are identified by words such as “may,” “should,” “expects,” “plans,” “anticipates,” “assumes,” “can,” “considers,”</w:t>
      </w:r>
    </w:p>
    <w:p>
      <w:pPr>
        <w:sectPr>
          <w:pgSz w:w="11900" w:h="16838" w:orient="portrait"/>
          <w:cols w:equalWidth="0" w:num="1">
            <w:col w:w="11420"/>
          </w:cols>
          <w:pgMar w:left="240" w:top="280" w:right="23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“could,” “intends,” “might,” “predicts,” “seeks,” “would,” “believes,” “estimates” or “continues”. Risks, uncertainties and assumptions that could impact the Company’s forward-looking statements relate, among other things, to (i) the restatement, (ii) the SEC investigation and related Company inquiries with respect to the circumstances that led to the restatement, (iii) the SEC and related Company inquiries into the allocation of chargeable hours, (iv) the Company’s projected accounting treatment for acquisition-related payments after August 1, 2009, and (v) management’s assessment of the Company’s internal control over financial reporting and any required remediation. In addition, these forward-looking statements reflect our current expectation about our future results, levels of activity, performance, or achievements, including, without limitation, that our business continues to grow at the current expectations with respect to, among other factors, utilization rates, billing rates, and number of revenue-generating professionals; that we are able to expand our service offerings; that we successfully integrate the businesses we acquire; and that existing market conditions, including those in the credit markets, do not continue to deteriorate substantially. These statements involve known and unknown risks, uncertainties and other factors that may cause actual results, levels of activity, performance or achievements to be materially different from any anticipated results, levels of activity, performance or achievements expressed or implied by these forward-looking statements. Please see “Risk Factors” in our 2008 Annual Report on Form 10K/A and in our Quarterly Report on Form 10-Q for the period ended June 30, 2009 for a description of the material risks we face.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Jennifer Frost Hennagir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312-880-3260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jfrost-hennagir@huronconsultinggroup.com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James K. Rojas,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312-583-8722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investor@huronconsultinggroup.com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4"/>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(Restated)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165,847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143,408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328,856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178,993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155,973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356,242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306,980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93"/>
              </w:rPr>
              <w:t xml:space="preserve">Direct costs and reimbursable expenses </w:t>
            </w:r>
            <w:r>
              <w:rPr>
                <w:rFonts w:ascii="Arial" w:cs="Arial" w:eastAsia="Arial" w:hAnsi="Arial"/>
                <w:sz w:val="18"/>
                <w:szCs w:val="18"/>
                <w:color w:val="auto"/>
                <w:w w:val="93"/>
              </w:rPr>
              <w:t>(exclusive of depreciation and amortization shown in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8"/>
                <w:szCs w:val="18"/>
                <w:b w:val="1"/>
                <w:bCs w:val="1"/>
                <w:color w:val="auto"/>
              </w:rPr>
              <w:t>:</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 costs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105,411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98,876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208,304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Reimbursable expenses</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119,603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111,478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238,482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211,576</w:t>
            </w:r>
          </w:p>
        </w:tc>
        <w:tc>
          <w:tcPr>
            <w:tcW w:w="0" w:type="dxa"/>
            <w:vAlign w:val="bottom"/>
          </w:tcPr>
          <w:p>
            <w:pPr>
              <w:spacing w:after="0"/>
              <w:rPr>
                <w:sz w:val="1"/>
                <w:szCs w:val="1"/>
                <w:color w:val="auto"/>
              </w:rPr>
            </w:pPr>
          </w:p>
        </w:tc>
      </w:tr>
      <w:tr>
        <w:trPr>
          <w:trHeight w:val="221"/>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gain</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21"/>
        </w:trPr>
        <w:tc>
          <w:tcPr>
            <w:tcW w:w="718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16,722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323"/>
        </w:trPr>
        <w:tc>
          <w:tcPr>
            <w:tcW w:w="718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20,405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18,178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20,329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ind w:left="4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1"/>
              </w:rPr>
              <w:t>(Restated)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Receivables from clients,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services,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182,687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44,134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506,502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777,135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779,597</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7,887</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payroll and related benefits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consideration for business acquisitions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 and other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Capital lease obligations, net of current portion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borrowings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lease incentives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non-current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312,250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294,420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$0.01 par value; 500,000,000 shares authorized; 22,132,545 and 21,387,679 shares issued at June 30, 2009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2008, respectively</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Treasury stock, at cost, 595,069 and 404,357 shares at June 30, 2009 and December 31, 2008, respectively</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(31,735)</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296,150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358,029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777,135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16,722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Allowances for doubtful accounts and unbilled services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gain and 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receivables from clients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Increase in unbilled services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(13,682)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current income tax receivable / payable,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Decrease in accrued payroll and related benefits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(7,397)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deferred revenues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life insurance policies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Purchases of businesses, net of cash acquired</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(47,065)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(56,300)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(49,127)</w:t>
            </w:r>
          </w:p>
        </w:tc>
        <w:tc>
          <w:tcPr>
            <w:tcW w:w="0" w:type="dxa"/>
            <w:vAlign w:val="bottom"/>
          </w:tcPr>
          <w:p>
            <w:pPr>
              <w:spacing w:after="0"/>
              <w:rPr>
                <w:sz w:val="1"/>
                <w:szCs w:val="1"/>
                <w:color w:val="auto"/>
              </w:rPr>
            </w:pPr>
          </w:p>
        </w:tc>
      </w:tr>
      <w:tr>
        <w:trPr>
          <w:trHeight w:val="329"/>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Shares redeemed for employee tax withholdings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share-based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Proceeds from borrowings under credit facility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Repayments on credit facility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(149,500)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(117,500)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14,335</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Issuance of note payable for purchase of a business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OPERATING RESULTS AND OTHER OPERATING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2"/>
        </w:trPr>
        <w:tc>
          <w:tcPr>
            <w:tcW w:w="6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Segment and Consolidated Operating Results (in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tcPr>
          <w:p>
            <w:pPr>
              <w:spacing w:after="0"/>
              <w:rPr>
                <w:sz w:val="12"/>
                <w:szCs w:val="12"/>
                <w:color w:val="auto"/>
              </w:rPr>
            </w:pPr>
          </w:p>
        </w:tc>
        <w:tc>
          <w:tcPr>
            <w:tcW w:w="2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(Restated)</w:t>
            </w:r>
          </w:p>
        </w:tc>
        <w:tc>
          <w:tcPr>
            <w:tcW w:w="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Health and Education Consulting: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93,205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56,696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1"/>
                <w:szCs w:val="11"/>
                <w:color w:val="auto"/>
              </w:rPr>
              <w:t>(1)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34,849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19,502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34.4%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Accounting and Financial Consulting: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22,515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34,789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11"/>
                <w:szCs w:val="11"/>
                <w:color w:val="auto"/>
              </w:rPr>
              <w:t>(1)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Legal Consulting: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31,241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30,498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7,715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10,076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33.0%</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Corporate Consulting: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18,886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21,425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1"/>
                <w:szCs w:val="11"/>
                <w:color w:val="auto"/>
              </w:rPr>
              <w:t>(1)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5,611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26.2%</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w w:val="86"/>
              </w:rPr>
              <w:t>165,847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143,408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6540" w:type="dxa"/>
            <w:vAlign w:val="bottom"/>
            <w:gridSpan w:val="4"/>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w w:val="86"/>
              </w:rPr>
              <w:t>178,993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155,973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reconciliation: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Segment operating income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50,826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34,467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23,255</w:t>
            </w: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21,752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6540" w:type="dxa"/>
            <w:vAlign w:val="bottom"/>
            <w:gridSpan w:val="4"/>
          </w:tcPr>
          <w:p>
            <w:pPr>
              <w:spacing w:after="0"/>
              <w:rPr>
                <w:sz w:val="20"/>
                <w:szCs w:val="20"/>
                <w:color w:val="auto"/>
              </w:rPr>
            </w:pPr>
            <w:r>
              <w:rPr>
                <w:rFonts w:ascii="Arial" w:cs="Arial" w:eastAsia="Arial" w:hAnsi="Arial"/>
                <w:sz w:val="18"/>
                <w:szCs w:val="18"/>
                <w:color w:val="auto"/>
              </w:rPr>
              <w:t>Total operating income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21,723</w:t>
            </w:r>
          </w:p>
        </w:tc>
        <w:tc>
          <w:tcPr>
            <w:tcW w:w="1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7,345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1"/>
        </w:trPr>
        <w:tc>
          <w:tcPr>
            <w:tcW w:w="6540" w:type="dxa"/>
            <w:vAlign w:val="bottom"/>
            <w:gridSpan w:val="4"/>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19,345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5,016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0"/>
        </w:trPr>
        <w:tc>
          <w:tcPr>
            <w:tcW w:w="6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 Operating Data:</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54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489</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159</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gridSpan w:val="3"/>
          </w:tcPr>
          <w:p>
            <w:pPr>
              <w:ind w:left="86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1,207</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481</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352</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166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gridSpan w:val="3"/>
          </w:tcPr>
          <w:p>
            <w:pPr>
              <w:ind w:left="86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92"/>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1,224</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80.8%</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62.6%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3"/>
          </w:tcPr>
          <w:p>
            <w:pPr>
              <w:ind w:left="86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66.8%</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OPERATING RESULTS AND OTHER OPERATING DATA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9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Operating Data:</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2008</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267</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236</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619</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OPERATING RESULTS AND OTHER OPERATING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2"/>
        </w:trPr>
        <w:tc>
          <w:tcPr>
            <w:tcW w:w="80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Segment and Consolidated Operating Results (in thousands):</w:t>
            </w:r>
          </w:p>
        </w:tc>
        <w:tc>
          <w:tcPr>
            <w:tcW w:w="10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(Restated)</w:t>
            </w:r>
          </w:p>
        </w:tc>
        <w:tc>
          <w:tcPr>
            <w:tcW w:w="5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Health and Education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186,762</w:t>
            </w:r>
          </w:p>
        </w:tc>
        <w:tc>
          <w:tcPr>
            <w:tcW w:w="5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107,784</w:t>
            </w:r>
          </w:p>
        </w:tc>
        <w:tc>
          <w:tcPr>
            <w:tcW w:w="5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69,344</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38,847</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36.0%</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Accounting and Financial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46,955</w:t>
            </w:r>
          </w:p>
        </w:tc>
        <w:tc>
          <w:tcPr>
            <w:tcW w:w="5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73,600</w:t>
            </w:r>
          </w:p>
        </w:tc>
        <w:tc>
          <w:tcPr>
            <w:tcW w:w="5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Legal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54,109</w:t>
            </w:r>
          </w:p>
        </w:tc>
        <w:tc>
          <w:tcPr>
            <w:tcW w:w="5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55,721</w:t>
            </w:r>
          </w:p>
        </w:tc>
        <w:tc>
          <w:tcPr>
            <w:tcW w:w="5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16,663</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29.9%</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Corporate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41,030</w:t>
            </w:r>
          </w:p>
        </w:tc>
        <w:tc>
          <w:tcPr>
            <w:tcW w:w="5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45,697</w:t>
            </w:r>
          </w:p>
        </w:tc>
        <w:tc>
          <w:tcPr>
            <w:tcW w:w="5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30.6%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328,856</w:t>
            </w:r>
          </w:p>
        </w:tc>
        <w:tc>
          <w:tcPr>
            <w:tcW w:w="5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282,802</w:t>
            </w:r>
          </w:p>
        </w:tc>
        <w:tc>
          <w:tcPr>
            <w:tcW w:w="5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24,178</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2"/>
        </w:trPr>
        <w:tc>
          <w:tcPr>
            <w:tcW w:w="8060" w:type="dxa"/>
            <w:vAlign w:val="bottom"/>
            <w:gridSpan w:val="4"/>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356,242</w:t>
            </w:r>
          </w:p>
        </w:tc>
        <w:tc>
          <w:tcPr>
            <w:tcW w:w="5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306,980</w:t>
            </w:r>
          </w:p>
        </w:tc>
        <w:tc>
          <w:tcPr>
            <w:tcW w:w="5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98,137</w:t>
            </w:r>
          </w:p>
        </w:tc>
        <w:tc>
          <w:tcPr>
            <w:tcW w:w="5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77,132</w:t>
            </w:r>
          </w:p>
        </w:tc>
        <w:tc>
          <w:tcPr>
            <w:tcW w:w="5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46,727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43,670</w:t>
            </w:r>
          </w:p>
        </w:tc>
        <w:tc>
          <w:tcPr>
            <w:tcW w:w="5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8060" w:type="dxa"/>
            <w:vAlign w:val="bottom"/>
            <w:gridSpan w:val="4"/>
          </w:tcPr>
          <w:p>
            <w:pPr>
              <w:spacing w:after="0"/>
              <w:rPr>
                <w:sz w:val="20"/>
                <w:szCs w:val="20"/>
                <w:color w:val="auto"/>
              </w:rPr>
            </w:pPr>
            <w:r>
              <w:rPr>
                <w:rFonts w:ascii="Arial" w:cs="Arial" w:eastAsia="Arial" w:hAnsi="Arial"/>
                <w:sz w:val="18"/>
                <w:szCs w:val="18"/>
                <w:color w:val="auto"/>
              </w:rPr>
              <w:t>Total 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39,803</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22,954</w:t>
            </w:r>
          </w:p>
        </w:tc>
        <w:tc>
          <w:tcPr>
            <w:tcW w:w="5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1"/>
        </w:trPr>
        <w:tc>
          <w:tcPr>
            <w:tcW w:w="8060" w:type="dxa"/>
            <w:vAlign w:val="bottom"/>
            <w:gridSpan w:val="4"/>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34,221</w:t>
            </w:r>
          </w:p>
        </w:tc>
        <w:tc>
          <w:tcPr>
            <w:tcW w:w="5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18,498</w:t>
            </w:r>
          </w:p>
        </w:tc>
        <w:tc>
          <w:tcPr>
            <w:tcW w:w="5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8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 Operating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0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1,207</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1,223</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Health and Education Consulting</w:t>
            </w: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79.5%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60.1%</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65.9%</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OPERATING RESULTS AND OTHER OPERATING DATA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60" w:type="dxa"/>
            <w:vAlign w:val="bottom"/>
            <w:gridSpan w:val="7"/>
          </w:tcPr>
          <w:p>
            <w:pPr>
              <w:jc w:val="center"/>
              <w:ind w:right="8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6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Operating Data:</w:t>
            </w: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center"/>
              <w:ind w:right="9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960" w:type="dxa"/>
            <w:vAlign w:val="bottom"/>
            <w:gridSpan w:val="3"/>
            <w:vMerge w:val="continue"/>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2008</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94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Health and Education Consulting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and Financial Consulting</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non-cash compensation expense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Three Months Ended</w:t>
            </w:r>
          </w:p>
        </w:tc>
        <w:tc>
          <w:tcPr>
            <w:tcW w:w="14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14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Health and Education Consulting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Accounting and Financial Consulting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8,702</w:t>
            </w:r>
          </w:p>
        </w:tc>
        <w:tc>
          <w:tcPr>
            <w:tcW w:w="500" w:type="dxa"/>
            <w:vAlign w:val="bottom"/>
          </w:tcPr>
          <w:p>
            <w:pPr>
              <w:jc w:val="right"/>
              <w:spacing w:after="0"/>
              <w:rPr>
                <w:sz w:val="20"/>
                <w:szCs w:val="20"/>
                <w:color w:val="auto"/>
              </w:rPr>
            </w:pPr>
            <w:r>
              <w:rPr>
                <w:rFonts w:ascii="Arial" w:cs="Arial" w:eastAsia="Arial" w:hAnsi="Arial"/>
                <w:sz w:val="18"/>
                <w:szCs w:val="18"/>
                <w:color w:val="auto"/>
              </w:rPr>
              <w:t>1,624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9,929</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Corporate Consulting</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3,345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12,885</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7,107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17,905</w:t>
            </w:r>
          </w:p>
        </w:tc>
      </w:tr>
      <w:tr>
        <w:trPr>
          <w:trHeight w:val="20"/>
        </w:trPr>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15"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Consists of consultants who work variable schedules as needed by our clients, as well as contract reviewers and other professionals who generate revenues</w:t>
      </w:r>
    </w:p>
    <w:p>
      <w:pPr>
        <w:spacing w:after="0" w:line="44" w:lineRule="exact"/>
        <w:rPr>
          <w:sz w:val="20"/>
          <w:szCs w:val="20"/>
          <w:color w:val="auto"/>
        </w:rPr>
      </w:pPr>
    </w:p>
    <w:p>
      <w:pPr>
        <w:ind w:left="460" w:right="540"/>
        <w:spacing w:after="0" w:line="250" w:lineRule="auto"/>
        <w:rPr>
          <w:sz w:val="20"/>
          <w:szCs w:val="20"/>
          <w:color w:val="auto"/>
        </w:rPr>
      </w:pPr>
      <w:r>
        <w:rPr>
          <w:rFonts w:ascii="Arial" w:cs="Arial" w:eastAsia="Arial" w:hAnsi="Arial"/>
          <w:sz w:val="18"/>
          <w:szCs w:val="18"/>
          <w:color w:val="auto"/>
        </w:rPr>
        <w:t>primarily based on number of hours worked and units produced, such as pages reviewed and data processed. Also includes full-time employees who provide software support and maintenance services to our clients.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 change greater than 500%.</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ADJUSTED EARNINGS BEFORE INTEREST, TAXES, DEPRECIATION AND AMORTIZATION </w:t>
      </w:r>
      <w:r>
        <w:rPr>
          <w:rFonts w:ascii="Arial" w:cs="Arial" w:eastAsia="Arial" w:hAnsi="Arial"/>
          <w:sz w:val="11"/>
          <w:szCs w:val="11"/>
          <w:b w:val="1"/>
          <w:bCs w:val="1"/>
          <w:color w:val="auto"/>
        </w:rPr>
        <w:t>(6)</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and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(Restated)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(Restated)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165,847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143,408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328,856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282,802</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9,646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1,135</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16,722</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9,699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21,723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39,803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22,954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 xml:space="preserve">Earnings before interest, taxes, depreciation and amortization (EBITDA) </w:t>
            </w:r>
            <w:r>
              <w:rPr>
                <w:rFonts w:ascii="Arial" w:cs="Arial" w:eastAsia="Arial" w:hAnsi="Arial"/>
                <w:sz w:val="11"/>
                <w:szCs w:val="11"/>
                <w:b w:val="1"/>
                <w:bCs w:val="1"/>
                <w:color w:val="auto"/>
                <w:w w:val="99"/>
              </w:rPr>
              <w:t>(6)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28,658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Add back:</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6,800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Non-cash compensation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Expenses relating to restatement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Other gain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(2,687)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1"/>
                <w:szCs w:val="11"/>
                <w:b w:val="1"/>
                <w:bCs w:val="1"/>
                <w:color w:val="auto"/>
              </w:rPr>
              <w:t>(6)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36,501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64,983</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72"/>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ind w:left="4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HURON CONSULTING GROUP INC.</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 xml:space="preserve">RECONCILIATION OF NET INCOME TO ADJUSTED NET INCOME </w:t>
      </w:r>
      <w:r>
        <w:rPr>
          <w:rFonts w:ascii="Arial" w:cs="Arial" w:eastAsia="Arial" w:hAnsi="Arial"/>
          <w:sz w:val="11"/>
          <w:szCs w:val="11"/>
          <w:b w:val="1"/>
          <w:bCs w:val="1"/>
          <w:color w:val="auto"/>
        </w:rPr>
        <w:t>(6)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and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(Restated)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16,722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back:</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5,512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12,885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Expenses relating to restatement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Other gain</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effect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(3,618)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adjustments, net of tax</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18,111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16,930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27,943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1"/>
                <w:szCs w:val="11"/>
                <w:b w:val="1"/>
                <w:bCs w:val="1"/>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19,246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33,652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32,127</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Adjusted diluted earnings per share </w:t>
            </w:r>
            <w:r>
              <w:rPr>
                <w:rFonts w:ascii="Arial" w:cs="Arial" w:eastAsia="Arial" w:hAnsi="Arial"/>
                <w:sz w:val="11"/>
                <w:szCs w:val="11"/>
                <w:b w:val="1"/>
                <w:bCs w:val="1"/>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9"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evaluating the Company’s financial performance, management uses earnings before interest, taxes, depreciation and amortization (“EBITDA”), adjusted EBITDA, adjusted net income, and adjusted diluted earnings per share, which are non-GAAP measures. Management believes that the use of such measures, as supplements to operating income, net income and diluted earnings per share and other GAAP measures, are useful indicators for investors. These useful indicators can help readers gain a meaningful understanding of our core operating results and future prospects without the effect of non-cash or special items and the Company’s ability to generate cash flows from operations that are available for taxes, capital expenditures, and to repay debt. Investors should recognize that these non-GAAP measures might not be comparable to similarly titled measures of other companies. These measures should be considered in addition to, and not as a substitute for or superior to, any measure of performance, cash flows or liquidity prepared in accordance with accounting principles generally accepted in the United States.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2019-12-10T23:56:31Z</dcterms:created>
  <dcterms:modified xsi:type="dcterms:W3CDTF">2019-12-10T23:56:31Z</dcterms:modified>
</cp:coreProperties>
</file>