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spacing w:after="0"/>
        <w:rPr>
          <w:sz w:val="20"/>
          <w:szCs w:val="20"/>
          <w:color w:val="auto"/>
        </w:rPr>
      </w:pPr>
      <w:r>
        <w:rPr>
          <w:rFonts w:ascii="Arial" w:cs="Arial" w:eastAsia="Arial" w:hAnsi="Arial"/>
          <w:sz w:val="14"/>
          <w:szCs w:val="14"/>
          <w:color w:val="auto"/>
        </w:rPr>
        <w:t>(MarkOne)</w:t>
      </w:r>
    </w:p>
    <w:p>
      <w:pPr>
        <w:ind w:left="620" w:right="300" w:hanging="396"/>
        <w:spacing w:after="0" w:line="237" w:lineRule="auto"/>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620" w:right="280" w:hanging="396"/>
        <w:spacing w:after="0" w:line="256"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w:t>
      </w:r>
      <w:r>
        <w:rPr>
          <w:rFonts w:ascii="Arial" w:cs="Arial" w:eastAsia="Arial" w:hAnsi="Arial"/>
          <w:sz w:val="36"/>
          <w:szCs w:val="36"/>
          <w:b w:val="1"/>
          <w:bCs w:val="1"/>
          <w:color w:val="auto"/>
        </w:rPr>
        <w:t>URON</w:t>
      </w:r>
      <w:r>
        <w:rPr>
          <w:rFonts w:ascii="Arial" w:cs="Arial" w:eastAsia="Arial" w:hAnsi="Arial"/>
          <w:sz w:val="43"/>
          <w:szCs w:val="43"/>
          <w:b w:val="1"/>
          <w:bCs w:val="1"/>
          <w:color w:val="auto"/>
        </w:rPr>
        <w:t xml:space="preserve"> C</w:t>
      </w:r>
      <w:r>
        <w:rPr>
          <w:rFonts w:ascii="Arial" w:cs="Arial" w:eastAsia="Arial" w:hAnsi="Arial"/>
          <w:sz w:val="36"/>
          <w:szCs w:val="36"/>
          <w:b w:val="1"/>
          <w:bCs w:val="1"/>
          <w:color w:val="auto"/>
        </w:rPr>
        <w:t>ONSULTING</w:t>
      </w:r>
      <w:r>
        <w:rPr>
          <w:rFonts w:ascii="Arial" w:cs="Arial" w:eastAsia="Arial" w:hAnsi="Arial"/>
          <w:sz w:val="43"/>
          <w:szCs w:val="43"/>
          <w:b w:val="1"/>
          <w:bCs w:val="1"/>
          <w:color w:val="auto"/>
        </w:rPr>
        <w:t xml:space="preserve"> G</w:t>
      </w:r>
      <w:r>
        <w:rPr>
          <w:rFonts w:ascii="Arial" w:cs="Arial" w:eastAsia="Arial" w:hAnsi="Arial"/>
          <w:sz w:val="36"/>
          <w:szCs w:val="36"/>
          <w:b w:val="1"/>
          <w:bCs w:val="1"/>
          <w:color w:val="auto"/>
        </w:rPr>
        <w:t>ROUP</w:t>
      </w:r>
      <w:r>
        <w:rPr>
          <w:rFonts w:ascii="Arial" w:cs="Arial" w:eastAsia="Arial" w:hAnsi="Arial"/>
          <w:sz w:val="43"/>
          <w:szCs w:val="43"/>
          <w:b w:val="1"/>
          <w:bCs w:val="1"/>
          <w:color w:val="auto"/>
        </w:rPr>
        <w:t xml:space="preserve"> I</w:t>
      </w:r>
      <w:r>
        <w:rPr>
          <w:rFonts w:ascii="Arial" w:cs="Arial" w:eastAsia="Arial" w:hAnsi="Arial"/>
          <w:sz w:val="36"/>
          <w:szCs w:val="36"/>
          <w:b w:val="1"/>
          <w:bCs w:val="1"/>
          <w:color w:val="auto"/>
        </w:rPr>
        <w:t>NC</w:t>
      </w:r>
      <w:r>
        <w:rPr>
          <w:rFonts w:ascii="Arial" w:cs="Arial" w:eastAsia="Arial" w:hAnsi="Arial"/>
          <w:sz w:val="43"/>
          <w:szCs w:val="43"/>
          <w:b w:val="1"/>
          <w:bCs w:val="1"/>
          <w:color w:val="auto"/>
        </w:rPr>
        <w: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2020" w:type="dxa"/>
        <w:tblCellMar>
          <w:top w:w="0" w:type="dxa"/>
          <w:left w:w="0" w:type="dxa"/>
          <w:bottom w:w="0" w:type="dxa"/>
          <w:right w:w="0" w:type="dxa"/>
        </w:tblCellMar>
      </w:tblPr>
      <w:tr>
        <w:trPr>
          <w:trHeight w:val="218"/>
        </w:trPr>
        <w:tc>
          <w:tcPr>
            <w:tcW w:w="1960" w:type="dxa"/>
            <w:vAlign w:val="bottom"/>
          </w:tcPr>
          <w:p>
            <w:pPr>
              <w:jc w:val="center"/>
              <w:ind w:right="146"/>
              <w:spacing w:after="0"/>
              <w:rPr>
                <w:sz w:val="20"/>
                <w:szCs w:val="20"/>
                <w:color w:val="auto"/>
              </w:rPr>
            </w:pPr>
            <w:r>
              <w:rPr>
                <w:rFonts w:ascii="Arial" w:cs="Arial" w:eastAsia="Arial" w:hAnsi="Arial"/>
                <w:sz w:val="18"/>
                <w:szCs w:val="18"/>
                <w:b w:val="1"/>
                <w:bCs w:val="1"/>
                <w:color w:val="auto"/>
                <w:w w:val="88"/>
              </w:rPr>
              <w:t>Delaware</w:t>
            </w:r>
          </w:p>
        </w:tc>
        <w:tc>
          <w:tcPr>
            <w:tcW w:w="5340" w:type="dxa"/>
            <w:vAlign w:val="bottom"/>
          </w:tcPr>
          <w:p>
            <w:pPr>
              <w:jc w:val="center"/>
              <w:ind w:left="3942"/>
              <w:spacing w:after="0"/>
              <w:rPr>
                <w:sz w:val="20"/>
                <w:szCs w:val="20"/>
                <w:color w:val="auto"/>
              </w:rPr>
            </w:pPr>
            <w:r>
              <w:rPr>
                <w:rFonts w:ascii="Arial" w:cs="Arial" w:eastAsia="Arial" w:hAnsi="Arial"/>
                <w:sz w:val="18"/>
                <w:szCs w:val="18"/>
                <w:b w:val="1"/>
                <w:bCs w:val="1"/>
                <w:color w:val="auto"/>
                <w:w w:val="87"/>
              </w:rPr>
              <w:t>01-0666114</w:t>
            </w:r>
          </w:p>
        </w:tc>
      </w:tr>
      <w:tr>
        <w:trPr>
          <w:trHeight w:val="149"/>
        </w:trPr>
        <w:tc>
          <w:tcPr>
            <w:tcW w:w="196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340" w:type="dxa"/>
            <w:vAlign w:val="bottom"/>
          </w:tcPr>
          <w:p>
            <w:pPr>
              <w:jc w:val="center"/>
              <w:ind w:left="3922"/>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1960" w:type="dxa"/>
            <w:vAlign w:val="bottom"/>
          </w:tcPr>
          <w:p>
            <w:pPr>
              <w:jc w:val="center"/>
              <w:ind w:right="126"/>
              <w:spacing w:after="0"/>
              <w:rPr>
                <w:sz w:val="20"/>
                <w:szCs w:val="20"/>
                <w:color w:val="auto"/>
              </w:rPr>
            </w:pPr>
            <w:r>
              <w:rPr>
                <w:rFonts w:ascii="Arial" w:cs="Arial" w:eastAsia="Arial" w:hAnsi="Arial"/>
                <w:sz w:val="14"/>
                <w:szCs w:val="14"/>
                <w:b w:val="1"/>
                <w:bCs w:val="1"/>
                <w:color w:val="auto"/>
                <w:w w:val="88"/>
              </w:rPr>
              <w:t>incorporation or organization)</w:t>
            </w:r>
          </w:p>
        </w:tc>
        <w:tc>
          <w:tcPr>
            <w:tcW w:w="5340" w:type="dxa"/>
            <w:vAlign w:val="bottom"/>
          </w:tcPr>
          <w:p>
            <w:pPr>
              <w:jc w:val="center"/>
              <w:ind w:left="3922"/>
              <w:spacing w:after="0"/>
              <w:rPr>
                <w:sz w:val="20"/>
                <w:szCs w:val="20"/>
                <w:color w:val="auto"/>
              </w:rPr>
            </w:pPr>
            <w:r>
              <w:rPr>
                <w:rFonts w:ascii="Arial" w:cs="Arial" w:eastAsia="Arial" w:hAnsi="Arial"/>
                <w:sz w:val="14"/>
                <w:szCs w:val="14"/>
                <w:b w:val="1"/>
                <w:bCs w:val="1"/>
                <w:color w:val="auto"/>
                <w:w w:val="90"/>
              </w:rPr>
              <w:t>Identification Number)</w:t>
            </w:r>
          </w:p>
        </w:tc>
      </w:tr>
      <w:tr>
        <w:trPr>
          <w:trHeight w:val="364"/>
        </w:trPr>
        <w:tc>
          <w:tcPr>
            <w:tcW w:w="1960" w:type="dxa"/>
            <w:vAlign w:val="bottom"/>
          </w:tcPr>
          <w:p>
            <w:pPr>
              <w:spacing w:after="0"/>
              <w:rPr>
                <w:sz w:val="24"/>
                <w:szCs w:val="24"/>
                <w:color w:val="auto"/>
              </w:rPr>
            </w:pPr>
          </w:p>
        </w:tc>
        <w:tc>
          <w:tcPr>
            <w:tcW w:w="5340" w:type="dxa"/>
            <w:vAlign w:val="bottom"/>
          </w:tcPr>
          <w:p>
            <w:pPr>
              <w:jc w:val="center"/>
              <w:ind w:right="1802"/>
              <w:spacing w:after="0"/>
              <w:rPr>
                <w:sz w:val="20"/>
                <w:szCs w:val="20"/>
                <w:color w:val="auto"/>
              </w:rPr>
            </w:pPr>
            <w:r>
              <w:rPr>
                <w:rFonts w:ascii="Arial" w:cs="Arial" w:eastAsia="Arial" w:hAnsi="Arial"/>
                <w:sz w:val="18"/>
                <w:szCs w:val="18"/>
                <w:b w:val="1"/>
                <w:bCs w:val="1"/>
                <w:color w:val="auto"/>
                <w:w w:val="88"/>
              </w:rPr>
              <w:t>550 West Van Buren Street</w:t>
            </w:r>
          </w:p>
        </w:tc>
      </w:tr>
      <w:tr>
        <w:trPr>
          <w:trHeight w:val="216"/>
        </w:trPr>
        <w:tc>
          <w:tcPr>
            <w:tcW w:w="1960" w:type="dxa"/>
            <w:vAlign w:val="bottom"/>
          </w:tcPr>
          <w:p>
            <w:pPr>
              <w:spacing w:after="0"/>
              <w:rPr>
                <w:sz w:val="18"/>
                <w:szCs w:val="18"/>
                <w:color w:val="auto"/>
              </w:rPr>
            </w:pPr>
          </w:p>
        </w:tc>
        <w:tc>
          <w:tcPr>
            <w:tcW w:w="5340" w:type="dxa"/>
            <w:vAlign w:val="bottom"/>
          </w:tcPr>
          <w:p>
            <w:pPr>
              <w:jc w:val="center"/>
              <w:ind w:right="1802"/>
              <w:spacing w:after="0"/>
              <w:rPr>
                <w:sz w:val="20"/>
                <w:szCs w:val="20"/>
                <w:color w:val="auto"/>
              </w:rPr>
            </w:pPr>
            <w:r>
              <w:rPr>
                <w:rFonts w:ascii="Arial" w:cs="Arial" w:eastAsia="Arial" w:hAnsi="Arial"/>
                <w:sz w:val="18"/>
                <w:szCs w:val="18"/>
                <w:b w:val="1"/>
                <w:bCs w:val="1"/>
                <w:color w:val="auto"/>
                <w:w w:val="88"/>
              </w:rPr>
              <w:t>Chicago, Illinois</w:t>
            </w:r>
          </w:p>
        </w:tc>
      </w:tr>
      <w:tr>
        <w:trPr>
          <w:trHeight w:val="218"/>
        </w:trPr>
        <w:tc>
          <w:tcPr>
            <w:tcW w:w="1960" w:type="dxa"/>
            <w:vAlign w:val="bottom"/>
          </w:tcPr>
          <w:p>
            <w:pPr>
              <w:spacing w:after="0"/>
              <w:rPr>
                <w:sz w:val="18"/>
                <w:szCs w:val="18"/>
                <w:color w:val="auto"/>
              </w:rPr>
            </w:pPr>
          </w:p>
        </w:tc>
        <w:tc>
          <w:tcPr>
            <w:tcW w:w="5340" w:type="dxa"/>
            <w:vAlign w:val="bottom"/>
          </w:tcPr>
          <w:p>
            <w:pPr>
              <w:jc w:val="right"/>
              <w:ind w:right="3302"/>
              <w:spacing w:after="0"/>
              <w:rPr>
                <w:sz w:val="20"/>
                <w:szCs w:val="20"/>
                <w:color w:val="auto"/>
              </w:rPr>
            </w:pPr>
            <w:r>
              <w:rPr>
                <w:rFonts w:ascii="Arial" w:cs="Arial" w:eastAsia="Arial" w:hAnsi="Arial"/>
                <w:sz w:val="18"/>
                <w:szCs w:val="18"/>
                <w:b w:val="1"/>
                <w:bCs w:val="1"/>
                <w:color w:val="auto"/>
              </w:rPr>
              <w:t>60607</w:t>
            </w:r>
          </w:p>
        </w:tc>
      </w:tr>
      <w:tr>
        <w:trPr>
          <w:trHeight w:val="149"/>
        </w:trPr>
        <w:tc>
          <w:tcPr>
            <w:tcW w:w="1960" w:type="dxa"/>
            <w:vAlign w:val="bottom"/>
          </w:tcPr>
          <w:p>
            <w:pPr>
              <w:spacing w:after="0"/>
              <w:rPr>
                <w:sz w:val="12"/>
                <w:szCs w:val="12"/>
                <w:color w:val="auto"/>
              </w:rPr>
            </w:pPr>
          </w:p>
        </w:tc>
        <w:tc>
          <w:tcPr>
            <w:tcW w:w="5340" w:type="dxa"/>
            <w:vAlign w:val="bottom"/>
          </w:tcPr>
          <w:p>
            <w:pPr>
              <w:jc w:val="center"/>
              <w:ind w:right="1782"/>
              <w:spacing w:after="0" w:line="149" w:lineRule="exact"/>
              <w:rPr>
                <w:sz w:val="20"/>
                <w:szCs w:val="20"/>
                <w:color w:val="auto"/>
              </w:rPr>
            </w:pPr>
            <w:r>
              <w:rPr>
                <w:rFonts w:ascii="Arial" w:cs="Arial" w:eastAsia="Arial" w:hAnsi="Arial"/>
                <w:sz w:val="14"/>
                <w:szCs w:val="14"/>
                <w:b w:val="1"/>
                <w:bCs w:val="1"/>
                <w:color w:val="auto"/>
                <w:w w:val="85"/>
              </w:rPr>
              <w:t>(Address of principal executive offices)</w:t>
            </w:r>
          </w:p>
        </w:tc>
      </w:tr>
      <w:tr>
        <w:trPr>
          <w:trHeight w:val="174"/>
        </w:trPr>
        <w:tc>
          <w:tcPr>
            <w:tcW w:w="1960" w:type="dxa"/>
            <w:vAlign w:val="bottom"/>
          </w:tcPr>
          <w:p>
            <w:pPr>
              <w:spacing w:after="0"/>
              <w:rPr>
                <w:sz w:val="15"/>
                <w:szCs w:val="15"/>
                <w:color w:val="auto"/>
              </w:rPr>
            </w:pPr>
          </w:p>
        </w:tc>
        <w:tc>
          <w:tcPr>
            <w:tcW w:w="5340" w:type="dxa"/>
            <w:vAlign w:val="bottom"/>
          </w:tcPr>
          <w:p>
            <w:pPr>
              <w:jc w:val="center"/>
              <w:ind w:right="180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1960" w:type="dxa"/>
            <w:vAlign w:val="bottom"/>
          </w:tcPr>
          <w:p>
            <w:pPr>
              <w:spacing w:after="0"/>
              <w:rPr>
                <w:sz w:val="24"/>
                <w:szCs w:val="24"/>
                <w:color w:val="auto"/>
              </w:rPr>
            </w:pPr>
          </w:p>
        </w:tc>
        <w:tc>
          <w:tcPr>
            <w:tcW w:w="5340" w:type="dxa"/>
            <w:vAlign w:val="bottom"/>
          </w:tcPr>
          <w:p>
            <w:pPr>
              <w:jc w:val="right"/>
              <w:ind w:right="2982"/>
              <w:spacing w:after="0"/>
              <w:rPr>
                <w:sz w:val="20"/>
                <w:szCs w:val="20"/>
                <w:color w:val="auto"/>
              </w:rPr>
            </w:pPr>
            <w:r>
              <w:rPr>
                <w:rFonts w:ascii="Arial" w:cs="Arial" w:eastAsia="Arial" w:hAnsi="Arial"/>
                <w:sz w:val="18"/>
                <w:szCs w:val="18"/>
                <w:b w:val="1"/>
                <w:bCs w:val="1"/>
                <w:color w:val="auto"/>
              </w:rPr>
              <w:t>(312) 583-8700</w:t>
            </w:r>
          </w:p>
        </w:tc>
      </w:tr>
      <w:tr>
        <w:trPr>
          <w:trHeight w:val="174"/>
        </w:trPr>
        <w:tc>
          <w:tcPr>
            <w:tcW w:w="1960" w:type="dxa"/>
            <w:vAlign w:val="bottom"/>
          </w:tcPr>
          <w:p>
            <w:pPr>
              <w:spacing w:after="0"/>
              <w:rPr>
                <w:sz w:val="15"/>
                <w:szCs w:val="15"/>
                <w:color w:val="auto"/>
              </w:rPr>
            </w:pPr>
          </w:p>
        </w:tc>
        <w:tc>
          <w:tcPr>
            <w:tcW w:w="5340" w:type="dxa"/>
            <w:vAlign w:val="bottom"/>
          </w:tcPr>
          <w:p>
            <w:pPr>
              <w:jc w:val="center"/>
              <w:ind w:right="180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w w:val="88"/>
              </w:rPr>
              <w:t>Indicate the number of shares outstanding of each of the issuer’s classes of common stock, as of the latest practicable date.</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78"/>
        </w:trPr>
        <w:tc>
          <w:tcPr>
            <w:tcW w:w="8740" w:type="dxa"/>
            <w:vAlign w:val="bottom"/>
            <w:gridSpan w:val="2"/>
          </w:tcPr>
          <w:p>
            <w:pPr>
              <w:spacing w:after="0"/>
              <w:rPr>
                <w:sz w:val="20"/>
                <w:szCs w:val="20"/>
                <w:color w:val="auto"/>
              </w:rPr>
            </w:pPr>
            <w:r>
              <w:rPr>
                <w:rFonts w:ascii="Arial" w:cs="Arial" w:eastAsia="Arial" w:hAnsi="Arial"/>
                <w:sz w:val="18"/>
                <w:szCs w:val="18"/>
                <w:color w:val="auto"/>
                <w:w w:val="89"/>
              </w:rPr>
              <w:t>As of October 23, 2012, 22,952,487 shares of the registrant’s common stock, par value $0.01 per share, were outstanding.</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9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9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HURON CONSULTING GROUP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7"/>
            <w:vMerge w:val="restart"/>
          </w:tcPr>
          <w:p>
            <w:pPr>
              <w:spacing w:after="0"/>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Part I – Financial Information</w:t>
              </w:r>
            </w:hyperlink>
          </w:p>
        </w:tc>
        <w:tc>
          <w:tcPr>
            <w:tcW w:w="8740" w:type="dxa"/>
            <w:vAlign w:val="bottom"/>
            <w:gridSpan w:val="14"/>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2300" w:type="dxa"/>
            <w:vAlign w:val="bottom"/>
            <w:tcBorders>
              <w:bottom w:val="single" w:sz="8" w:color="0000EE"/>
            </w:tcBorders>
            <w:gridSpan w:val="7"/>
            <w:vMerge w:val="continue"/>
          </w:tcPr>
          <w:p>
            <w:pPr>
              <w:spacing w:after="0"/>
              <w:rPr>
                <w:sz w:val="13"/>
                <w:szCs w:val="13"/>
                <w:color w:val="auto"/>
              </w:rPr>
            </w:pPr>
          </w:p>
        </w:tc>
        <w:tc>
          <w:tcPr>
            <w:tcW w:w="8740" w:type="dxa"/>
            <w:vAlign w:val="bottom"/>
            <w:gridSpan w:val="14"/>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ind w:left="460"/>
              <w:spacing w:after="0"/>
              <w:rPr>
                <w:sz w:val="20"/>
                <w:szCs w:val="20"/>
                <w:color w:val="auto"/>
              </w:rPr>
            </w:pPr>
            <w:r>
              <w:rPr>
                <w:rFonts w:ascii="Arial" w:cs="Arial" w:eastAsia="Arial" w:hAnsi="Arial"/>
                <w:sz w:val="18"/>
                <w:szCs w:val="18"/>
                <w:color w:val="auto"/>
              </w:rPr>
              <w:t>Item 1.</w:t>
            </w:r>
          </w:p>
        </w:tc>
        <w:tc>
          <w:tcPr>
            <w:tcW w:w="982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6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Statements of Earnings and Other Comprehensive Income</w:t>
              </w:r>
            </w:hyperlink>
          </w:p>
        </w:tc>
        <w:tc>
          <w:tcPr>
            <w:tcW w:w="43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 of Stockholders’ Equity</w:t>
              </w:r>
            </w:hyperlink>
          </w:p>
        </w:tc>
        <w:tc>
          <w:tcPr>
            <w:tcW w:w="60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Consolidated Financial Statements</w:t>
              </w:r>
            </w:hyperlink>
          </w:p>
        </w:tc>
        <w:tc>
          <w:tcPr>
            <w:tcW w:w="63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220" w:type="dxa"/>
            <w:vAlign w:val="bottom"/>
            <w:gridSpan w:val="2"/>
          </w:tcPr>
          <w:p>
            <w:pPr>
              <w:ind w:left="460"/>
              <w:spacing w:after="0"/>
              <w:rPr>
                <w:sz w:val="20"/>
                <w:szCs w:val="20"/>
                <w:color w:val="auto"/>
              </w:rPr>
            </w:pPr>
            <w:r>
              <w:rPr>
                <w:rFonts w:ascii="Arial" w:cs="Arial" w:eastAsia="Arial" w:hAnsi="Arial"/>
                <w:sz w:val="18"/>
                <w:szCs w:val="18"/>
                <w:color w:val="auto"/>
              </w:rPr>
              <w:t>Item 2.</w:t>
            </w:r>
          </w:p>
        </w:tc>
        <w:tc>
          <w:tcPr>
            <w:tcW w:w="982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220" w:type="dxa"/>
            <w:vAlign w:val="bottom"/>
            <w:gridSpan w:val="2"/>
          </w:tcPr>
          <w:p>
            <w:pPr>
              <w:ind w:left="460"/>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Quantitative and Qualitative Disclosures About Market Risk</w:t>
              </w:r>
            </w:hyperlink>
          </w:p>
        </w:tc>
        <w:tc>
          <w:tcPr>
            <w:tcW w:w="2020" w:type="dxa"/>
            <w:vAlign w:val="bottom"/>
            <w:tcBorders>
              <w:top w:val="single" w:sz="8" w:color="0000EE"/>
            </w:tcBorders>
            <w:gridSpan w:val="2"/>
          </w:tcPr>
          <w:p>
            <w:pPr>
              <w:spacing w:after="0"/>
              <w:rPr>
                <w:sz w:val="24"/>
                <w:szCs w:val="24"/>
                <w:color w:val="auto"/>
              </w:rPr>
            </w:pPr>
          </w:p>
        </w:tc>
        <w:tc>
          <w:tcPr>
            <w:tcW w:w="35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220" w:type="dxa"/>
            <w:vAlign w:val="bottom"/>
            <w:gridSpan w:val="2"/>
          </w:tcPr>
          <w:p>
            <w:pPr>
              <w:ind w:left="460"/>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38">
              <w:r>
                <w:rPr>
                  <w:rFonts w:ascii="Arial" w:cs="Arial" w:eastAsia="Arial" w:hAnsi="Arial"/>
                  <w:sz w:val="18"/>
                  <w:szCs w:val="18"/>
                  <w:color w:val="0000EE"/>
                  <w:w w:val="85"/>
                </w:rPr>
                <w:t>Controls and Procedures</w:t>
              </w:r>
            </w:hyperlink>
          </w:p>
        </w:tc>
        <w:tc>
          <w:tcPr>
            <w:tcW w:w="810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2120" w:type="dxa"/>
            <w:vAlign w:val="bottom"/>
            <w:tcBorders>
              <w:bottom w:val="single" w:sz="8" w:color="0000EE"/>
            </w:tcBorders>
            <w:gridSpan w:val="6"/>
          </w:tcPr>
          <w:p>
            <w:pPr>
              <w:spacing w:after="0"/>
              <w:rPr>
                <w:rFonts w:ascii="Arial" w:cs="Arial" w:eastAsia="Arial" w:hAnsi="Arial"/>
                <w:sz w:val="18"/>
                <w:szCs w:val="18"/>
                <w:b w:val="1"/>
                <w:bCs w:val="1"/>
                <w:color w:val="0000EE"/>
                <w:w w:val="94"/>
              </w:rPr>
            </w:pPr>
            <w:hyperlink w:anchor="page38">
              <w:r>
                <w:rPr>
                  <w:rFonts w:ascii="Arial" w:cs="Arial" w:eastAsia="Arial" w:hAnsi="Arial"/>
                  <w:sz w:val="18"/>
                  <w:szCs w:val="18"/>
                  <w:b w:val="1"/>
                  <w:bCs w:val="1"/>
                  <w:color w:val="0000EE"/>
                  <w:w w:val="94"/>
                </w:rPr>
                <w:t>Part II – Other Information</w:t>
              </w:r>
            </w:hyperlink>
          </w:p>
        </w:tc>
        <w:tc>
          <w:tcPr>
            <w:tcW w:w="8920" w:type="dxa"/>
            <w:vAlign w:val="bottom"/>
            <w:gridSpan w:val="15"/>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ind w:left="460"/>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38">
              <w:r>
                <w:rPr>
                  <w:rFonts w:ascii="Arial" w:cs="Arial" w:eastAsia="Arial" w:hAnsi="Arial"/>
                  <w:sz w:val="18"/>
                  <w:szCs w:val="18"/>
                  <w:color w:val="0000EE"/>
                  <w:w w:val="85"/>
                </w:rPr>
                <w:t>Legal Proceedings</w:t>
              </w:r>
            </w:hyperlink>
          </w:p>
        </w:tc>
        <w:tc>
          <w:tcPr>
            <w:tcW w:w="852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220" w:type="dxa"/>
            <w:vAlign w:val="bottom"/>
            <w:gridSpan w:val="2"/>
          </w:tcPr>
          <w:p>
            <w:pPr>
              <w:ind w:left="460"/>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Risk Factors</w:t>
              </w:r>
            </w:hyperlink>
          </w:p>
        </w:tc>
        <w:tc>
          <w:tcPr>
            <w:tcW w:w="894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220" w:type="dxa"/>
            <w:vAlign w:val="bottom"/>
            <w:gridSpan w:val="2"/>
          </w:tcPr>
          <w:p>
            <w:pPr>
              <w:ind w:left="460"/>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39">
              <w:r>
                <w:rPr>
                  <w:rFonts w:ascii="Arial" w:cs="Arial" w:eastAsia="Arial" w:hAnsi="Arial"/>
                  <w:sz w:val="18"/>
                  <w:szCs w:val="18"/>
                  <w:color w:val="0000EE"/>
                  <w:w w:val="86"/>
                </w:rPr>
                <w:t>Unregistered Sales of Equity Securities and Use of Proceeds</w:t>
              </w:r>
            </w:hyperlink>
          </w:p>
        </w:tc>
        <w:tc>
          <w:tcPr>
            <w:tcW w:w="55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220" w:type="dxa"/>
            <w:vAlign w:val="bottom"/>
            <w:gridSpan w:val="2"/>
          </w:tcPr>
          <w:p>
            <w:pPr>
              <w:ind w:left="460"/>
              <w:spacing w:after="0"/>
              <w:rPr>
                <w:sz w:val="20"/>
                <w:szCs w:val="20"/>
                <w:color w:val="auto"/>
              </w:rPr>
            </w:pPr>
            <w:r>
              <w:rPr>
                <w:rFonts w:ascii="Arial" w:cs="Arial" w:eastAsia="Arial" w:hAnsi="Arial"/>
                <w:sz w:val="18"/>
                <w:szCs w:val="18"/>
                <w:color w:val="auto"/>
              </w:rPr>
              <w:t>Item 3.</w:t>
            </w:r>
          </w:p>
        </w:tc>
        <w:tc>
          <w:tcPr>
            <w:tcW w:w="226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Defaults Upon Senior Securities</w:t>
              </w:r>
            </w:hyperlink>
          </w:p>
        </w:tc>
        <w:tc>
          <w:tcPr>
            <w:tcW w:w="756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220" w:type="dxa"/>
            <w:vAlign w:val="bottom"/>
            <w:gridSpan w:val="2"/>
          </w:tcPr>
          <w:p>
            <w:pPr>
              <w:ind w:left="460"/>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Mine Safety Disclosures</w:t>
              </w:r>
            </w:hyperlink>
          </w:p>
        </w:tc>
        <w:tc>
          <w:tcPr>
            <w:tcW w:w="810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220" w:type="dxa"/>
            <w:vAlign w:val="bottom"/>
            <w:gridSpan w:val="2"/>
          </w:tcPr>
          <w:p>
            <w:pPr>
              <w:ind w:left="460"/>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Other Information</w:t>
              </w:r>
            </w:hyperlink>
          </w:p>
        </w:tc>
        <w:tc>
          <w:tcPr>
            <w:tcW w:w="854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220" w:type="dxa"/>
            <w:vAlign w:val="bottom"/>
            <w:gridSpan w:val="2"/>
          </w:tcPr>
          <w:p>
            <w:pPr>
              <w:ind w:left="460"/>
              <w:spacing w:after="0"/>
              <w:rPr>
                <w:sz w:val="20"/>
                <w:szCs w:val="20"/>
                <w:color w:val="auto"/>
              </w:rPr>
            </w:pPr>
            <w:r>
              <w:rPr>
                <w:rFonts w:ascii="Arial" w:cs="Arial" w:eastAsia="Arial" w:hAnsi="Arial"/>
                <w:sz w:val="18"/>
                <w:szCs w:val="18"/>
                <w:color w:val="auto"/>
              </w:rPr>
              <w:t>Item 6.</w:t>
            </w:r>
          </w:p>
        </w:tc>
        <w:tc>
          <w:tcPr>
            <w:tcW w:w="982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tcPr>
          <w:p>
            <w:pPr>
              <w:spacing w:after="0"/>
              <w:rPr>
                <w:rFonts w:ascii="Arial" w:cs="Arial" w:eastAsia="Arial" w:hAnsi="Arial"/>
                <w:sz w:val="18"/>
                <w:szCs w:val="18"/>
                <w:b w:val="1"/>
                <w:bCs w:val="1"/>
                <w:color w:val="0000EE"/>
                <w:w w:val="86"/>
              </w:rPr>
            </w:pPr>
            <w:hyperlink w:anchor="page41">
              <w:r>
                <w:rPr>
                  <w:rFonts w:ascii="Arial" w:cs="Arial" w:eastAsia="Arial" w:hAnsi="Arial"/>
                  <w:sz w:val="18"/>
                  <w:szCs w:val="18"/>
                  <w:b w:val="1"/>
                  <w:bCs w:val="1"/>
                  <w:color w:val="0000EE"/>
                  <w:w w:val="86"/>
                </w:rPr>
                <w:t>Signature</w:t>
              </w:r>
            </w:hyperlink>
          </w:p>
        </w:tc>
        <w:tc>
          <w:tcPr>
            <w:tcW w:w="48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Receivables from clients,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104,037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Unbilled services,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Income tax receivable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14,602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assets of 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191,598</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211,524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15,048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518,472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512,185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777,340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786,644</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1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8,254</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Accrued payroll and related benefits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41,919</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consideration for business acquisitions, current portion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Income tax payable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Current liabilities of discontinued operations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169,702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 and other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Bank borrowings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222,500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lease incentives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13,178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consideration for business acquisitions, net of current portion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Non-current liabilities of discontinued operations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non-current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254,987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220,153</w:t>
            </w: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w w:val="91"/>
              </w:rPr>
              <w:t>Common stock; $0.01 par value; 500,000,000 shares authorized; 24,771,866 and 24,208,549 shares issued at September 30,</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2012 and December 31, 2011, respectively</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238</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w w:val="96"/>
              </w:rPr>
              <w:t>Treasury stock, at cost, 1,817,546 and 1,642,018 shares at September 30, 2012 and December 31, 2011, respectively</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(82,177)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416,252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400,597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(1,187)</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423,854</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396,789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777,340</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786,644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AND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 and reimbursable expenses: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161,888</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153,579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445,196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443,270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Total revenues and reimbursable expenses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175,358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166,719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487,016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481,550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 xml:space="preserve">Direct costs and reimbursable expenses </w:t>
            </w:r>
            <w:r>
              <w:rPr>
                <w:rFonts w:ascii="Arial" w:cs="Arial" w:eastAsia="Arial" w:hAnsi="Arial"/>
                <w:sz w:val="18"/>
                <w:szCs w:val="18"/>
                <w:color w:val="auto"/>
                <w:w w:val="99"/>
              </w:rPr>
              <w:t>(exclusive of depreciation and amortization shown in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Direct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89,283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92,865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277,942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272,072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Reimbursable expenses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direct costs and reimbursable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103,475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107,179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322,821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314,569</w:t>
            </w:r>
          </w:p>
        </w:tc>
        <w:tc>
          <w:tcPr>
            <w:tcW w:w="0" w:type="dxa"/>
            <w:vAlign w:val="bottom"/>
          </w:tcPr>
          <w:p>
            <w:pPr>
              <w:spacing w:after="0"/>
              <w:rPr>
                <w:sz w:val="1"/>
                <w:szCs w:val="1"/>
                <w:color w:val="auto"/>
              </w:rPr>
            </w:pPr>
          </w:p>
        </w:tc>
      </w:tr>
      <w:tr>
        <w:trPr>
          <w:trHeight w:val="221"/>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92,437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Restatement related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Litigation settlements, net</w:t>
            </w: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Goodwill impairment charge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125,293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130,163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3,704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38,902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36,818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Interest expense, net of interest income</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(6,193)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vMerge w:val="restart"/>
          </w:tcPr>
          <w:p>
            <w:pPr>
              <w:ind w:left="420"/>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(2,176)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(3,333)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(5,887)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15,707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17,826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14,014</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Net earnings per basic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Net earnings per diluted share: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Weighted average shares used in calculating earnings per share: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21,968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22,247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21,535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10,463</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489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17,826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 gain, net of tax</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Unrealized (loss) gain on cash flow hedging instruments, net of tax</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10,815</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377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17,848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40" w:type="dxa"/>
            <w:vAlign w:val="bottom"/>
            <w:gridSpan w:val="3"/>
          </w:tcPr>
          <w:p>
            <w:pPr>
              <w:ind w:left="320"/>
              <w:spacing w:after="0"/>
              <w:rPr>
                <w:sz w:val="20"/>
                <w:szCs w:val="20"/>
                <w:color w:val="auto"/>
              </w:rPr>
            </w:pPr>
            <w:r>
              <w:rPr>
                <w:rFonts w:ascii="Arial" w:cs="Arial" w:eastAsia="Arial" w:hAnsi="Arial"/>
                <w:sz w:val="14"/>
                <w:szCs w:val="14"/>
                <w:b w:val="1"/>
                <w:bCs w:val="1"/>
                <w:color w:val="auto"/>
                <w:w w:val="87"/>
              </w:rPr>
              <w:t>Common Stock</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Additional Paid-</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60" w:type="dxa"/>
            <w:vAlign w:val="bottom"/>
          </w:tcPr>
          <w:p>
            <w:pPr>
              <w:jc w:val="right"/>
              <w:ind w:right="156"/>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820" w:type="dxa"/>
            <w:vAlign w:val="bottom"/>
          </w:tcPr>
          <w:p>
            <w:pPr>
              <w:jc w:val="right"/>
              <w:ind w:right="94"/>
              <w:spacing w:after="0"/>
              <w:rPr>
                <w:sz w:val="20"/>
                <w:szCs w:val="20"/>
                <w:color w:val="auto"/>
              </w:rPr>
            </w:pPr>
            <w:r>
              <w:rPr>
                <w:rFonts w:ascii="Arial" w:cs="Arial" w:eastAsia="Arial" w:hAnsi="Arial"/>
                <w:sz w:val="14"/>
                <w:szCs w:val="14"/>
                <w:b w:val="1"/>
                <w:bCs w:val="1"/>
                <w:color w:val="auto"/>
                <w:w w:val="98"/>
              </w:rPr>
              <w:t>In Capital</w:t>
            </w:r>
          </w:p>
        </w:tc>
        <w:tc>
          <w:tcPr>
            <w:tcW w:w="18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Earnings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23,362,828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234</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(1,679,033)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(75,735)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400,597</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$72,902</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396,789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17,826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w w:val="92"/>
              </w:rPr>
              <w:t>Restricted stock awards, net of cancellations</w:t>
            </w:r>
          </w:p>
        </w:tc>
        <w:tc>
          <w:tcPr>
            <w:tcW w:w="860" w:type="dxa"/>
            <w:vAlign w:val="bottom"/>
          </w:tcPr>
          <w:p>
            <w:pPr>
              <w:jc w:val="right"/>
              <w:spacing w:after="0"/>
              <w:rPr>
                <w:sz w:val="20"/>
                <w:szCs w:val="20"/>
                <w:color w:val="auto"/>
              </w:rPr>
            </w:pPr>
            <w:r>
              <w:rPr>
                <w:rFonts w:ascii="Arial" w:cs="Arial" w:eastAsia="Arial" w:hAnsi="Arial"/>
                <w:sz w:val="18"/>
                <w:szCs w:val="18"/>
                <w:color w:val="auto"/>
              </w:rPr>
              <w:t>405,870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(62,147)</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(2,568)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2,564</w:t>
            </w: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12,353</w:t>
            </w:r>
          </w:p>
        </w:tc>
        <w:tc>
          <w:tcPr>
            <w:tcW w:w="1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Shares withheld for employee tax withholdings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(101,839)</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(3,874)</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w w:val="93"/>
              </w:rPr>
              <w:t>Income tax benefit on share-based compensation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23,791,506</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238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(1,843,019)</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(82,177)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416,252</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90,728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423,854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17,826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Allowances for doubtful accounts and unbilled services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charge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Non-cash portion of litigation settlement</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businesses acquired: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Decrease (increase) in receivables from clients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unbilled services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(10,698)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Decrease in current income tax receivable,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other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Decrease in accounts payable and accrued liabilities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(4,783)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accrued payroll and related benefits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(24,092)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(Decrease) increase in deferred revenues</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(14,616)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(14,344)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Net investment in life insurance policies</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Purchases of businesses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(53,832)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(68,745)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Shares redeemed for employee tax withholdings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Tax benefit from share-based compensation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borrowings under credit facility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244,000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Repayments on credit facility</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(215,000)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(253,250)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Payments of capital lease obligations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vMerge w:val="restart"/>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26,473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2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(1,868)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Cash and cash equivalents at beginning of the period </w:t>
            </w:r>
            <w:r>
              <w:rPr>
                <w:rFonts w:ascii="Arial" w:cs="Arial" w:eastAsia="Arial" w:hAnsi="Arial"/>
                <w:sz w:val="11"/>
                <w:szCs w:val="11"/>
                <w:color w:val="auto"/>
              </w:rPr>
              <w:t>(1)</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3,212</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in connection with settlement of class action lawsuit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Deferred payments related to business acquisitions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10,272</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0" w:lineRule="exact"/>
        <w:rPr>
          <w:sz w:val="20"/>
          <w:szCs w:val="20"/>
          <w:color w:val="auto"/>
        </w:rPr>
      </w:pPr>
    </w:p>
    <w:p>
      <w:pPr>
        <w:ind w:left="460" w:right="32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presented herein includes $0.1 million of cash and cash equivalents classified as discontinued operations as of December 31, 2010.</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a leading provider of operational and financial consulting services. We help clients in diverse industries improve performance, comply with complex regulations, reduce costs, recover from distress, leverage technology, process and review large amounts of complex data, and stimulate growth. We team with our clients to deliver sustainable and measurable results. Our professionals employ their expertise in healthcare administration, finance and operations to provide our clients with specialized analyses and customized advice and solutions that are tailored to address each client’s particular challenges and opportunities. We provide consulting services to a wide variety of both financially sound and distressed organizations, including healthcare organizations, leading academic institutions, governmental entities, Fortune 500 companies, medium-sized businesses, and the law firms that represent these various organizations.</w:t>
      </w:r>
    </w:p>
    <w:p>
      <w:pPr>
        <w:spacing w:after="0" w:line="23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accompanying unaudited Consolidated Financial Statements reflect the financial position, results of operations and cash flows as of and for the three and nine months ended September 30, 2012 and 2011.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presentation of our financial position, results of operations and cash flows for the interim periods presented in conformity with GAAP. These financial statements should be read in conjunction with the Consolidated Financial Statements and notes thereto for the year ended December 31, 2011 included in our Annual Report on Form 10-K and our Quarterly Reports on Form 10-Q for the periods ended March 31, 2012 and June 30, 2012.</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Certain amounts reported in the previous year have been reclassified to conform to the 2012 presentation. Our results for any interim period are not necessarily indicative of results for a full year or any other interim period.</w:t>
      </w:r>
    </w:p>
    <w:p>
      <w:pPr>
        <w:spacing w:after="0" w:line="24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June 2011, the FASB issued ASU 2011-05, “Comprehensive Income (Topic 220): Presentation of Comprehensive Income,” which amends current comprehensive income guidance. This accounting update eliminates the option to present the components of other comprehensive income as part of the statement of shareholders’ equity. Instead, the Company must report comprehensive income in either a single continuous statement of comprehensive income which contains two sections, net income and other comprehensive income, or in two separate but consecutive statements. The Company adopted this pronouncement in the first quarter of 2012. However, ASU 2011-12, “Deferral of the Effective Date for Amendments to the Presentation of Reclassifications of Items Out of Accumulated Other Comprehensive Income in Accounting Standards Update No. 2011-05,” has deferred the specific requirement within ASU 2011-05 to present on the face of the financial statements items that are reclassified from accumulated other comprehensive income to net income separately with their respective components of net income and other comprehensive income. ASU 2011-12 would still require companies to report reclassifications out of accumulated other comprehensive income consistent with the presentation requirements in effect before ASU 2011-05. The Company does not expect the guidance in ASU 2011-12 to impact its Consolidated Financial Statements, as it only requires a change in the format of presentation.</w:t>
      </w:r>
    </w:p>
    <w:p>
      <w:pPr>
        <w:spacing w:after="0" w:line="23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recent years, we have undertaken several separate initiatives to divest certain practices within the Financial Consulting segment in order to enable us to devote more of our energy and financial resources to the remaining businesses of the Company where we have a more substantial market presence. On December 30, 2011, we sold the Accounting Advisory (“AA”) practice to a group of investors including the managing director of the practice at the time. On September 30, 2010, we completed a sale of a portion of the Disputes and Investigations (“D&amp;I”) practice and wound down the remaining practice operations as of that same date. Additionally, during the third quarter of 2010 we exited the Utilities Consulting (“Utilities”) practice. In December 2009, our Board of Directors approved a plan to divest the businesses that included the international operations of our Japan office (“Japan”). On June 30, 2010, we exited Japan via a wind down of the business.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Company recognized a loss of $1.9 million in connection with the sale of AA in 2011 and a gain of $1.2 million in connection with the sale of D&amp;I in 2010.</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a result of these actions, the operating results of AA, D&amp;I, Utilities and Japan are reported as “discontinued operations.” All other operations of the business are considered “continuing operations.” Amounts previously reported have been reclassified to conform to this presentation in accordance with FASB ASC Topic 205, “Presentation of Financial Statements,” to allow for meaningful comparison of continuing operations. The Consolidated Balance Sheets as of September 30, 2012 and December 31, 2011 aggregate amounts associated with the discontinued operations as described above. Summarized operating results of discontinued operations are presented in the following table (amounts in thousands):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8"/>
              </w:rPr>
              <w:t>Three Months Ended</w:t>
            </w:r>
          </w:p>
        </w:tc>
        <w:tc>
          <w:tcPr>
            <w:tcW w:w="180" w:type="dxa"/>
            <w:vAlign w:val="bottom"/>
          </w:tcPr>
          <w:p>
            <w:pPr>
              <w:spacing w:after="0"/>
              <w:rPr>
                <w:sz w:val="14"/>
                <w:szCs w:val="14"/>
                <w:color w:val="auto"/>
              </w:rPr>
            </w:pPr>
          </w:p>
        </w:tc>
        <w:tc>
          <w:tcPr>
            <w:tcW w:w="14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4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$ 683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160" w:type="dxa"/>
            <w:vAlign w:val="bottom"/>
            <w:gridSpan w:val="2"/>
          </w:tcPr>
          <w:p>
            <w:pPr>
              <w:spacing w:after="0"/>
              <w:rPr>
                <w:sz w:val="20"/>
                <w:szCs w:val="20"/>
                <w:color w:val="auto"/>
              </w:rPr>
            </w:pPr>
            <w:r>
              <w:rPr>
                <w:rFonts w:ascii="Arial" w:cs="Arial" w:eastAsia="Arial" w:hAnsi="Arial"/>
                <w:sz w:val="18"/>
                <w:szCs w:val="18"/>
                <w:color w:val="auto"/>
              </w:rPr>
              <w:t xml:space="preserve">Income (loss) from discontinued operations before income tax expense </w:t>
            </w:r>
            <w:r>
              <w:rPr>
                <w:rFonts w:ascii="Arial" w:cs="Arial" w:eastAsia="Arial" w:hAnsi="Arial"/>
                <w:sz w:val="11"/>
                <w:szCs w:val="11"/>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(1,393)</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84"/>
              </w:rPr>
              <w:t>$ 836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w:t>
            </w: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$ 518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right="74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goodwill impairment charge of $1.9 million for both the three and nine months ended September 30, 2011, respectively, allocated to the accounting advisory practice.</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carrying amounts of the major classes of assets and liabilities aggregated in discontinued operations in the Consolidated Balance Sheets as of September 30, 2012 and December 31, 2011 are presented in the following table.</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840" w:type="dxa"/>
            <w:vAlign w:val="bottom"/>
            <w:gridSpan w:val="3"/>
          </w:tcPr>
          <w:p>
            <w:pPr>
              <w:ind w:left="2020"/>
              <w:spacing w:after="0"/>
              <w:rPr>
                <w:sz w:val="20"/>
                <w:szCs w:val="20"/>
                <w:color w:val="auto"/>
              </w:rPr>
            </w:pPr>
            <w:r>
              <w:rPr>
                <w:rFonts w:ascii="Arial" w:cs="Arial" w:eastAsia="Arial" w:hAnsi="Arial"/>
                <w:sz w:val="14"/>
                <w:szCs w:val="14"/>
                <w:b w:val="1"/>
                <w:bCs w:val="1"/>
                <w:color w:val="auto"/>
                <w:w w:val="83"/>
              </w:rPr>
              <w:t>September 30,</w:t>
            </w:r>
          </w:p>
        </w:tc>
        <w:tc>
          <w:tcPr>
            <w:tcW w:w="1720" w:type="dxa"/>
            <w:vAlign w:val="bottom"/>
            <w:gridSpan w:val="4"/>
          </w:tcPr>
          <w:p>
            <w:pPr>
              <w:ind w:left="8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12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Receivables from clients, net</w:t>
            </w:r>
          </w:p>
        </w:tc>
        <w:tc>
          <w:tcPr>
            <w:tcW w:w="220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w w:val="79"/>
              </w:rPr>
              <w:t>251</w:t>
            </w:r>
          </w:p>
        </w:tc>
        <w:tc>
          <w:tcPr>
            <w:tcW w:w="10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2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79"/>
              </w:rPr>
              <w:t>251</w:t>
            </w:r>
          </w:p>
        </w:tc>
        <w:tc>
          <w:tcPr>
            <w:tcW w:w="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20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251</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2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benefits</w:t>
            </w:r>
          </w:p>
        </w:tc>
        <w:tc>
          <w:tcPr>
            <w:tcW w:w="220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w w:val="90"/>
              </w:rPr>
              <w:t>Accounts payable, accrued expenses and other liabilities</w:t>
            </w:r>
          </w:p>
        </w:tc>
        <w:tc>
          <w:tcPr>
            <w:tcW w:w="2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79"/>
              </w:rPr>
              <w:t>106</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106</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20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106</w:t>
            </w:r>
          </w:p>
        </w:tc>
        <w:tc>
          <w:tcPr>
            <w:tcW w:w="1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20" w:type="dxa"/>
            <w:vAlign w:val="bottom"/>
            <w:vMerge w:val="restart"/>
          </w:tcPr>
          <w:p>
            <w:pPr>
              <w:ind w:left="180"/>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amount of goodwill by segment for the nine months ended September 30, 2012.</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Health and</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Education</w:t>
            </w:r>
          </w:p>
        </w:tc>
        <w:tc>
          <w:tcPr>
            <w:tcW w:w="200" w:type="dxa"/>
            <w:vAlign w:val="bottom"/>
          </w:tcPr>
          <w:p>
            <w:pPr>
              <w:spacing w:after="0"/>
              <w:rPr>
                <w:sz w:val="12"/>
                <w:szCs w:val="12"/>
                <w:color w:val="auto"/>
              </w:rPr>
            </w:pPr>
          </w:p>
        </w:tc>
        <w:tc>
          <w:tcPr>
            <w:tcW w:w="11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Legal</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5"/>
              </w:rPr>
              <w:t>Financial</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Consulting</w:t>
            </w:r>
          </w:p>
        </w:tc>
        <w:tc>
          <w:tcPr>
            <w:tcW w:w="20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4"/>
              </w:rPr>
              <w:t>Consulting</w:t>
            </w: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0"/>
              </w:rPr>
              <w:t>Consulting</w:t>
            </w:r>
          </w:p>
        </w:tc>
        <w:tc>
          <w:tcPr>
            <w:tcW w:w="2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 2011:</w:t>
            </w:r>
          </w:p>
        </w:tc>
        <w:tc>
          <w:tcPr>
            <w:tcW w:w="9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Goodwill</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$450,828</w:t>
            </w:r>
          </w:p>
        </w:tc>
        <w:tc>
          <w:tcPr>
            <w:tcW w:w="280" w:type="dxa"/>
            <w:vAlign w:val="bottom"/>
          </w:tcPr>
          <w:p>
            <w:pPr>
              <w:spacing w:after="0"/>
              <w:rPr>
                <w:sz w:val="18"/>
                <w:szCs w:val="18"/>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8"/>
                <w:szCs w:val="18"/>
                <w:color w:val="auto"/>
              </w:rPr>
              <w:t>$ 33,180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158,077</w:t>
            </w:r>
          </w:p>
        </w:tc>
        <w:tc>
          <w:tcPr>
            <w:tcW w:w="2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$ 642,085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(129,900)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(129,900)</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Goodwill, net as of December 31, 2011</w:t>
            </w:r>
          </w:p>
        </w:tc>
        <w:tc>
          <w:tcPr>
            <w:tcW w:w="9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450,828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33,180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28,177</w:t>
            </w:r>
          </w:p>
        </w:tc>
        <w:tc>
          <w:tcPr>
            <w:tcW w:w="2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512,185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Goodwill recorded in connection with business combinations</w:t>
            </w:r>
          </w:p>
        </w:tc>
        <w:tc>
          <w:tcPr>
            <w:tcW w:w="9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13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19,312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48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Goodwill reallocation</w:t>
            </w:r>
          </w:p>
        </w:tc>
        <w:tc>
          <w:tcPr>
            <w:tcW w:w="1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Impairment charge</w:t>
            </w:r>
          </w:p>
        </w:tc>
        <w:tc>
          <w:tcPr>
            <w:tcW w:w="9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(13,083)</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(13,083)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Goodwill, net as of September 30, 2012</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449,464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$ 52,914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16,094</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$ 518,472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the second quarter of 2012, our Financial Consulting segment leadership undertook several initiatives intended to improve the segment’s financial performance. While the segment’s third quarter financial results improved over the second quarter results, the progress of the financial, operational, and business development improvements was not in line with our expectations. We now believe the likely time frame to improve the segment’s performance will be longer than originally anticipated. Therefore, we concluded that the carrying value of the segment likely exceeds its fair value and, in connection with the preparation of our financial statements for the quarter ended September 30, 2012, we performed an interim impairment test.</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Goodwill impairment is determined using a two-step process. The first step of the goodwill impairment test is to identify potential impairment by comparing the fair value of a reporting unit with its net book value (or carrying amount), including goodwill. If the fair value of a reporting unit exceeds its carrying amount, goodwill of the reporting unit is considered not to be impaired and the second step of the impairment test is unnecessary. If the carrying amount of the reporting unit exceeds its fair value, the second step of the goodwill impairment test is performed to measure the amount of the impairment loss, if any. The second step of the goodwill impairment test compares the implied fair value of the reporting unit’s goodwill with the carrying amount of that goodwill. If the carrying amount of the reporting unit’s goodwill exceeds the implied fair value of that goodwill, an impairment loss is recognized in an amount equal to that excess. The implied fair value of goodwill is determined in the same manner as the amount of goodwill recognized in a business combination. That is, the fair value of the reporting unit is allocated to all of the assets and liabilities of that unit (including any unrecognized intangible assets) as if the reporting unit had been acquired in a business combination and the fair value of the reporting unit was the purchase price paid to acquire the reporting unit.</w:t>
      </w:r>
    </w:p>
    <w:p>
      <w:pPr>
        <w:spacing w:after="0" w:line="12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Based on the result of the first step of the goodwill impairment analysis, we determined that the fair value of our Financial Consulting segment was less than its carrying value as of September 30, 2012 and, as such, we applied the second step of the goodwill impairment test to this segment. Based on the result of this second step of the goodwill impairment analysis, we recorded a $13.1 million non-cash pretax charge to reduce the carrying value of goodwill in our Financial Consulting segment. As a result of the charge recognized during the third quarter, the carrying amount of our total goodwill was reduced to $518.5 million at September 30, 2012.</w:t>
      </w:r>
    </w:p>
    <w:p>
      <w:pPr>
        <w:spacing w:after="0" w:line="14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During the first nine months of 2012, the Company completed two acquisitions within the Legal Consulting segment; Ascertus Ltd., a London-based source of software solutions and professional services for corporate legal departments and law firms, and AdamsGrayson, a managed review and legal staffing firm based in Washington, D.C. The aggregate purchase price of the two acquisitions totaled $32.0 million. In accordance with FASB ASC Topic 805, “Business Combinations”, we recorded $8.6 million of intangible assets and $19.3 million of goodwill related to these two acquisitions.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From time to time, we reorganize our internal organizational structure to better align our service offerings. During the first quarter of 2012, we moved our healthcare valuation consulting practice from our Health and Education Consulting segment to our Financial Consulting segment. As a result, $1.0 million of related goodwill was also reallocated between these segments using a relative fair value approach.</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2012 and December 31, 2011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gridSpan w:val="6"/>
          </w:tcPr>
          <w:p>
            <w:pPr>
              <w:ind w:left="380"/>
              <w:spacing w:after="0"/>
              <w:rPr>
                <w:sz w:val="20"/>
                <w:szCs w:val="20"/>
                <w:color w:val="auto"/>
              </w:rPr>
            </w:pPr>
            <w:r>
              <w:rPr>
                <w:rFonts w:ascii="Arial" w:cs="Arial" w:eastAsia="Arial" w:hAnsi="Arial"/>
                <w:sz w:val="14"/>
                <w:szCs w:val="14"/>
                <w:b w:val="1"/>
                <w:bCs w:val="1"/>
                <w:color w:val="auto"/>
              </w:rPr>
              <w:t>September 30, 2012</w:t>
            </w:r>
          </w:p>
        </w:tc>
        <w:tc>
          <w:tcPr>
            <w:tcW w:w="202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6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top w:val="single" w:sz="8" w:color="auto"/>
            </w:tcBorders>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83"/>
              </w:rPr>
              <w:t>Gross</w:t>
            </w:r>
          </w:p>
        </w:tc>
        <w:tc>
          <w:tcPr>
            <w:tcW w:w="5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78"/>
              </w:rPr>
              <w:t>Gross</w:t>
            </w: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Carrying</w:t>
            </w:r>
          </w:p>
        </w:tc>
        <w:tc>
          <w:tcPr>
            <w:tcW w:w="54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56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61"/>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Amount</w:t>
            </w:r>
          </w:p>
        </w:tc>
        <w:tc>
          <w:tcPr>
            <w:tcW w:w="5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$24,856</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9,353</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$17,367</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7,256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5,425</w:t>
            </w:r>
          </w:p>
        </w:tc>
        <w:tc>
          <w:tcPr>
            <w:tcW w:w="580" w:type="dxa"/>
            <w:vAlign w:val="bottom"/>
          </w:tcPr>
          <w:p>
            <w:pPr>
              <w:jc w:val="right"/>
              <w:spacing w:after="0"/>
              <w:rPr>
                <w:sz w:val="20"/>
                <w:szCs w:val="20"/>
                <w:color w:val="auto"/>
              </w:rPr>
            </w:pPr>
            <w:r>
              <w:rPr>
                <w:rFonts w:ascii="Arial" w:cs="Arial" w:eastAsia="Arial" w:hAnsi="Arial"/>
                <w:sz w:val="18"/>
                <w:szCs w:val="18"/>
                <w:color w:val="auto"/>
              </w:rPr>
              <w:t>6,693</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Technology and software</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4,149</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1,654</w:t>
            </w:r>
          </w:p>
        </w:tc>
        <w:tc>
          <w:tcPr>
            <w:tcW w:w="580" w:type="dxa"/>
            <w:vAlign w:val="bottom"/>
          </w:tcPr>
          <w:p>
            <w:pPr>
              <w:jc w:val="right"/>
              <w:spacing w:after="0"/>
              <w:rPr>
                <w:sz w:val="20"/>
                <w:szCs w:val="20"/>
                <w:color w:val="auto"/>
              </w:rPr>
            </w:pPr>
            <w:r>
              <w:rPr>
                <w:rFonts w:ascii="Arial" w:cs="Arial" w:eastAsia="Arial" w:hAnsi="Arial"/>
                <w:sz w:val="18"/>
                <w:szCs w:val="18"/>
                <w:color w:val="auto"/>
              </w:rPr>
              <w:t>11,949</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Document reviewer database</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20" w:type="dxa"/>
            <w:vAlign w:val="bottom"/>
            <w:vMerge w:val="continue"/>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36,831</w:t>
            </w:r>
          </w:p>
        </w:tc>
        <w:tc>
          <w:tcPr>
            <w:tcW w:w="72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16,481</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36,256</w:t>
            </w:r>
          </w:p>
        </w:tc>
        <w:tc>
          <w:tcPr>
            <w:tcW w:w="7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Identifiable intangible assets with finite lives are amortized over their estimated useful lives. Customer contracts are amortized on a straight-line basis over relatively short lives due to the short-term nature of the services provided under these contracts. The majority of customer relationships are amortized on an accelerated basis to correspond to the cash flows expected to be derived from the relationships. All other customer relationships, non-competition agreements, trade names, technology and software, and the document reviewer database are amortized on a straight-line basis.</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Intangible assets amortization expense was $1.9 million and $5.1 million for the three and nine months ended September 30, 2012, respectively. Intangible assets amortization expense was $2.0 million and $6.3 million for the three and nine months ended September 30, 2011, respectively. Estimated annual intangible assets amortization expense is $7.0 million for 2012, $5.6 million for 2013, $4.4 million for 2014, $3.0 million for 2015, $1.8 million for 2016 and $1.2 million for 2017. Actual future amortization expense could differ from these estimated amounts as a result of future acquisitions and other factors.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Earnings per share under the basic and diluted computations are as follows: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4"/>
                <w:szCs w:val="14"/>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10,416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10,463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17,826</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 basic</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21,950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21,551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21,881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equivalents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22,326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21,968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22,247</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basic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0.47</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diluted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0.47</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0.78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The computation of diluted earnings per share excludes outstanding options and other common stock equivalents in periods where inclusion of such potential common stock instruments would be anti-dilutive. The weighted average common stock equivalents presented above do not include the effect of approximately 42,200 and 53,700 common stock equivalents for the three months ended September 30, 2012 and 2011, respectively, and approximately 85,300 and 354,400 common stock equivalents for the nine months ended September 30, 2012 and 2011, respectively, because their inclusion would be anti-dilutive.</w:t>
      </w:r>
    </w:p>
    <w:p>
      <w:pPr>
        <w:spacing w:after="0" w:line="213"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During 2011, the Company and certain of the Company’s subsidiaries as guarantors entered into an Amended and Restated Credit Agreement with various financial institutions, as amended by the first amendment to the credit agreement dated as of August 31, 2012 (collectively, the “2011 Credit Agreement”). The 2011 Credit Agreement replaced the previous Credit Agreement, dated as of June 7, 2006, and all subsequent amendments thereto, by and among the Company and the lenders therein.</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obligations under the 2011 Credit Agreement are secured pursuant to a Security Agreement with Bank of America as Administrative Agent. The Security Agreement grants Bank of America, N.A. for the ratable benefit of the lenders under the 2011 Credit Agreement, a first-priority lien, subject to permitted liens, on substantially all of the personal property assets of the Company and the subsidiary guarantors. The Revolver and Term Loan are also secured by a pledge of 100% of the voting stock or other equity interests in our domestic subsidiaries and 65% of the voting stock or other equity interests in our foreign subsidiaries.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 Interbank Offered Rate (“LIBOR”) or a spread over the base rate, as selected by the Company. The base rate is the greater of (a) the Federal Funds Rate plus 0.5%, (b) the Prime Rate and (c) except during a Eurodollar Unavailability Period, the Eurodollar Rate plus 1.0%.</w:t>
      </w:r>
    </w:p>
    <w:p>
      <w:pPr>
        <w:spacing w:after="0" w:line="14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Term Loan, as amended, is subject to scheduled quarterly amortization payments equal to 10.5% of the original principal balance in year one, 12.3% in year two, 13.0% in year three, 14.8% in year four, and 49.4% in year five, as set forth in the 2011 Credit Agreement. The maturity date for the Term Loan is August 31, 2017, at which time the outstanding principal balance and all accrued interest will be due and payable in full. All outstanding borrowings under the Revolver, as amended, will be due upon expiration of the 2011 Credit Agreement on August 31, 2017.</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2011 Credit Agreement contains quarterly financial covenants that require us to maintain a minimum fixed charge coverage ratio of 2.25 to 1.00 and a maximum leverage ratio of 3.00 to 1.00 with step-downs in subsequent periods, as those ratios are defined therein, as well as a minimum net worth greater than $150 million. At September 30, 2012, we were in compliance with these financial covenants with a fixed charge coverage ratio of 3.36 to 1.00, a leverage ratio of 2.07 to 1.00, and net worth greater than $150 million. At December 31, 2011, we were also in compliance with our financial debt covenants.</w:t>
      </w:r>
    </w:p>
    <w:p>
      <w:pPr>
        <w:spacing w:after="0" w:line="11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borrowing capacity under the 2011 Credit Agreement is reduced by any outstanding letters of credit and payments under the Term Loan. At September 30, 2012, outstanding letters of credit totaled $3.9 million and are primarily used as security deposits for our office facilities. As of September 30, 2012, the unused borrowing capacity under the 2011 Credit Agreement was $218.6 million. Borrowings outstanding under this credit facility at September 30, 2012 totaled $222.5 million. These borrowings carried a weighted average interest rate of 2.7%, including the effect of the interest rate swaps described below in Note 9 “Derivative Instrument and Hedging Activity.” All of the borrowings outstanding under the 2011 Credit Agreement are classified as long-term on our Consolidated Balance Sheets as the principal under the Revolver is not due until 2017 and we intend to fund scheduled quarterly payments under the Term Loan with availability under the Revolver. Borrowings outstanding at December 31, 2011 were $193.5 million and carried a weighted average interest rate of 3.3%.</w:t>
      </w:r>
    </w:p>
    <w:p>
      <w:pPr>
        <w:spacing w:after="0" w:line="23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During the third quarter of 2012, we incurred a $2.2 million pre-tax restructuring charge primarily consisting of $0.9 million related to the consolidation of office space in Washington, D.C. and $1.1 million related to our office relocation in New York. The Washington, D.C. charge included $0.7 million related to the remaining lease payments, net of estimated sublease income, for office space we vacated during the quarter and $0.2 million of accelerated depreciation on leasehold improvements for that space. The New York charge included $0.4 million of accelerated depreciation and $0.7 million for brokerage fees related to the execution of a sublease arrangement for the space we plan to vacate during the fourth quarter of 2012. During the first and second quarters of 2012 we incurred charges of $1.1 million primarily related to accelerated depreciation on our New York office leasehold improvements, partially offset by the net favorable impact of updated assumptions for lease accruals related to previously vacated office spaces.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expect the remaining accelerated depreciation charge in 2012 related to our New York office to be $0.4 million. We also expect to incur approximately $0.1 million of additional charges in 2012 upon relocating our New York office space.</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nine months ended September 30, 2011, we incurred $1.4 million in restructuring charges primarily related to the consolidation of office space in Chicago, the relocation of our Boston office and severance expense.</w:t>
      </w:r>
    </w:p>
    <w:p>
      <w:pPr>
        <w:spacing w:after="0" w:line="132"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As of September 30, 2012, our restructuring charge liability is $1.8 million, and primarily consists of the present value of remaining lease payments, net of estimated sublease income, for our vacated office space in San Francisco, Chicago and Washington, D.C. The restructuring charge liability is included as a component of Accrued expenses and Deferred compensation and other liabilities.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 and Hedging Activity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On March 20, 2009, we entered into an interest rate swap agreement for a notional amount of $100.0 million effective on March 31, 2009 and ending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February 23, 2012. We entered into this derivative instrument to hedge against the risk of changes in future cash flows related to changes in interest rates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million of the total variable-rate borrowings outstanding described above in Note 7 “Borrowings.” Under the terms of the interest rate swap agreement, we</w:t>
      </w:r>
    </w:p>
    <w:p>
      <w:pPr>
        <w:spacing w:after="0" w:line="32"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received from the counterparty interest on the $100.0 million notional amount based on one-month LIBOR and we paid to the counterparty a fixed rate of 1.715%. This swap effectively converted $100.0 million of our variable-rate borrowings to fixed-rate borrowings beginning on March 31, 2009 and through February 23, 2012.</w:t>
      </w:r>
    </w:p>
    <w:p>
      <w:pPr>
        <w:spacing w:after="0" w:line="14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On December 8, 2011, we entered into a forward amortizing interest rate swap agreement effective on February 29, 2012 and ending on April 14, 2016. We entered into this derivative instrument to continue hedging against the interest rate risks of our variable-rate borrowings described above.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13"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On May 30, 2012, we entered into an additional forward amortizing interest rate swap agreement effective on May 31, 2012 and ending on April 14, 2016. We entered into this derivative instrument to further hedge against the interest rate risks of our variable-rate borrowings described above. The swap has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FASB ASC Topic 815, “Derivatives and Hedging,” requires companies to recognize all derivative instruments as either assets or liabilities at fair value on the balance sheet. In accordance with ASC Topic 815, we have designated these derivative instruments as cash flow hedges. As such, changes in the fair value of the derivative instruments are recorded as a component of other comprehensive income (“OCI”) to the extent of effectiveness and reclassified into interest expense upon settlement. The ineffective portion of the change in fair value of the derivative instruments is recognized in interest expense. As of September 30, 2012, it was anticipated that $0.3 million of the net losses, net of tax, currently recorded in OCI will be reclassified into earnings within the next 12 months. Our interest rate swap agreements were effective during the three and nine months ended September 30, 2012.</w:t>
      </w:r>
    </w:p>
    <w:p>
      <w:pPr>
        <w:spacing w:after="0" w:line="12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tables below set forth additional information relating to these interest rate swaps designated as cash flow hedging instruments as of September 30, 2012 and December 31, 2011, and for the three and nine months ended September 30, 2012 and 2011.</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gridSpan w:val="12"/>
          </w:tcPr>
          <w:p>
            <w:pPr>
              <w:ind w:left="340"/>
              <w:spacing w:after="0"/>
              <w:rPr>
                <w:sz w:val="20"/>
                <w:szCs w:val="20"/>
                <w:color w:val="auto"/>
              </w:rPr>
            </w:pPr>
            <w:r>
              <w:rPr>
                <w:rFonts w:ascii="Arial" w:cs="Arial" w:eastAsia="Arial" w:hAnsi="Arial"/>
                <w:sz w:val="14"/>
                <w:szCs w:val="14"/>
                <w:b w:val="1"/>
                <w:bCs w:val="1"/>
                <w:color w:val="auto"/>
              </w:rPr>
              <w:t>Fair Value (Derivative Liability)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14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Balance Sheet Location</w:t>
            </w:r>
          </w:p>
        </w:tc>
        <w:tc>
          <w:tcPr>
            <w:tcW w:w="800" w:type="dxa"/>
            <w:vAlign w:val="bottom"/>
          </w:tcPr>
          <w:p>
            <w:pPr>
              <w:spacing w:after="0"/>
              <w:rPr>
                <w:sz w:val="11"/>
                <w:szCs w:val="11"/>
                <w:color w:val="auto"/>
              </w:rPr>
            </w:pPr>
          </w:p>
        </w:tc>
        <w:tc>
          <w:tcPr>
            <w:tcW w:w="1240" w:type="dxa"/>
            <w:vAlign w:val="bottom"/>
            <w:tcBorders>
              <w:top w:val="single" w:sz="8" w:color="auto"/>
            </w:tcBorders>
            <w:gridSpan w:val="4"/>
          </w:tcPr>
          <w:p>
            <w:pPr>
              <w:jc w:val="right"/>
              <w:ind w:right="352"/>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5"/>
          </w:tcPr>
          <w:p>
            <w:pPr>
              <w:jc w:val="right"/>
              <w:ind w:right="4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140" w:type="dxa"/>
            <w:vAlign w:val="bottom"/>
            <w:gridSpan w:val="3"/>
            <w:vMerge w:val="continue"/>
          </w:tcPr>
          <w:p>
            <w:pPr>
              <w:spacing w:after="0"/>
              <w:rPr>
                <w:sz w:val="14"/>
                <w:szCs w:val="14"/>
                <w:color w:val="auto"/>
              </w:rPr>
            </w:pPr>
          </w:p>
        </w:tc>
        <w:tc>
          <w:tcPr>
            <w:tcW w:w="1640" w:type="dxa"/>
            <w:vAlign w:val="bottom"/>
            <w:gridSpan w:val="4"/>
          </w:tcPr>
          <w:p>
            <w:pPr>
              <w:jc w:val="right"/>
              <w:ind w:right="217"/>
              <w:spacing w:after="0" w:line="148"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3"/>
          </w:tcPr>
          <w:p>
            <w:pPr>
              <w:jc w:val="right"/>
              <w:ind w:right="159"/>
              <w:spacing w:after="0" w:line="148"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4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Accrued expenses</w:t>
            </w:r>
          </w:p>
        </w:tc>
        <w:tc>
          <w:tcPr>
            <w:tcW w:w="38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517</w:t>
            </w: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216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Deferred compensation and other liabilities</w:t>
            </w:r>
          </w:p>
        </w:tc>
        <w:tc>
          <w:tcPr>
            <w:tcW w:w="1220" w:type="dxa"/>
            <w:vAlign w:val="bottom"/>
            <w:gridSpan w:val="2"/>
          </w:tcPr>
          <w:p>
            <w:pPr>
              <w:jc w:val="right"/>
              <w:ind w:right="26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506</w:t>
            </w:r>
          </w:p>
        </w:tc>
        <w:tc>
          <w:tcPr>
            <w:tcW w:w="400" w:type="dxa"/>
            <w:vAlign w:val="bottom"/>
          </w:tcPr>
          <w:p>
            <w:pPr>
              <w:spacing w:after="0"/>
              <w:rPr>
                <w:sz w:val="19"/>
                <w:szCs w:val="19"/>
                <w:color w:val="auto"/>
              </w:rPr>
            </w:pPr>
          </w:p>
        </w:tc>
        <w:tc>
          <w:tcPr>
            <w:tcW w:w="6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9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5"/>
          </w:tcPr>
          <w:p>
            <w:pPr>
              <w:jc w:val="center"/>
              <w:ind w:right="288"/>
              <w:spacing w:after="0"/>
              <w:rPr>
                <w:sz w:val="20"/>
                <w:szCs w:val="20"/>
                <w:color w:val="auto"/>
              </w:rPr>
            </w:pPr>
            <w:r>
              <w:rPr>
                <w:rFonts w:ascii="Arial" w:cs="Arial" w:eastAsia="Arial" w:hAnsi="Arial"/>
                <w:sz w:val="14"/>
                <w:szCs w:val="14"/>
                <w:b w:val="1"/>
                <w:bCs w:val="1"/>
                <w:color w:val="auto"/>
                <w:w w:val="89"/>
              </w:rPr>
              <w:t>Three Months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7"/>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48"/>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380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gridSpan w:val="2"/>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76"/>
              </w:rPr>
              <w:t>2012</w:t>
            </w: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unrealized losses on cash flow hedges, net of tax, beginning of period</w:t>
            </w: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1"/>
              </w:rPr>
              <w:t>(467)</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76"/>
              </w:rPr>
              <w:t>$(565)</w:t>
            </w:r>
          </w:p>
        </w:tc>
        <w:tc>
          <w:tcPr>
            <w:tcW w:w="2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8"/>
                <w:szCs w:val="18"/>
                <w:color w:val="auto"/>
              </w:rPr>
              <w:t>Change in fair value, net of tax</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72"/>
              <w:spacing w:after="0"/>
              <w:rPr>
                <w:sz w:val="20"/>
                <w:szCs w:val="20"/>
                <w:color w:val="auto"/>
              </w:rPr>
            </w:pPr>
            <w:r>
              <w:rPr>
                <w:rFonts w:ascii="Arial" w:cs="Arial" w:eastAsia="Arial" w:hAnsi="Arial"/>
                <w:sz w:val="18"/>
                <w:szCs w:val="18"/>
                <w:color w:val="auto"/>
                <w:w w:val="85"/>
              </w:rPr>
              <w:t>(287)</w:t>
            </w:r>
          </w:p>
        </w:tc>
        <w:tc>
          <w:tcPr>
            <w:tcW w:w="660" w:type="dxa"/>
            <w:vAlign w:val="bottom"/>
            <w:gridSpan w:val="3"/>
          </w:tcPr>
          <w:p>
            <w:pPr>
              <w:spacing w:after="0"/>
              <w:rPr>
                <w:sz w:val="20"/>
                <w:szCs w:val="20"/>
                <w:color w:val="auto"/>
              </w:rPr>
            </w:pPr>
            <w:r>
              <w:rPr>
                <w:rFonts w:ascii="Arial" w:cs="Arial" w:eastAsia="Arial" w:hAnsi="Arial"/>
                <w:sz w:val="18"/>
                <w:szCs w:val="18"/>
                <w:color w:val="auto"/>
              </w:rPr>
              <w:t>$(154)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(852)</w:t>
            </w: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Reclassification adjustments into earnings, net of tax</w:t>
            </w:r>
          </w:p>
        </w:tc>
        <w:tc>
          <w:tcPr>
            <w:tcW w:w="122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144</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$ 388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40" w:type="dxa"/>
            <w:vAlign w:val="bottom"/>
            <w:gridSpan w:val="3"/>
          </w:tcPr>
          <w:p>
            <w:pPr>
              <w:spacing w:after="0"/>
              <w:rPr>
                <w:sz w:val="20"/>
                <w:szCs w:val="20"/>
                <w:color w:val="auto"/>
              </w:rPr>
            </w:pPr>
            <w:r>
              <w:rPr>
                <w:rFonts w:ascii="Arial" w:cs="Arial" w:eastAsia="Arial" w:hAnsi="Arial"/>
                <w:sz w:val="18"/>
                <w:szCs w:val="18"/>
                <w:color w:val="auto"/>
              </w:rPr>
              <w:t>Net unrealized losses on cash flow hedges, net of tax, end of period</w:t>
            </w:r>
          </w:p>
        </w:tc>
        <w:tc>
          <w:tcPr>
            <w:tcW w:w="13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272"/>
              <w:spacing w:after="0"/>
              <w:rPr>
                <w:sz w:val="20"/>
                <w:szCs w:val="20"/>
                <w:color w:val="auto"/>
              </w:rPr>
            </w:pPr>
            <w:r>
              <w:rPr>
                <w:rFonts w:ascii="Arial" w:cs="Arial" w:eastAsia="Arial" w:hAnsi="Arial"/>
                <w:sz w:val="18"/>
                <w:szCs w:val="18"/>
                <w:color w:val="auto"/>
                <w:w w:val="85"/>
              </w:rPr>
              <w:t>(610)</w:t>
            </w:r>
          </w:p>
        </w:tc>
        <w:tc>
          <w:tcPr>
            <w:tcW w:w="66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(610)</w:t>
            </w:r>
          </w:p>
        </w:tc>
        <w:tc>
          <w:tcPr>
            <w:tcW w:w="1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6140" w:type="dxa"/>
            <w:vAlign w:val="bottom"/>
            <w:gridSpan w:val="3"/>
            <w:vMerge w:val="restart"/>
          </w:tcPr>
          <w:p>
            <w:pPr>
              <w:ind w:left="5160"/>
              <w:spacing w:after="0"/>
              <w:rPr>
                <w:sz w:val="20"/>
                <w:szCs w:val="20"/>
                <w:color w:val="auto"/>
              </w:rPr>
            </w:pPr>
            <w:r>
              <w:rPr>
                <w:rFonts w:ascii="Arial" w:cs="Arial" w:eastAsia="Arial" w:hAnsi="Arial"/>
                <w:sz w:val="18"/>
                <w:szCs w:val="18"/>
                <w:color w:val="auto"/>
              </w:rPr>
              <w:t>12</w:t>
            </w: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4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do not use derivative instruments for trading or other speculative purposes, and we did not have any other derivative instruments or hedging activities as of September 30, 2012.</w:t>
      </w:r>
    </w:p>
    <w:p>
      <w:pPr>
        <w:spacing w:after="0" w:line="24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Certain of our assets and liabilities are measured at fair value. FASB ASC Topic 820, “Fair Value Measurements and Disclosures,” defines fair value as the price that would be received to sell an asset or the price that would be paid to transfer a liability in an orderly transaction between market participants at the measurement date. ASC Topic 820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300"/>
          </w:cols>
          <w:pgMar w:left="240" w:top="459" w:right="359" w:bottom="1440" w:gutter="0" w:footer="0" w:header="0"/>
        </w:sectPr>
      </w:pP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Quoted prices in active markets for identical assets or liabilities that the reporting entity has the ability to access at the measurement date.</w:t>
      </w:r>
    </w:p>
    <w:p>
      <w:pPr>
        <w:spacing w:after="0" w:line="151" w:lineRule="exact"/>
        <w:rPr>
          <w:sz w:val="20"/>
          <w:szCs w:val="20"/>
          <w:color w:val="auto"/>
        </w:rPr>
      </w:pPr>
    </w:p>
    <w:p>
      <w:pPr>
        <w:sectPr>
          <w:pgSz w:w="11900" w:h="16838" w:orient="portrait"/>
          <w:cols w:equalWidth="0" w:num="2">
            <w:col w:w="1020" w:space="480"/>
            <w:col w:w="9800"/>
          </w:cols>
          <w:pgMar w:left="240" w:top="459" w:right="359" w:bottom="1440" w:gutter="0" w:footer="0" w:header="0"/>
          <w:type w:val="continuous"/>
        </w:sectPr>
      </w:pPr>
    </w:p>
    <w:p>
      <w:pPr>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86" w:lineRule="exact"/>
        <w:rPr>
          <w:sz w:val="20"/>
          <w:szCs w:val="20"/>
          <w:color w:val="auto"/>
        </w:rPr>
      </w:pPr>
    </w:p>
    <w:p>
      <w:pPr>
        <w:sectPr>
          <w:pgSz w:w="11900" w:h="16838" w:orient="portrait"/>
          <w:cols w:equalWidth="0" w:num="2">
            <w:col w:w="1020" w:space="480"/>
            <w:col w:w="9800"/>
          </w:cols>
          <w:pgMar w:left="240" w:top="459" w:right="359" w:bottom="1440" w:gutter="0" w:footer="0" w:header="0"/>
          <w:type w:val="continuous"/>
        </w:sectPr>
      </w:pPr>
    </w:p>
    <w:p>
      <w:pPr>
        <w:spacing w:after="0"/>
        <w:rPr>
          <w:sz w:val="20"/>
          <w:szCs w:val="20"/>
          <w:color w:val="auto"/>
        </w:rPr>
      </w:pPr>
      <w:r>
        <w:rPr>
          <w:rFonts w:ascii="Arial" w:cs="Arial" w:eastAsia="Arial" w:hAnsi="Arial"/>
          <w:sz w:val="16"/>
          <w:szCs w:val="16"/>
          <w:color w:val="auto"/>
        </w:rPr>
        <w:t>Level 3 Inputs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Unobservable inputs for the asset or liability, and include situations in which there is little, if any, market activity for the asset or liability.</w:t>
      </w:r>
    </w:p>
    <w:p>
      <w:pPr>
        <w:spacing w:after="0" w:line="194" w:lineRule="exact"/>
        <w:rPr>
          <w:sz w:val="20"/>
          <w:szCs w:val="20"/>
          <w:color w:val="auto"/>
        </w:rPr>
      </w:pPr>
    </w:p>
    <w:p>
      <w:pPr>
        <w:sectPr>
          <w:pgSz w:w="11900" w:h="16838" w:orient="portrait"/>
          <w:cols w:equalWidth="0" w:num="2">
            <w:col w:w="1020" w:space="480"/>
            <w:col w:w="9800"/>
          </w:cols>
          <w:pgMar w:left="240" w:top="459" w:right="359" w:bottom="1440" w:gutter="0" w:footer="0" w:header="0"/>
          <w:type w:val="continuous"/>
        </w:sectPr>
      </w:pPr>
    </w:p>
    <w:p>
      <w:pPr>
        <w:spacing w:after="0" w:line="298" w:lineRule="auto"/>
        <w:rPr>
          <w:sz w:val="20"/>
          <w:szCs w:val="20"/>
          <w:color w:val="auto"/>
        </w:rPr>
      </w:pPr>
      <w:r>
        <w:rPr>
          <w:rFonts w:ascii="Arial" w:cs="Arial" w:eastAsia="Arial" w:hAnsi="Arial"/>
          <w:sz w:val="16"/>
          <w:szCs w:val="16"/>
          <w:color w:val="auto"/>
        </w:rPr>
        <w:t>Cash and cash equivalents are stated at cost, which approximates fair market value. The carrying values for receivables from clients, unbilled services, accounts payable, deferred revenues and other accrued liabilities reasonably approximate fair market value due to the nature of the financial instrument and the short-term maturity of these items. The carrying values of our bank borrowings reported in the Consolidated Balance Sheets approximate fair value, using level 2 inputs, since they bear interest at variable rates based on market rates as set forth in the 2011 Credit Agreement. Refer to Note 7 “Borrowings.”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240" w:top="459" w:right="3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September 30, 2012 and December 31,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Quoted Prices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in Active</w:t>
            </w: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4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00" w:type="dxa"/>
            <w:vAlign w:val="bottom"/>
          </w:tcPr>
          <w:p>
            <w:pPr>
              <w:spacing w:after="0"/>
              <w:rPr>
                <w:sz w:val="12"/>
                <w:szCs w:val="12"/>
                <w:color w:val="auto"/>
              </w:rPr>
            </w:pPr>
          </w:p>
        </w:tc>
        <w:tc>
          <w:tcPr>
            <w:tcW w:w="5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Other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Identical</w:t>
            </w: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Observable</w:t>
            </w:r>
          </w:p>
        </w:tc>
        <w:tc>
          <w:tcPr>
            <w:tcW w:w="60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78"/>
              </w:rPr>
              <w:t>Assets</w:t>
            </w:r>
          </w:p>
        </w:tc>
        <w:tc>
          <w:tcPr>
            <w:tcW w:w="100" w:type="dxa"/>
            <w:vAlign w:val="bottom"/>
          </w:tcPr>
          <w:p>
            <w:pPr>
              <w:spacing w:after="0"/>
              <w:rPr>
                <w:sz w:val="12"/>
                <w:szCs w:val="12"/>
                <w:color w:val="auto"/>
              </w:rPr>
            </w:pPr>
          </w:p>
        </w:tc>
        <w:tc>
          <w:tcPr>
            <w:tcW w:w="5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Inputs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Inputs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7"/>
              </w:rPr>
              <w:t>(Level 1)</w:t>
            </w: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September 30, 2012</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b w:val="1"/>
                <w:bCs w:val="1"/>
                <w:color w:val="auto"/>
              </w:rPr>
              <w:t>Asset:</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center"/>
              <w:ind w:left="241"/>
              <w:spacing w:after="0"/>
              <w:rPr>
                <w:sz w:val="20"/>
                <w:szCs w:val="20"/>
                <w:color w:val="auto"/>
              </w:rPr>
            </w:pPr>
            <w:r>
              <w:rPr>
                <w:rFonts w:ascii="Arial" w:cs="Arial" w:eastAsia="Arial" w:hAnsi="Arial"/>
                <w:sz w:val="18"/>
                <w:szCs w:val="18"/>
                <w:color w:val="auto"/>
                <w:w w:val="88"/>
              </w:rPr>
              <w:t>2,839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Liability:</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68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December 31, 2011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Promissory note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720" w:type="dxa"/>
            <w:vAlign w:val="bottom"/>
          </w:tcPr>
          <w:p>
            <w:pPr>
              <w:jc w:val="center"/>
              <w:ind w:left="241"/>
              <w:spacing w:after="0"/>
              <w:rPr>
                <w:sz w:val="20"/>
                <w:szCs w:val="20"/>
                <w:color w:val="auto"/>
              </w:rPr>
            </w:pPr>
            <w:r>
              <w:rPr>
                <w:rFonts w:ascii="Arial" w:cs="Arial" w:eastAsia="Arial" w:hAnsi="Arial"/>
                <w:sz w:val="18"/>
                <w:szCs w:val="18"/>
                <w:color w:val="auto"/>
                <w:w w:val="88"/>
              </w:rPr>
              <w:t>2,680</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Liability:</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Interest rate swaps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466</w:t>
            </w:r>
          </w:p>
        </w:tc>
        <w:tc>
          <w:tcPr>
            <w:tcW w:w="68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part of the consideration received for the sale of our AA practice on December 30, 2011, the Company received a $3.5 million promissory note payable over four years. The note will be paid to the Company in quarterly installments of approximately $0.2 million beginning in April 2013 with a final payment of approximately $1.1 million on the maturity date in December 2015. The fair value of the note was derived by multiplying the projected cash flows by a discount rate of 14%, which accounts for the risks associated with the note. The increase in the fair value of the note during the first nine months of 2012 reflects the accretion of interest income in excess of interest payments received.</w:t>
      </w:r>
    </w:p>
    <w:p>
      <w:pPr>
        <w:spacing w:after="0" w:line="143"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The fair value of the interest rate swaps was derived using estimates to settle the interest rate swap agreements, which are based on the net present value of expected future cash flows on each leg of the swaps utilizing market-based inputs and discount rates reflecting the risks involved.</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components of comprehensive income for the three and nine months ended September 30, 2012 and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11"/>
          </w:tcPr>
          <w:p>
            <w:pPr>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11"/>
          </w:tcPr>
          <w:p>
            <w:pPr>
              <w:jc w:val="center"/>
              <w:ind w:right="4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10"/>
          </w:tcPr>
          <w:p>
            <w:pPr>
              <w:jc w:val="right"/>
              <w:ind w:right="620"/>
              <w:spacing w:after="0"/>
              <w:rPr>
                <w:sz w:val="20"/>
                <w:szCs w:val="20"/>
                <w:color w:val="auto"/>
              </w:rPr>
            </w:pPr>
            <w:r>
              <w:rPr>
                <w:rFonts w:ascii="Arial" w:cs="Arial" w:eastAsia="Arial" w:hAnsi="Arial"/>
                <w:sz w:val="14"/>
                <w:szCs w:val="14"/>
                <w:b w:val="1"/>
                <w:bCs w:val="1"/>
                <w:color w:val="auto"/>
                <w:w w:val="87"/>
              </w:rPr>
              <w:t>September 30, 2012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7"/>
          </w:tcPr>
          <w:p>
            <w:pPr>
              <w:jc w:val="center"/>
              <w:spacing w:after="0"/>
              <w:rPr>
                <w:sz w:val="20"/>
                <w:szCs w:val="20"/>
                <w:color w:val="auto"/>
              </w:rPr>
            </w:pPr>
            <w:r>
              <w:rPr>
                <w:rFonts w:ascii="Arial" w:cs="Arial" w:eastAsia="Arial" w:hAnsi="Arial"/>
                <w:sz w:val="14"/>
                <w:szCs w:val="14"/>
                <w:b w:val="1"/>
                <w:bCs w:val="1"/>
                <w:color w:val="auto"/>
                <w:w w:val="85"/>
              </w:rPr>
              <w:t>September 30, 2011</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rPr>
              <w:t>Tax</w:t>
            </w:r>
          </w:p>
        </w:tc>
        <w:tc>
          <w:tcPr>
            <w:tcW w:w="2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4"/>
          </w:tcPr>
          <w:p>
            <w:pPr>
              <w:jc w:val="center"/>
              <w:ind w:right="292"/>
              <w:spacing w:after="0" w:line="129" w:lineRule="exact"/>
              <w:rPr>
                <w:sz w:val="20"/>
                <w:szCs w:val="20"/>
                <w:color w:val="auto"/>
              </w:rPr>
            </w:pPr>
            <w:r>
              <w:rPr>
                <w:rFonts w:ascii="Arial" w:cs="Arial" w:eastAsia="Arial" w:hAnsi="Arial"/>
                <w:sz w:val="14"/>
                <w:szCs w:val="14"/>
                <w:b w:val="1"/>
                <w:bCs w:val="1"/>
                <w:color w:val="auto"/>
                <w:w w:val="90"/>
              </w:rPr>
              <w:t>Tax</w:t>
            </w:r>
          </w:p>
        </w:tc>
        <w:tc>
          <w:tcPr>
            <w:tcW w:w="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85"/>
              </w:rPr>
              <w:t>Before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w w:val="83"/>
              </w:rPr>
              <w:t>(Expense)</w:t>
            </w:r>
          </w:p>
        </w:tc>
        <w:tc>
          <w:tcPr>
            <w:tcW w:w="220" w:type="dxa"/>
            <w:vAlign w:val="bottom"/>
          </w:tcPr>
          <w:p>
            <w:pPr>
              <w:spacing w:after="0"/>
              <w:rPr>
                <w:sz w:val="12"/>
                <w:szCs w:val="12"/>
                <w:color w:val="auto"/>
              </w:rPr>
            </w:pPr>
          </w:p>
        </w:tc>
        <w:tc>
          <w:tcPr>
            <w:tcW w:w="68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rPr>
              <w:t>Net of</w:t>
            </w:r>
          </w:p>
        </w:tc>
        <w:tc>
          <w:tcPr>
            <w:tcW w:w="220" w:type="dxa"/>
            <w:vAlign w:val="bottom"/>
          </w:tcPr>
          <w:p>
            <w:pPr>
              <w:spacing w:after="0"/>
              <w:rPr>
                <w:sz w:val="12"/>
                <w:szCs w:val="12"/>
                <w:color w:val="auto"/>
              </w:rPr>
            </w:pPr>
          </w:p>
        </w:tc>
        <w:tc>
          <w:tcPr>
            <w:tcW w:w="580" w:type="dxa"/>
            <w:vAlign w:val="bottom"/>
            <w:gridSpan w:val="3"/>
          </w:tcPr>
          <w:p>
            <w:pPr>
              <w:jc w:val="right"/>
              <w:ind w:right="112"/>
              <w:spacing w:after="0" w:line="149" w:lineRule="exact"/>
              <w:rPr>
                <w:sz w:val="20"/>
                <w:szCs w:val="20"/>
                <w:color w:val="auto"/>
              </w:rPr>
            </w:pPr>
            <w:r>
              <w:rPr>
                <w:rFonts w:ascii="Arial" w:cs="Arial" w:eastAsia="Arial" w:hAnsi="Arial"/>
                <w:sz w:val="14"/>
                <w:szCs w:val="14"/>
                <w:b w:val="1"/>
                <w:bCs w:val="1"/>
                <w:color w:val="auto"/>
                <w:w w:val="85"/>
              </w:rPr>
              <w:t>Before</w:t>
            </w:r>
          </w:p>
        </w:tc>
        <w:tc>
          <w:tcPr>
            <w:tcW w:w="140" w:type="dxa"/>
            <w:vAlign w:val="bottom"/>
          </w:tcPr>
          <w:p>
            <w:pPr>
              <w:spacing w:after="0"/>
              <w:rPr>
                <w:sz w:val="12"/>
                <w:szCs w:val="12"/>
                <w:color w:val="auto"/>
              </w:rPr>
            </w:pPr>
          </w:p>
        </w:tc>
        <w:tc>
          <w:tcPr>
            <w:tcW w:w="860" w:type="dxa"/>
            <w:vAlign w:val="bottom"/>
            <w:gridSpan w:val="5"/>
          </w:tcPr>
          <w:p>
            <w:pPr>
              <w:jc w:val="center"/>
              <w:ind w:right="192"/>
              <w:spacing w:after="0" w:line="149" w:lineRule="exact"/>
              <w:rPr>
                <w:sz w:val="20"/>
                <w:szCs w:val="20"/>
                <w:color w:val="auto"/>
              </w:rPr>
            </w:pPr>
            <w:r>
              <w:rPr>
                <w:rFonts w:ascii="Arial" w:cs="Arial" w:eastAsia="Arial" w:hAnsi="Arial"/>
                <w:sz w:val="14"/>
                <w:szCs w:val="14"/>
                <w:b w:val="1"/>
                <w:bCs w:val="1"/>
                <w:color w:val="auto"/>
                <w:w w:val="86"/>
              </w:rPr>
              <w:t>(Expense)</w:t>
            </w:r>
          </w:p>
        </w:tc>
        <w:tc>
          <w:tcPr>
            <w:tcW w:w="4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0"/>
              </w:rPr>
              <w:t>Net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5"/>
              </w:rPr>
              <w:t>Taxes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4"/>
                <w:szCs w:val="14"/>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Taxes</w:t>
            </w:r>
          </w:p>
        </w:tc>
        <w:tc>
          <w:tcPr>
            <w:tcW w:w="220" w:type="dxa"/>
            <w:vAlign w:val="bottom"/>
          </w:tcPr>
          <w:p>
            <w:pPr>
              <w:spacing w:after="0"/>
              <w:rPr>
                <w:sz w:val="14"/>
                <w:szCs w:val="14"/>
                <w:color w:val="auto"/>
              </w:rPr>
            </w:pPr>
          </w:p>
        </w:tc>
        <w:tc>
          <w:tcPr>
            <w:tcW w:w="58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w w:val="85"/>
              </w:rPr>
              <w:t>Taxes</w:t>
            </w:r>
          </w:p>
        </w:tc>
        <w:tc>
          <w:tcPr>
            <w:tcW w:w="140" w:type="dxa"/>
            <w:vAlign w:val="bottom"/>
          </w:tcPr>
          <w:p>
            <w:pPr>
              <w:spacing w:after="0"/>
              <w:rPr>
                <w:sz w:val="14"/>
                <w:szCs w:val="14"/>
                <w:color w:val="auto"/>
              </w:rPr>
            </w:pPr>
          </w:p>
        </w:tc>
        <w:tc>
          <w:tcPr>
            <w:tcW w:w="860" w:type="dxa"/>
            <w:vAlign w:val="bottom"/>
            <w:gridSpan w:val="5"/>
          </w:tcPr>
          <w:p>
            <w:pPr>
              <w:jc w:val="center"/>
              <w:ind w:right="192"/>
              <w:spacing w:after="0"/>
              <w:rPr>
                <w:sz w:val="20"/>
                <w:szCs w:val="20"/>
                <w:color w:val="auto"/>
              </w:rPr>
            </w:pPr>
            <w:r>
              <w:rPr>
                <w:rFonts w:ascii="Arial" w:cs="Arial" w:eastAsia="Arial" w:hAnsi="Arial"/>
                <w:sz w:val="14"/>
                <w:szCs w:val="14"/>
                <w:b w:val="1"/>
                <w:bCs w:val="1"/>
                <w:color w:val="auto"/>
                <w:w w:val="88"/>
              </w:rPr>
              <w:t>Benefit</w:t>
            </w:r>
          </w:p>
        </w:tc>
        <w:tc>
          <w:tcPr>
            <w:tcW w:w="4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$10,463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$ 489</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$ 496</w:t>
            </w: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center"/>
              <w:ind w:left="156"/>
              <w:spacing w:after="0"/>
              <w:rPr>
                <w:sz w:val="20"/>
                <w:szCs w:val="20"/>
                <w:color w:val="auto"/>
              </w:rPr>
            </w:pPr>
            <w:r>
              <w:rPr>
                <w:rFonts w:ascii="Arial" w:cs="Arial" w:eastAsia="Arial" w:hAnsi="Arial"/>
                <w:sz w:val="18"/>
                <w:szCs w:val="18"/>
                <w:color w:val="auto"/>
                <w:w w:val="99"/>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$(409)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Unrealized (loss) gain on cash flow hedging instrument</w:t>
            </w:r>
          </w:p>
        </w:tc>
        <w:tc>
          <w:tcPr>
            <w:tcW w:w="24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94</w:t>
            </w:r>
          </w:p>
        </w:tc>
        <w:tc>
          <w:tcPr>
            <w:tcW w:w="900" w:type="dxa"/>
            <w:vAlign w:val="bottom"/>
            <w:gridSpan w:val="5"/>
          </w:tcPr>
          <w:p>
            <w:pPr>
              <w:jc w:val="right"/>
              <w:ind w:right="40"/>
              <w:spacing w:after="0"/>
              <w:rPr>
                <w:sz w:val="20"/>
                <w:szCs w:val="20"/>
                <w:color w:val="auto"/>
              </w:rPr>
            </w:pPr>
            <w:r>
              <w:rPr>
                <w:rFonts w:ascii="Arial" w:cs="Arial" w:eastAsia="Arial" w:hAnsi="Arial"/>
                <w:sz w:val="18"/>
                <w:szCs w:val="18"/>
                <w:color w:val="auto"/>
              </w:rPr>
              <w:t>(144)</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$ 258</w:t>
            </w: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center"/>
              <w:ind w:left="156"/>
              <w:spacing w:after="0"/>
              <w:rPr>
                <w:sz w:val="20"/>
                <w:szCs w:val="20"/>
                <w:color w:val="auto"/>
              </w:rPr>
            </w:pPr>
            <w:r>
              <w:rPr>
                <w:rFonts w:ascii="Arial" w:cs="Arial" w:eastAsia="Arial" w:hAnsi="Arial"/>
                <w:sz w:val="18"/>
                <w:szCs w:val="18"/>
                <w:color w:val="auto"/>
                <w:w w:val="99"/>
              </w:rPr>
              <w:t>$</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 (19)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$ 377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13"/>
          </w:tcPr>
          <w:p>
            <w:pPr>
              <w:jc w:val="right"/>
              <w:ind w:right="840"/>
              <w:spacing w:after="0"/>
              <w:rPr>
                <w:sz w:val="20"/>
                <w:szCs w:val="20"/>
                <w:color w:val="auto"/>
              </w:rPr>
            </w:pPr>
            <w:r>
              <w:rPr>
                <w:rFonts w:ascii="Arial" w:cs="Arial" w:eastAsia="Arial" w:hAnsi="Arial"/>
                <w:sz w:val="14"/>
                <w:szCs w:val="14"/>
                <w:b w:val="1"/>
                <w:bCs w:val="1"/>
                <w:color w:val="auto"/>
                <w:w w:val="94"/>
              </w:rPr>
              <w:t>Nine Months Ended</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8"/>
          </w:tcPr>
          <w:p>
            <w:pPr>
              <w:ind w:left="60"/>
              <w:spacing w:after="0"/>
              <w:rPr>
                <w:sz w:val="20"/>
                <w:szCs w:val="20"/>
                <w:color w:val="auto"/>
              </w:rPr>
            </w:pPr>
            <w:r>
              <w:rPr>
                <w:rFonts w:ascii="Arial" w:cs="Arial" w:eastAsia="Arial" w:hAnsi="Arial"/>
                <w:sz w:val="14"/>
                <w:szCs w:val="14"/>
                <w:b w:val="1"/>
                <w:bCs w:val="1"/>
                <w:color w:val="auto"/>
                <w:w w:val="93"/>
              </w:rPr>
              <w:t>Nine Months Ended</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13"/>
          </w:tcPr>
          <w:p>
            <w:pPr>
              <w:jc w:val="right"/>
              <w:ind w:right="860"/>
              <w:spacing w:after="0"/>
              <w:rPr>
                <w:sz w:val="20"/>
                <w:szCs w:val="20"/>
                <w:color w:val="auto"/>
              </w:rPr>
            </w:pPr>
            <w:r>
              <w:rPr>
                <w:rFonts w:ascii="Arial" w:cs="Arial" w:eastAsia="Arial" w:hAnsi="Arial"/>
                <w:sz w:val="14"/>
                <w:szCs w:val="14"/>
                <w:b w:val="1"/>
                <w:bCs w:val="1"/>
                <w:color w:val="auto"/>
                <w:w w:val="93"/>
              </w:rPr>
              <w:t>September 30, 2012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8"/>
          </w:tcPr>
          <w:p>
            <w:pPr>
              <w:ind w:left="80"/>
              <w:spacing w:after="0"/>
              <w:rPr>
                <w:sz w:val="20"/>
                <w:szCs w:val="20"/>
                <w:color w:val="auto"/>
              </w:rPr>
            </w:pPr>
            <w:r>
              <w:rPr>
                <w:rFonts w:ascii="Arial" w:cs="Arial" w:eastAsia="Arial" w:hAnsi="Arial"/>
                <w:sz w:val="14"/>
                <w:szCs w:val="14"/>
                <w:b w:val="1"/>
                <w:bCs w:val="1"/>
                <w:color w:val="auto"/>
                <w:w w:val="91"/>
              </w:rPr>
              <w:t>September 30, 2011</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5"/>
          </w:tcPr>
          <w:p>
            <w:pPr>
              <w:jc w:val="center"/>
              <w:ind w:right="300"/>
              <w:spacing w:after="0" w:line="129" w:lineRule="exact"/>
              <w:rPr>
                <w:sz w:val="20"/>
                <w:szCs w:val="20"/>
                <w:color w:val="auto"/>
              </w:rPr>
            </w:pPr>
            <w:r>
              <w:rPr>
                <w:rFonts w:ascii="Arial" w:cs="Arial" w:eastAsia="Arial" w:hAnsi="Arial"/>
                <w:sz w:val="14"/>
                <w:szCs w:val="14"/>
                <w:b w:val="1"/>
                <w:bCs w:val="1"/>
                <w:color w:val="auto"/>
                <w:w w:val="90"/>
              </w:rPr>
              <w:t>Tax</w:t>
            </w:r>
          </w:p>
        </w:tc>
        <w:tc>
          <w:tcPr>
            <w:tcW w:w="2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5"/>
          </w:tcPr>
          <w:p>
            <w:pPr>
              <w:jc w:val="center"/>
              <w:ind w:right="472"/>
              <w:spacing w:after="0" w:line="129" w:lineRule="exact"/>
              <w:rPr>
                <w:sz w:val="20"/>
                <w:szCs w:val="20"/>
                <w:color w:val="auto"/>
              </w:rPr>
            </w:pPr>
            <w:r>
              <w:rPr>
                <w:rFonts w:ascii="Arial" w:cs="Arial" w:eastAsia="Arial" w:hAnsi="Arial"/>
                <w:sz w:val="14"/>
                <w:szCs w:val="14"/>
                <w:b w:val="1"/>
                <w:bCs w:val="1"/>
                <w:color w:val="auto"/>
                <w:w w:val="90"/>
              </w:rPr>
              <w:t>Tax</w:t>
            </w:r>
          </w:p>
        </w:tc>
        <w:tc>
          <w:tcPr>
            <w:tcW w:w="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20" w:type="dxa"/>
            <w:vAlign w:val="bottom"/>
            <w:gridSpan w:val="4"/>
          </w:tcPr>
          <w:p>
            <w:pPr>
              <w:jc w:val="right"/>
              <w:ind w:right="320"/>
              <w:spacing w:after="0" w:line="149" w:lineRule="exact"/>
              <w:rPr>
                <w:sz w:val="20"/>
                <w:szCs w:val="20"/>
                <w:color w:val="auto"/>
              </w:rPr>
            </w:pPr>
            <w:r>
              <w:rPr>
                <w:rFonts w:ascii="Arial" w:cs="Arial" w:eastAsia="Arial" w:hAnsi="Arial"/>
                <w:sz w:val="14"/>
                <w:szCs w:val="14"/>
                <w:b w:val="1"/>
                <w:bCs w:val="1"/>
                <w:color w:val="auto"/>
                <w:w w:val="85"/>
              </w:rPr>
              <w:t>Before</w:t>
            </w:r>
          </w:p>
        </w:tc>
        <w:tc>
          <w:tcPr>
            <w:tcW w:w="20" w:type="dxa"/>
            <w:vAlign w:val="bottom"/>
          </w:tcPr>
          <w:p>
            <w:pPr>
              <w:spacing w:after="0"/>
              <w:rPr>
                <w:sz w:val="12"/>
                <w:szCs w:val="12"/>
                <w:color w:val="auto"/>
              </w:rPr>
            </w:pPr>
          </w:p>
        </w:tc>
        <w:tc>
          <w:tcPr>
            <w:tcW w:w="88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(Expense)</w:t>
            </w:r>
          </w:p>
        </w:tc>
        <w:tc>
          <w:tcPr>
            <w:tcW w:w="900" w:type="dxa"/>
            <w:vAlign w:val="bottom"/>
            <w:gridSpan w:val="5"/>
          </w:tcPr>
          <w:p>
            <w:pPr>
              <w:jc w:val="right"/>
              <w:ind w:right="420"/>
              <w:spacing w:after="0" w:line="149" w:lineRule="exact"/>
              <w:rPr>
                <w:sz w:val="20"/>
                <w:szCs w:val="20"/>
                <w:color w:val="auto"/>
              </w:rPr>
            </w:pPr>
            <w:r>
              <w:rPr>
                <w:rFonts w:ascii="Arial" w:cs="Arial" w:eastAsia="Arial" w:hAnsi="Arial"/>
                <w:sz w:val="14"/>
                <w:szCs w:val="14"/>
                <w:b w:val="1"/>
                <w:bCs w:val="1"/>
                <w:color w:val="auto"/>
              </w:rPr>
              <w:t>Net of</w:t>
            </w:r>
          </w:p>
        </w:tc>
        <w:tc>
          <w:tcPr>
            <w:tcW w:w="800" w:type="dxa"/>
            <w:vAlign w:val="bottom"/>
            <w:gridSpan w:val="4"/>
          </w:tcPr>
          <w:p>
            <w:pPr>
              <w:jc w:val="right"/>
              <w:ind w:right="292"/>
              <w:spacing w:after="0" w:line="149" w:lineRule="exact"/>
              <w:rPr>
                <w:sz w:val="20"/>
                <w:szCs w:val="20"/>
                <w:color w:val="auto"/>
              </w:rPr>
            </w:pPr>
            <w:r>
              <w:rPr>
                <w:rFonts w:ascii="Arial" w:cs="Arial" w:eastAsia="Arial" w:hAnsi="Arial"/>
                <w:sz w:val="14"/>
                <w:szCs w:val="14"/>
                <w:b w:val="1"/>
                <w:bCs w:val="1"/>
                <w:color w:val="auto"/>
                <w:w w:val="94"/>
              </w:rPr>
              <w:t>Before</w:t>
            </w:r>
          </w:p>
        </w:tc>
        <w:tc>
          <w:tcPr>
            <w:tcW w:w="100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(Expense)</w:t>
            </w:r>
          </w:p>
        </w:tc>
        <w:tc>
          <w:tcPr>
            <w:tcW w:w="5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80"/>
              </w:rPr>
              <w:t>Net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0"/>
              </w:rPr>
              <w:t>Taxes</w:t>
            </w:r>
          </w:p>
        </w:tc>
        <w:tc>
          <w:tcPr>
            <w:tcW w:w="20" w:type="dxa"/>
            <w:vAlign w:val="bottom"/>
          </w:tcPr>
          <w:p>
            <w:pPr>
              <w:spacing w:after="0"/>
              <w:rPr>
                <w:sz w:val="14"/>
                <w:szCs w:val="14"/>
                <w:color w:val="auto"/>
              </w:rPr>
            </w:pPr>
          </w:p>
        </w:tc>
        <w:tc>
          <w:tcPr>
            <w:tcW w:w="8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Benefit</w:t>
            </w:r>
          </w:p>
        </w:tc>
        <w:tc>
          <w:tcPr>
            <w:tcW w:w="9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Taxes</w:t>
            </w:r>
          </w:p>
        </w:tc>
        <w:tc>
          <w:tcPr>
            <w:tcW w:w="80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5"/>
              </w:rPr>
              <w:t>Taxes</w:t>
            </w:r>
          </w:p>
        </w:tc>
        <w:tc>
          <w:tcPr>
            <w:tcW w:w="1000" w:type="dxa"/>
            <w:vAlign w:val="bottom"/>
            <w:gridSpan w:val="6"/>
          </w:tcPr>
          <w:p>
            <w:pPr>
              <w:jc w:val="center"/>
              <w:ind w:right="332"/>
              <w:spacing w:after="0"/>
              <w:rPr>
                <w:sz w:val="20"/>
                <w:szCs w:val="20"/>
                <w:color w:val="auto"/>
              </w:rPr>
            </w:pPr>
            <w:r>
              <w:rPr>
                <w:rFonts w:ascii="Arial" w:cs="Arial" w:eastAsia="Arial" w:hAnsi="Arial"/>
                <w:sz w:val="14"/>
                <w:szCs w:val="14"/>
                <w:b w:val="1"/>
                <w:bCs w:val="1"/>
                <w:color w:val="auto"/>
                <w:w w:val="88"/>
              </w:rPr>
              <w:t>Benefit</w:t>
            </w:r>
          </w:p>
        </w:tc>
        <w:tc>
          <w:tcPr>
            <w:tcW w:w="5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0"/>
              </w:rPr>
              <w:t>Taxes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$17,826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$14,014</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$ 403</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(45)</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253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Unrealized (loss) gain on cash flow hedging instrument</w:t>
            </w:r>
          </w:p>
        </w:tc>
        <w:tc>
          <w:tcPr>
            <w:tcW w:w="660" w:type="dxa"/>
            <w:vAlign w:val="bottom"/>
            <w:gridSpan w:val="3"/>
          </w:tcPr>
          <w:p>
            <w:pPr>
              <w:jc w:val="right"/>
              <w:ind w:right="112"/>
              <w:spacing w:after="0"/>
              <w:rPr>
                <w:sz w:val="20"/>
                <w:szCs w:val="20"/>
                <w:color w:val="auto"/>
              </w:rPr>
            </w:pPr>
            <w:r>
              <w:rPr>
                <w:rFonts w:ascii="Arial" w:cs="Arial" w:eastAsia="Arial" w:hAnsi="Arial"/>
                <w:sz w:val="18"/>
                <w:szCs w:val="18"/>
                <w:color w:val="auto"/>
              </w:rPr>
              <w:t>(558)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222</w:t>
            </w:r>
          </w:p>
        </w:tc>
        <w:tc>
          <w:tcPr>
            <w:tcW w:w="80" w:type="dxa"/>
            <w:vAlign w:val="bottom"/>
          </w:tcPr>
          <w:p>
            <w:pPr>
              <w:spacing w:after="0"/>
              <w:rPr>
                <w:sz w:val="18"/>
                <w:szCs w:val="18"/>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6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(155)</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177</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(356)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17,848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0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Company’s effective tax rate for the three months ended September 30, 2012 was expense of 43.4% compared with a benefit for the three months ended September 30, 2011. The Company’s effective tax rates for the nine months ended September 30, 2012 and 2011 were 47.6% and 48.2%, respectively. The effective tax rates for both the three and nine months ended September 30, 2012 periods were higher than the statutory rate, inclusive of state income taxes, primarily due to the impact of foreign losses with no tax benefit, partially offset by the release of reserves for uncertain tax positions. The benefit rate for the three months ended September 30, 2011 was higher than the statutory rate, inclusive of state income taxes, due primarily to the impact of certain credits and deductions recorded based on updated information obtained in the quarter, partially offset by the impact of foreign losses with no tax benefits. The effective tax rate for the nine months ended September 30, 2011 was higher than the statutory rate, inclusive of state income taxes, primarily due to the impact of foreign losses with no tax benefits, partially offset by certain credits and deductions recorded in the third quarter based on updated information obtained during the quarter.</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7500" w:firstLine="8"/>
        <w:spacing w:after="0" w:line="347" w:lineRule="auto"/>
        <w:tabs>
          <w:tab w:leader="none" w:pos="446"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Litigation</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Qui Tam Action</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On December 9, 2009, plaintiff, Associates Against Outlier Fraud, filed a first amended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 “relators”) to sue on behalf of the government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alleging that false or fraudulent claims were knowingly submitted to the government. Once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relator filed a second amended complaint alleging that Huron and others caused St. Vincent Catholic Medical Center to receive more than $30 million in inflated outlier payments under the Medicare and Medicaid programs in violation of the federal and state FCA and is also seeking to recover an unspecified amount of civil penalties. On June 18, 2012, Huron filed a Summary Judgment motion for dismissal of the action in its entirety which is currently pending. We have conducted preliminary settlement discussions with the relator, and as a result we recorded a charge of $1.2 million in the second quarter of 2012, in accordance with FASB ASC Topic 450, “Contingencies.” No trial date has been set. We believe that the claims are without merit and intend to vigorously defend ourselves in this matter.</w:t>
      </w:r>
    </w:p>
    <w:p>
      <w:pPr>
        <w:spacing w:after="0" w:line="12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Guarantees in the form of letters of credit totaling $3.9 million and $4.0 million were outstanding at September 30, 2012 and December 31, 2011, respectively, to support certain office lease obligations as well as Middle East performance and bid bonds.</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connection with certain business acquisitions, we were required to pay additional purchase consideration to the sellers if specific performance targets and conditions were met over a number of years as specified in the related purchase agreements. These amounts were calculated and payable at the end of each year based on full year financial results. Additional purchase consideration earned by certain sellers totaled $32.2 million for the year ended December 31, 2011. As of September 30, 2012, we have no further obligations under these arrangements.</w:t>
      </w:r>
    </w:p>
    <w:p>
      <w:pPr>
        <w:spacing w:after="0" w:line="11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Segments are defined by FASB ASC Topic 280, “Segment Reporting,” as components of a company in which separate financial information is available and is evaluated regularly by the chief operating decision maker, or decision-making group, in deciding how to allocate resources and in assessing performance. Our chief operating decision maker manages the business under three operating segments: Health and Education Consulting, Legal Consulting, and Financial Consulting.</w:t>
      </w:r>
    </w:p>
    <w:p>
      <w:pPr>
        <w:spacing w:after="0" w:line="56" w:lineRule="exact"/>
        <w:rPr>
          <w:sz w:val="20"/>
          <w:szCs w:val="20"/>
          <w:color w:val="auto"/>
        </w:rPr>
      </w:pPr>
    </w:p>
    <w:p>
      <w:pPr>
        <w:ind w:left="900" w:right="320" w:hanging="325"/>
        <w:spacing w:after="0" w:line="291"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Health and Education Consulting. </w:t>
      </w:r>
      <w:r>
        <w:rPr>
          <w:rFonts w:ascii="Arial" w:cs="Arial" w:eastAsia="Arial" w:hAnsi="Arial"/>
          <w:sz w:val="16"/>
          <w:szCs w:val="16"/>
          <w:color w:val="auto"/>
        </w:rPr>
        <w:t>Our Health and Education Consulting segment provides consulting services to hospitals, health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physicians, managed care organizations, academic medical centers, colleges, universities, and pharmaceutical and medical device manufacturers. This segment’s professionals develop and implement solutions and software to help clients address challenges relating to financial management, strategy, operational and organizational effectiveness, research administration, and regulatory compliance. This segment also provides consulting services related to hospital or healthcare organization performance improvement, revenue cycle improvement, turnarounds, merger or affiliation strategies, labor productivity, non-labor cost management, information technology, patient flow improvement, physician practice management, interim management, clinical quality and care variation, and governance and board development.</w:t>
      </w:r>
    </w:p>
    <w:p>
      <w:pPr>
        <w:spacing w:after="0" w:line="32" w:lineRule="exact"/>
        <w:rPr>
          <w:rFonts w:ascii="Arial" w:cs="Arial" w:eastAsia="Arial" w:hAnsi="Arial"/>
          <w:sz w:val="16"/>
          <w:szCs w:val="16"/>
          <w:color w:val="auto"/>
        </w:rPr>
      </w:pPr>
    </w:p>
    <w:p>
      <w:pPr>
        <w:ind w:left="900" w:right="100" w:hanging="325"/>
        <w:spacing w:after="0" w:line="293"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Legal Consulting. </w:t>
      </w:r>
      <w:r>
        <w:rPr>
          <w:rFonts w:ascii="Arial" w:cs="Arial" w:eastAsia="Arial" w:hAnsi="Arial"/>
          <w:sz w:val="16"/>
          <w:szCs w:val="16"/>
          <w:color w:val="auto"/>
        </w:rPr>
        <w:t>Our Legal Consulting segment provides advisory and business services to assist law departments of major corporations and law</w:t>
      </w:r>
      <w:r>
        <w:rPr>
          <w:rFonts w:ascii="Arial" w:cs="Arial" w:eastAsia="Arial" w:hAnsi="Arial"/>
          <w:sz w:val="16"/>
          <w:szCs w:val="16"/>
          <w:b w:val="1"/>
          <w:bCs w:val="1"/>
          <w:color w:val="auto"/>
        </w:rPr>
        <w:t xml:space="preserve"> </w:t>
      </w:r>
      <w:r>
        <w:rPr>
          <w:rFonts w:ascii="Arial" w:cs="Arial" w:eastAsia="Arial" w:hAnsi="Arial"/>
          <w:sz w:val="16"/>
          <w:szCs w:val="16"/>
          <w:color w:val="auto"/>
        </w:rPr>
        <w:t>firms with their strategy, organizational design and development, operational efficiency, and cost effectiveness. These results-driven services add value to organizations by helping reduce the amounts they spend on legal services and enhance client service. Our expertise focuses on strategic and management consulting, cost management, and technology and information management including matter management, records management, document review and discovery services. Included in this segment’s offerings is our V3locity</w:t>
      </w:r>
      <w:r>
        <w:rPr>
          <w:rFonts w:ascii="Arial" w:cs="Arial" w:eastAsia="Arial" w:hAnsi="Arial"/>
          <w:sz w:val="10"/>
          <w:szCs w:val="10"/>
          <w:color w:val="auto"/>
        </w:rPr>
        <w:t>®</w:t>
      </w:r>
      <w:r>
        <w:rPr>
          <w:rFonts w:ascii="Arial" w:cs="Arial" w:eastAsia="Arial" w:hAnsi="Arial"/>
          <w:sz w:val="16"/>
          <w:szCs w:val="16"/>
          <w:color w:val="auto"/>
        </w:rPr>
        <w:t xml:space="preserve"> solution, which delivers a streamlined e-discovery process resulting in more affordable and predictable discovery costs.</w:t>
      </w:r>
    </w:p>
    <w:p>
      <w:pPr>
        <w:spacing w:after="0" w:line="29" w:lineRule="exact"/>
        <w:rPr>
          <w:rFonts w:ascii="Arial" w:cs="Arial" w:eastAsia="Arial" w:hAnsi="Arial"/>
          <w:sz w:val="16"/>
          <w:szCs w:val="16"/>
          <w:color w:val="auto"/>
        </w:rPr>
      </w:pPr>
    </w:p>
    <w:p>
      <w:pPr>
        <w:ind w:left="900" w:hanging="325"/>
        <w:spacing w:after="0" w:line="287"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Financial Consulting. </w:t>
      </w:r>
      <w:r>
        <w:rPr>
          <w:rFonts w:ascii="Arial" w:cs="Arial" w:eastAsia="Arial" w:hAnsi="Arial"/>
          <w:sz w:val="16"/>
          <w:szCs w:val="16"/>
          <w:color w:val="auto"/>
        </w:rPr>
        <w:t>Our Financial Consulting segment provides financial advisory, interim management and operational consulting services to</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including companies in transition, creditor constituencies, and other stakeholders in connection with out-of-court restructurings and bankruptcy proceedings. For companies in financial distress, we work with management to assess the viability of their business, to develop and implement a turnaround plan to improve cash flow, and to implement a debt-restructuring plan to improve the balance sheet. In some instances, we serve in interim management roles. When out-of-court solutions are not achievable, we assist clients in preparing for Chapter 11 bankruptcy filings and with all aspects of the bankruptcy process by gathering, analyzing, and presenting financial and business information needed to achieve successful reorganizations. We also provide claims management services to help companies process and analyze complex and voluminous claims filed in bankruptcies and related litigation matters. We have an array of services that are flexible and responsive to event- and transaction-based needs across industries. Our professionals consist of certified public accountants, certified insolvency and restructuring advisors, certified turnaround professionals, MBAs, JDs and chartered financial analysts as well as former chief restructuring officers, chief executive officers, chief financial officers and board of directors members.</w:t>
      </w:r>
    </w:p>
    <w:p>
      <w:pPr>
        <w:spacing w:after="0" w:line="1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143"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From time to time, we will reorganize our internal organizational structure to better align our service offerings. During the first quarter of 2012, we moved our healthcare valuation consulting practice from our Health and Education Consulting segment to our Financial Consulting segment. Previously reported segment information has been restated to reflect this move.</w:t>
      </w:r>
    </w:p>
    <w:p>
      <w:pPr>
        <w:spacing w:after="0" w:line="14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table below sets forth information about our operating segments for the three and nine months ended September 30, 2012 and 2011, along with the items necessary to reconcile the segment information to the totals reported in the accompanying Consolidated Financial Statements.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11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9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1160" w:type="dxa"/>
            <w:vAlign w:val="bottom"/>
            <w:tcBorders>
              <w:bottom w:val="single" w:sz="8" w:color="CCEEFF"/>
            </w:tcBorders>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196"/>
        </w:trPr>
        <w:tc>
          <w:tcPr>
            <w:tcW w:w="7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Health and Education Consulting:</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109,046</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101,490</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294,932</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295,248</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45,846</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97,986</w:t>
            </w: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Legal Consulting: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46,153</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43,501</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133,443</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120,790</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11,479</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32,003</w:t>
            </w: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Consulting: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11"/>
                <w:szCs w:val="11"/>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6,689</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8,588</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16,821</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27,232</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8,562</w:t>
            </w: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31.4%</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161,888</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153,579</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445,196</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443,270</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38,280</w:t>
            </w:r>
          </w:p>
        </w:tc>
        <w:tc>
          <w:tcPr>
            <w:tcW w:w="200" w:type="dxa"/>
            <w:vAlign w:val="bottom"/>
            <w:shd w:val="clear" w:color="auto" w:fill="CCEEFF"/>
          </w:tcPr>
          <w:p>
            <w:pPr>
              <w:spacing w:after="0"/>
              <w:rPr>
                <w:sz w:val="18"/>
                <w:szCs w:val="18"/>
                <w:color w:val="auto"/>
              </w:rPr>
            </w:pP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color w:val="auto"/>
              </w:rPr>
              <w:t>Total revenues and reimbursable expenses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175,358</w:t>
            </w:r>
          </w:p>
        </w:tc>
        <w:tc>
          <w:tcPr>
            <w:tcW w:w="3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166,719</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487,016</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481,550</w:t>
            </w:r>
          </w:p>
        </w:tc>
      </w:tr>
      <w:tr>
        <w:trPr>
          <w:trHeight w:val="20"/>
        </w:trPr>
        <w:tc>
          <w:tcPr>
            <w:tcW w:w="11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Earnings reconciliation: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Segment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59,088</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50,835</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131,006</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138,551</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 not allocated at the segment level: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7020" w:type="dxa"/>
            <w:vAlign w:val="bottom"/>
            <w:gridSpan w:val="2"/>
          </w:tcPr>
          <w:p>
            <w:pPr>
              <w:ind w:left="440"/>
              <w:spacing w:after="0"/>
              <w:rPr>
                <w:sz w:val="20"/>
                <w:szCs w:val="20"/>
                <w:color w:val="auto"/>
              </w:rPr>
            </w:pPr>
            <w:r>
              <w:rPr>
                <w:rFonts w:ascii="Arial" w:cs="Arial" w:eastAsia="Arial" w:hAnsi="Arial"/>
                <w:sz w:val="18"/>
                <w:szCs w:val="18"/>
                <w:color w:val="auto"/>
              </w:rPr>
              <w:t>Other selling, general and administrative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20,562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20,151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65,436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66,171</w:t>
            </w:r>
          </w:p>
        </w:tc>
      </w:tr>
      <w:tr>
        <w:trPr>
          <w:trHeight w:val="216"/>
        </w:trPr>
        <w:tc>
          <w:tcPr>
            <w:tcW w:w="7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13,589</w:t>
            </w:r>
          </w:p>
        </w:tc>
      </w:tr>
      <w:tr>
        <w:trPr>
          <w:trHeight w:val="216"/>
        </w:trPr>
        <w:tc>
          <w:tcPr>
            <w:tcW w:w="7020" w:type="dxa"/>
            <w:vAlign w:val="bottom"/>
            <w:gridSpan w:val="2"/>
          </w:tcPr>
          <w:p>
            <w:pPr>
              <w:ind w:left="440"/>
              <w:spacing w:after="0"/>
              <w:rPr>
                <w:sz w:val="20"/>
                <w:szCs w:val="20"/>
                <w:color w:val="auto"/>
              </w:rPr>
            </w:pPr>
            <w:r>
              <w:rPr>
                <w:rFonts w:ascii="Arial" w:cs="Arial" w:eastAsia="Arial" w:hAnsi="Arial"/>
                <w:sz w:val="18"/>
                <w:szCs w:val="18"/>
                <w:color w:val="auto"/>
              </w:rPr>
              <w:t>Goodwill impairment charge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13,083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21,973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13,083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21,973</w:t>
            </w:r>
          </w:p>
        </w:tc>
      </w:tr>
      <w:tr>
        <w:trPr>
          <w:trHeight w:val="216"/>
        </w:trPr>
        <w:tc>
          <w:tcPr>
            <w:tcW w:w="7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expense,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10,401</w:t>
            </w:r>
          </w:p>
        </w:tc>
        <w:tc>
          <w:tcPr>
            <w:tcW w:w="200" w:type="dxa"/>
            <w:vAlign w:val="bottom"/>
            <w:shd w:val="clear" w:color="auto" w:fill="CCEEFF"/>
          </w:tcPr>
          <w:p>
            <w:pPr>
              <w:spacing w:after="0"/>
              <w:rPr>
                <w:sz w:val="18"/>
                <w:szCs w:val="18"/>
                <w:color w:val="auto"/>
              </w:rPr>
            </w:pP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18,388</w:t>
            </w:r>
          </w:p>
        </w:tc>
        <w:tc>
          <w:tcPr>
            <w:tcW w:w="3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371</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33,015</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26,417</w:t>
            </w:r>
          </w:p>
        </w:tc>
      </w:tr>
      <w:tr>
        <w:trPr>
          <w:trHeight w:val="20"/>
        </w:trPr>
        <w:tc>
          <w:tcPr>
            <w:tcW w:w="11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jc w:val="both"/>
        <w:ind w:left="460" w:right="18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Consulting segment revenues above include amounts related to our healthcare valuation consulting practice of $1.6 million and $1.5 million for the three months ended September 30, 2012 and 2011, respectively, and $3.5 million and $4.6 million for the nine months ended September 30, 2012 and 2011, respectively.</w:t>
      </w:r>
    </w:p>
    <w:p>
      <w:pPr>
        <w:spacing w:after="0" w:line="14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At both September 30, 2012 and December 31, 2011, no single client accounted for greater than 10% of our combined receivables and unbilled services balances.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No single client generated greater than 10% of our consolidated revenues during the three and nine months ended September 30, 2012 and 2011.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this Quarterly Report on Form 10-Q, unless the context otherwise requires, the terms “Huron,” “Company,” “we,” “us” and “our” refer to Huron Consulting Group Inc. and its subsidiaries.</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Statements in this Quarterly Report on Form 10-Q, including the information incorporated by reference herein,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“meets,” “could,” “intends,” “might,” “predicts,” “seeks,” “would,” “believes,” “estimates” or “continues.” These forward-looking statements reflect our current expectation about our future requirements and needs, results, levels of activity, performance, or achievements, including, without limitation, that our business continues to grow at the current expectations with respect to, among other factors, utilization rates, billing rates, and the number of revenue-generating professionals; that we are able to expand our service offerings; that we successfully integrate the businesses we acquire; and that existing market conditions continue to trend upward. These statements involve known and unknown risks, uncertainties and other factors, including, among others, those described under “Item 1A. Risk Factors” in our Annual Report on Form 10-K for the year ended December 31, 2011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 looking statements as a result of new information, future events, or any other reason.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a leading provider of operational and financial consulting services. We help clients in diverse industries improve performance, comply with complex regulations, reduce costs, recover from distress, leverage technology, process and review large amounts of complex data, and stimulate growth. We team with our clients to deliver sustainable and measurable results. Our professionals employ their expertise in healthcare administration, finance and operations to provide our clients with specialized analyses and customized advice and solutions that are tailored to address each client’s particular challenges and opportunities. We provide consulting services to a wide variety of both financially sound and distressed organizations, including healthcare organizations, leading academic institutions, governmental entities, Fortune 500 companies, medium-sized businesses, and the law firms that represent these various organizations.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We provide our services through three operating segments: Health and Education Consulting, Legal Consulting and Financial Consulting.</w:t>
      </w:r>
    </w:p>
    <w:p>
      <w:pPr>
        <w:spacing w:after="0" w:line="8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Health and Education Consulting</w:t>
      </w:r>
    </w:p>
    <w:p>
      <w:pPr>
        <w:spacing w:after="0" w:line="96" w:lineRule="exact"/>
        <w:rPr>
          <w:sz w:val="20"/>
          <w:szCs w:val="20"/>
          <w:color w:val="auto"/>
        </w:rPr>
      </w:pPr>
    </w:p>
    <w:p>
      <w:pPr>
        <w:ind w:left="920" w:right="60"/>
        <w:spacing w:after="0" w:line="290" w:lineRule="auto"/>
        <w:rPr>
          <w:sz w:val="20"/>
          <w:szCs w:val="20"/>
          <w:color w:val="auto"/>
        </w:rPr>
      </w:pPr>
      <w:r>
        <w:rPr>
          <w:rFonts w:ascii="Arial" w:cs="Arial" w:eastAsia="Arial" w:hAnsi="Arial"/>
          <w:sz w:val="16"/>
          <w:szCs w:val="16"/>
          <w:color w:val="auto"/>
        </w:rPr>
        <w:t>Our Health and Education Consulting segment provides consulting services to hospitals, health systems, physicians, managed care organizations, academic medical centers, colleges, universities, and pharmaceutical and medical device manufacturers. This segment’s professionals develop and implement solutions and software to help clients address challenges relating to financial management, strategy, operational and organizational effectiveness, research administration, and regulatory compliance. This segment also provides consulting services related to hospital or healthcare organization performance improvement, revenue cycle improvement, turnarounds, merger or affiliation strategies, labor productivity, non-labor cost management, information technology, patient flow improvement, physician practice management, interim management, clinical quality and care variation, and governance and board development.</w:t>
      </w:r>
    </w:p>
    <w:p>
      <w:pPr>
        <w:spacing w:after="0" w:line="3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Legal Consulting</w:t>
      </w:r>
    </w:p>
    <w:p>
      <w:pPr>
        <w:spacing w:after="0" w:line="96" w:lineRule="exact"/>
        <w:rPr>
          <w:sz w:val="20"/>
          <w:szCs w:val="20"/>
          <w:color w:val="auto"/>
        </w:rPr>
      </w:pPr>
    </w:p>
    <w:p>
      <w:pPr>
        <w:ind w:left="920" w:right="260"/>
        <w:spacing w:after="0" w:line="291" w:lineRule="auto"/>
        <w:rPr>
          <w:sz w:val="20"/>
          <w:szCs w:val="20"/>
          <w:color w:val="auto"/>
        </w:rPr>
      </w:pPr>
      <w:r>
        <w:rPr>
          <w:rFonts w:ascii="Arial" w:cs="Arial" w:eastAsia="Arial" w:hAnsi="Arial"/>
          <w:sz w:val="16"/>
          <w:szCs w:val="16"/>
          <w:color w:val="auto"/>
        </w:rPr>
        <w:t>Our Legal Consulting segment provides advisory and business services to assist law departments of major corporations and law firms with their strategy, organizational design and development, operational efficiency, and cost effectiveness. These results-driven services add value to organizations by helping reduce the amounts they spend on legal services and enhance client service. Our expertise focuses on strategic and management consulting, cost management, and technology and information management including matter management, records management, document review and discovery services. Included in this segment’s offerings is our V3locity</w:t>
      </w:r>
      <w:r>
        <w:rPr>
          <w:rFonts w:ascii="Arial" w:cs="Arial" w:eastAsia="Arial" w:hAnsi="Arial"/>
          <w:sz w:val="10"/>
          <w:szCs w:val="10"/>
          <w:color w:val="auto"/>
        </w:rPr>
        <w:t>®</w:t>
      </w:r>
      <w:r>
        <w:rPr>
          <w:rFonts w:ascii="Arial" w:cs="Arial" w:eastAsia="Arial" w:hAnsi="Arial"/>
          <w:sz w:val="16"/>
          <w:szCs w:val="16"/>
          <w:color w:val="auto"/>
        </w:rPr>
        <w:t xml:space="preserve"> solution, which delivers a streamlined e-discovery process resulting in more affordable and predictable discovery costs.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Financial Consulting</w:t>
      </w:r>
    </w:p>
    <w:p>
      <w:pPr>
        <w:spacing w:after="0" w:line="96"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Our Financial Consulting segment provides financial advisory, interim management and operational consulting services to companies including companies in transition, creditor constituencies, and other stakeholders in connection with out-of-court restructurings and bankruptcy proceedings. For companies in financial distress, we work with management to assess the viability of their business, to develop and implement a turnaround plan to improve cash flow, and to implement a debt-restructuring plan to improve the balance sheet. In some instances, we serve in interim management roles. When out-of-court solutions are not achievable, we assist clients in preparing for Chapter 11 bankruptcy filings and with all aspects of the bankruptcy process by gathering, analyzing, and presenting financial and business information needed to achieve successful reorganizations. We also provide claims management services to help companies process and analyze complex and voluminous claims filed in bankruptcies and related litigation matters. We have an array of services that are flexible and responsive to event- and transaction-based needs across industries. Our professionals consist of certified public accountants, certified insolvency and restructuring advisors, certified turnaround professionals, MBAs, JDs and chartered financial analysts as well as former chief restructuring officers, chief executive officers, chief financial officers and board of directors members.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96"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consisting of specialized finance and operational consultants who work variable schedules as needed by our clients, our document review and electronic data discovery groups, as well as full-time employees who provide software support and maintenance services to our clients. Our document review and electronic data discovery groups generate revenues primarily based on number of hours worked and units produced, such as pages reviewed or amount of data processed. We translate the hours that these other professionals work on client engagements into a full-time equivalent measure that we use to manage our business. From time to time, our full-time consultants may provide software support and maintenance or document review and electronic data discovery services based on demand for such services and the availability of our full-time consultants. We refer to our full-time consultants and other professionals collectively as revenue-generating professionals.</w:t>
      </w:r>
    </w:p>
    <w:p>
      <w:pPr>
        <w:spacing w:after="0" w:line="10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as well as the number of pages reviewed and amount of data processed in the case of our document review and electronic data discovery groups, respectively.</w:t>
      </w:r>
    </w:p>
    <w:p>
      <w:pPr>
        <w:spacing w:after="0" w:line="14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We generate the majority of our revenues from providing professional services under three types of billing arrangements: time-and-expense, fixed-fee, and performance-based.</w:t>
      </w:r>
    </w:p>
    <w:p>
      <w:pPr>
        <w:spacing w:after="0" w:line="13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Time-and-expense billing arrangements require the client to pay based on either the number of hours worked, the number of pages reviewed, or the amount of data processed by our revenue-generating professionals at agreed upon rates. We recognize revenues under time-and-expense billing arrangements as the related services are rendered. Time-and-expense engagements represented 48.1% and 44.0% of our revenues in the third quarter of 2012 and 2011, respectively. Time-and-expense engagements represented 48.1% and 43.8% of our revenues in the first nine months of 2012 and 2011, respectively.</w:t>
      </w:r>
    </w:p>
    <w:p>
      <w:pPr>
        <w:spacing w:after="0" w:line="113"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recognize revenues under fixed-fee billing arrangements using a proportionate performance approach, which is based on our estimates of work completed to-date versus the total services to be provided under the engagement. For the quarters ended September 30, 2012 and 2011, fixed-fee engagements represented approximately 31.8% and 34.5%, respectively, of our revenues. For the nine months ended September 30, 2012 and 2011, fixed-fee engagements represented approximately 35.6% and 36.3%, respectively, of our revenues.</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16.8% and 18.8% of our revenues in the third quarter of 2012 and 2011, respectively. Performance-based fee revenues represented 12.7% and 17.3% of our revenues in the first nine months of 2012 and 2011, respectively. Performance-based fee engagements may cause significant variations in quarterly revenues and operating results depending on the timing of achievement of the performance-based criteria.</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also generate revenues from licensing two types of proprietary software to clients. License revenue from our research administration and compliance software is recognized in accordance with FASB ASC Topic 985-605, generally in the month in which the software is delivered. License revenue from our revenue cycle management software is sold only as a component of our consulting projects and the services we provide are essential to the functionality of the software. Therefore, revenues from these software licenses are recognized over the term of the related consulting services contract in accordance with FASB ASC Topic 605-35. Clients that have purchased one of our software licenses can pay an annual fee for software support and maintenance. Annual support and maintenance fee revenue is recognized ratably over the support period, which is generally one year. These fees are billed in advance and included in deferred revenues until recognized. Support and maintenance revenues represented 3.3% and 2.7% of our revenues in the third quarters of 2012 and 2011, respectively. Support and maintenance revenues represented 3.6% and 2.6% of our revenues in the first nine months of 2012 and 2011, respectively.</w:t>
      </w:r>
    </w:p>
    <w:p>
      <w:pPr>
        <w:spacing w:after="0" w:line="1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quarterly results are impacted principally by our full-time consultants’ utilization rate, the number of business days in each quarter and the number of our revenue-generating professionals who are available to work. Our utilization rate can be negatively affected by increased hiring because there is generally a transition period for new professionals that results in a temporary drop in our utilization rate. The number of business work days is also affected by the number of vacation days taken by our consultants and holidays in each quarter. Our utilization rate can also be affected by seasonal variations in the demand for our services from our clients.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Opportunities and Challenges</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have entered into select acquisitions of complementary businesses and continue to hire highly qualified professionals.</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To expand our business, we will remain focused on growing our existing relationships and developing new relationships, execute our managing director compensation plan to attract and retain senior practitioners, continue to promote and provide an integrated approach to service delivery, broaden the scope of our existing services, and acquire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The launch of our Huron Legal, Huron Healthcare, Huron Education and Huron Life Sciences brand identities during 2011 was a major step in clearly articulating the benefits we offer our clients. We will continue to focus on reaching our client base through clear, concise, endorsed messages.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GAAP. We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there are four accounting policies that could be considered critical. These critical accounting policies relate to revenue recognition, allowances for doubtful accounts and unbilled services, carrying values of goodwill and other intangible assets, and valuation of net deferred tax assets. For a detailed discussion of these critical accounting policies, see “Item 7. Management’s Discussion and Analysis of Financial Condition and Results of Operations – Critical Accounting Policies” in our Annual Report on Form 10-K for the year ended December 31, 2011. Below is an update to our critical accounting policy relating to the carrying values of goodwill and other intangible assets. There have been no material changes to our other critical accounting policies during the first nine months of 2012.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 Assets</w:t>
      </w:r>
    </w:p>
    <w:p>
      <w:pPr>
        <w:spacing w:after="0" w:line="96"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Goodwill represents the excess of the cost of an acquired business over the net of the amounts assigned to assets acquired and liabilities assumed. Pursuant to the provisions of FASB ASC Topic 350, “Intangibles – Goodwill and Other,” goodwill is required to be tested at the reporting unit level for impairment annually or whenever indications of impairment arise. Our policy is to perform the annual goodwill impairment test as of November 30</w:t>
      </w:r>
      <w:r>
        <w:rPr>
          <w:rFonts w:ascii="Arial" w:cs="Arial" w:eastAsia="Arial" w:hAnsi="Arial"/>
          <w:sz w:val="10"/>
          <w:szCs w:val="10"/>
          <w:color w:val="auto"/>
        </w:rPr>
        <w:t>th</w:t>
      </w:r>
      <w:r>
        <w:rPr>
          <w:rFonts w:ascii="Arial" w:cs="Arial" w:eastAsia="Arial" w:hAnsi="Arial"/>
          <w:sz w:val="16"/>
          <w:szCs w:val="16"/>
          <w:color w:val="auto"/>
        </w:rPr>
        <w:t xml:space="preserve"> each year. In the second quarter of 2012, our Financial Consulting segment leadership undertook several initiatives intended to improve the segment’s financial performance. While the segment’s third quarter financial results improved over the second quarter results, the progress of the financial, operational, and business development improvements was not in line with our expectations. We now believe the likely time frame to improve the segment’s performance will be longer than originally</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anticipated. Therefore, we concluded that the carrying value of the segment likely exceeds its fair value and, in connection with the preparation of our financial statements for the quarter ended September 30, 2012, we performed an interim impairment test.</w:t>
      </w:r>
    </w:p>
    <w:p>
      <w:pPr>
        <w:spacing w:after="0" w:line="13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Goodwill impairment is determined using a two-step process. The first step of the goodwill impairment test is to identify potential impairment by comparing the fair value of a reporting unit with its net book value (or carrying amount), including goodwill. If the fair value of a reporting unit exceeds its carrying amount, goodwill of the reporting unit is considered not to be impaired and the second step of the impairment test is unnecessary. If the carrying amount of the reporting unit exceeds its fair value, the second step of the goodwill impairment test is performed to measure the amount of the impairment loss, if any. The second step of the goodwill impairment test compares the implied fair value of the reporting unit’s goodwill with the carrying amount of that goodwill. If the carrying amount of the reporting unit’s goodwill exceeds the implied fair value of that goodwill, an impairment loss is recognized in an amount equal to that excess. The implied fair value of goodwill is determined in the same manner as the amount of goodwill recognized in a business combination. That is, the fair value of the reporting unit is allocated to all of the assets and liabilities of that unit (including any unrecognized intangible assets) as if the reporting unit had been acquired in a business combination and the fair value of the reporting unit was the purchase price paid to acquire the reporting unit.</w:t>
      </w:r>
    </w:p>
    <w:p>
      <w:pPr>
        <w:spacing w:after="0" w:line="12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Based on the result of the first step of the goodwill impairment analysis, we determined that the fair value of our Financial Consulting segment was less than its carrying value as of September 30, 2012 and, as such, we applied the second step of the goodwill impairment test to this segment. Based on the result of this second step of the goodwill impairment analysis, we recorded a $13.1 million non-cash pretax charge to reduce the carrying value of goodwill in our Financial Consulting segment. As a result of the charge recognized during the third quarter, the carrying amount of our total goodwill was reduced to $518.5 million at September 30, 2012.</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estimating the fair value of our Financial Consulting segment, we considered the income approach and the market approach. The income approach recognizes that the value of an asset is premised upon the expected receipt of future economic benefits. This approach involves projecting the cash flows the asset is expected to generate. Fair value indications are developed in the income approach by discounting expected future cash flows available to the investor at a rate which reflects the risk inherent in the investment. The market approach is primarily comprised of the guideline company and the guideline transaction methods. The guideline company method compares the subject company to selected reasonably similar companies whose securities are actively traded in the public markets. The guideline transaction method gives consideration to the prices paid in recent transactions that have occurred in the subject company’s industry.</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determining the fair value of our Financial Consulting segment, we have relied on a combination of the income approach and the market approach, utilizing the guideline company method, with a fifty-fifty weighting. For companies providing services similar to those provided by us, the income and market approaches will generally provide the most reliable indications of value because the value of such companies is more dependent on their ability to generate earnings than on the value of the individual assets.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the income approach, we utilized a discounted cash flow analysis, which involved estimating the expected after-tax cash flows that will be generated by our Financial Consulting segment and then discounting those cash flows to present value reflecting the relevant risks associated with the segment and the time value of money. This approach requires the use of significant estimates and assumptions, including long-term projections of future cash flows, market conditions, discount rates reflecting the risk inherent in future cash flows, revenue growth, perpetual growth rates and profitability, among others. In estimating future cash flows for our Financial Consulting segment, we relied on an internally generated six-year forecast and a three percent long-term assumed annual revenue growth rate for periods after the six-year forecast. Our forecast is based on our historical experience, current backlog, expected market demand, and other industry information. Our discounted cash flow analysis assumed a 13% weighted average cost of capital (“WACC”) discount rate.</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These multiples were then applied to the operating data for the Financial Consulting segment and adjusted for factors similar to those used in a discounted cash flow analysis to arrive at an indication of value.</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Determining the fair value of a segment requires us to make significant judgments, estimates and assumptions. While we believe that the estimates and assumptions underlying our valuation methodology are reasonable, these estimates and assumptions could have a significant impact on whether or not an impairment charge is recognized and also the magnitude of any such charge. The results of an impairment analysis are as of a point in time. There is no assurance that the actual future earnings or cash flows of our Financial Consulting segment will not decline significantly from our projections. Any significant decline in our operations could result in additional goodwill impairment charges. A one percent increase in the discount rate would decrease the fair value of our Financial Consulting segment by $1.0 million. A one percent decrease in the long-term assumed growth rate or a 10% change in the weighting of the income approach and the market approach would not have had a significant effect on the fair value of the segment.</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After taking into account the $13.1 million impairment charge, the carrying values of goodwill for each of our segments as of September 30, 2012 are as follows (in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Health</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3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and</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32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Education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Legal</w:t>
            </w:r>
          </w:p>
        </w:tc>
        <w:tc>
          <w:tcPr>
            <w:tcW w:w="50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Financial</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32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4"/>
              </w:rPr>
              <w:t>Consulting</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Consulting</w:t>
            </w:r>
          </w:p>
        </w:tc>
        <w:tc>
          <w:tcPr>
            <w:tcW w:w="50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Consulting</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6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Carrying Value of Goodwill</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$449,464</w:t>
            </w:r>
          </w:p>
        </w:tc>
        <w:tc>
          <w:tcPr>
            <w:tcW w:w="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$ 52,914</w:t>
            </w:r>
          </w:p>
        </w:tc>
        <w:tc>
          <w:tcPr>
            <w:tcW w:w="5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$ 16,094</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$518,472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Intangible assets represent purchased assets that lack physical substance but can be distinguished from goodwill. Our intangible assets, net of accumulated amortization, totaled $20.4 million at September 30, 2012 and consist of customer contracts, customer relationships, non-competition agreements, trade names, technology and software, and the document reviewer database. We use valuation techniques in estimating the initial fair value of acquired intangible assets. These valuations are primarily based on the present value of the estimated net cash flows expected to be derived from the intangible assets, discounted for assumptions such as future customer attrition. We evaluate our intangible assets for impairment whenever events or changes in circumstances indicate that the carrying amount of the assets may not be recoverable. Therefore, changes such as higher or earlier-than-expected customer attrition or obsolescence of technology or software may result in higher future amortization charges or an impairment charge for intangible assets. All intangible assets related to our Financial Consulting segment were fully amortized prior to September 30, 2012.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The following table sets forth, for the periods indicated, selected segment and consolidated operating results and other operating data. Segment operating income consists of the revenues generated by a segment, less the direct costs of revenue and selling, general and administrative costs that are incurred directly by the segment. Unallocated costs include corporate costs related to administrative functions that are performed in a centralized manner that are not attributable to a particular segment. See Note 4 “Discontinued Operations” of this Quarterly Report on Form 10-Q for information related to our discontinued operations.</w:t>
      </w:r>
    </w:p>
    <w:p>
      <w:pPr>
        <w:spacing w:after="0" w:line="200" w:lineRule="exact"/>
        <w:rPr>
          <w:sz w:val="20"/>
          <w:szCs w:val="20"/>
          <w:color w:val="auto"/>
        </w:rPr>
      </w:pPr>
    </w:p>
    <w:p>
      <w:pPr>
        <w:spacing w:after="0" w:line="25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6"/>
              </w:rPr>
              <w:t>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5120" w:type="dxa"/>
            <w:vAlign w:val="bottom"/>
            <w:gridSpan w:val="4"/>
          </w:tcPr>
          <w:p>
            <w:pPr>
              <w:spacing w:after="0"/>
              <w:rPr>
                <w:sz w:val="20"/>
                <w:szCs w:val="20"/>
                <w:color w:val="auto"/>
              </w:rPr>
            </w:pPr>
            <w:r>
              <w:rPr>
                <w:rFonts w:ascii="Arial" w:cs="Arial" w:eastAsia="Arial" w:hAnsi="Arial"/>
                <w:sz w:val="14"/>
                <w:szCs w:val="14"/>
                <w:b w:val="1"/>
                <w:bCs w:val="1"/>
                <w:color w:val="auto"/>
              </w:rPr>
              <w:t>Segment and Consolidated Operating Results</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51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10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 and reimbursable expenses:</w:t>
            </w: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109,046</w:t>
            </w:r>
          </w:p>
        </w:tc>
        <w:tc>
          <w:tcPr>
            <w:tcW w:w="2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101,490</w:t>
            </w:r>
          </w:p>
        </w:tc>
        <w:tc>
          <w:tcPr>
            <w:tcW w:w="2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294,932</w:t>
            </w:r>
          </w:p>
        </w:tc>
        <w:tc>
          <w:tcPr>
            <w:tcW w:w="2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295,248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133,443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120,790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161,888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153,579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445,196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443,270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Total reimbursable expenses</w:t>
            </w: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revenues and reimbursable expenses</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175,358</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166,719</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487,016</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481,550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gridSpan w:val="4"/>
            <w:vMerge w:val="continue"/>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45,846</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35,232</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95,858</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Legal Consulting</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11,479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12,779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33,489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32,003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gridSpan w:val="3"/>
          </w:tcPr>
          <w:p>
            <w:pPr>
              <w:ind w:left="420"/>
              <w:spacing w:after="0"/>
              <w:rPr>
                <w:sz w:val="20"/>
                <w:szCs w:val="20"/>
                <w:color w:val="auto"/>
              </w:rPr>
            </w:pPr>
            <w:r>
              <w:rPr>
                <w:rFonts w:ascii="Arial" w:cs="Arial" w:eastAsia="Arial" w:hAnsi="Arial"/>
                <w:sz w:val="18"/>
                <w:szCs w:val="18"/>
                <w:color w:val="auto"/>
              </w:rPr>
              <w:t>Total segment operating income</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59,088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50,835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131,006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138,551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 not allocated to segments</w:t>
            </w:r>
          </w:p>
        </w:tc>
        <w:tc>
          <w:tcPr>
            <w:tcW w:w="1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92,104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101,733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20" w:type="dxa"/>
            <w:vAlign w:val="bottom"/>
            <w:gridSpan w:val="4"/>
          </w:tcPr>
          <w:p>
            <w:pPr>
              <w:spacing w:after="0"/>
              <w:rPr>
                <w:sz w:val="20"/>
                <w:szCs w:val="20"/>
                <w:color w:val="auto"/>
              </w:rPr>
            </w:pPr>
            <w:r>
              <w:rPr>
                <w:rFonts w:ascii="Arial" w:cs="Arial" w:eastAsia="Arial" w:hAnsi="Arial"/>
                <w:sz w:val="18"/>
                <w:szCs w:val="18"/>
                <w:b w:val="1"/>
                <w:bCs w:val="1"/>
                <w:color w:val="auto"/>
              </w:rPr>
              <w:t>Total operating income</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20,564</w:t>
            </w:r>
          </w:p>
        </w:tc>
        <w:tc>
          <w:tcPr>
            <w:tcW w:w="2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3,704</w:t>
            </w:r>
          </w:p>
        </w:tc>
        <w:tc>
          <w:tcPr>
            <w:tcW w:w="2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38,902</w:t>
            </w:r>
          </w:p>
        </w:tc>
        <w:tc>
          <w:tcPr>
            <w:tcW w:w="22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36,818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Other Operating Data:</w:t>
            </w: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120" w:type="dxa"/>
            <w:vAlign w:val="bottom"/>
            <w:gridSpan w:val="4"/>
            <w:vMerge w:val="continue"/>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11"/>
                <w:szCs w:val="11"/>
                <w:b w:val="1"/>
                <w:bCs w:val="1"/>
                <w:color w:val="auto"/>
              </w:rPr>
              <w:t>(2)</w:t>
            </w:r>
            <w:r>
              <w:rPr>
                <w:rFonts w:ascii="Arial" w:cs="Arial" w:eastAsia="Arial" w:hAnsi="Arial"/>
                <w:sz w:val="18"/>
                <w:szCs w:val="18"/>
                <w:b w:val="1"/>
                <w:bCs w:val="1"/>
                <w:color w:val="auto"/>
              </w:rPr>
              <w: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b w:val="1"/>
                <w:bCs w:val="1"/>
                <w:color w:val="auto"/>
                <w:w w:val="89"/>
              </w:rPr>
              <w:t xml:space="preserve">Average number of full-time billable consultants (for the period) </w:t>
            </w:r>
            <w:r>
              <w:rPr>
                <w:rFonts w:ascii="Arial" w:cs="Arial" w:eastAsia="Arial" w:hAnsi="Arial"/>
                <w:sz w:val="11"/>
                <w:szCs w:val="11"/>
                <w:b w:val="1"/>
                <w:bCs w:val="1"/>
                <w:color w:val="auto"/>
                <w:w w:val="89"/>
              </w:rPr>
              <w:t>(2)</w:t>
            </w:r>
            <w:r>
              <w:rPr>
                <w:rFonts w:ascii="Arial" w:cs="Arial" w:eastAsia="Arial" w:hAnsi="Arial"/>
                <w:sz w:val="18"/>
                <w:szCs w:val="18"/>
                <w:b w:val="1"/>
                <w:bCs w:val="1"/>
                <w:color w:val="auto"/>
                <w:w w:val="89"/>
              </w:rPr>
              <w: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Legal Consulting</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gridSpan w:val="3"/>
          </w:tcPr>
          <w:p>
            <w:pPr>
              <w:ind w:left="42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1,182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11"/>
                <w:szCs w:val="11"/>
                <w:b w:val="1"/>
                <w:bCs w:val="1"/>
                <w:color w:val="auto"/>
              </w:rPr>
              <w:t>(3)</w:t>
            </w:r>
            <w:r>
              <w:rPr>
                <w:rFonts w:ascii="Arial" w:cs="Arial" w:eastAsia="Arial" w:hAnsi="Arial"/>
                <w:sz w:val="18"/>
                <w:szCs w:val="18"/>
                <w:b w:val="1"/>
                <w:bCs w:val="1"/>
                <w:color w:val="auto"/>
              </w:rPr>
              <w: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77.3%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60" w:type="dxa"/>
            <w:vAlign w:val="bottom"/>
          </w:tcPr>
          <w:p>
            <w:pPr>
              <w:jc w:val="right"/>
              <w:ind w:right="1152"/>
              <w:spacing w:after="0"/>
              <w:rPr>
                <w:sz w:val="20"/>
                <w:szCs w:val="20"/>
                <w:color w:val="auto"/>
              </w:rPr>
            </w:pPr>
            <w:r>
              <w:rPr>
                <w:rFonts w:ascii="Arial" w:cs="Arial" w:eastAsia="Arial" w:hAnsi="Arial"/>
                <w:sz w:val="18"/>
                <w:szCs w:val="18"/>
                <w:color w:val="auto"/>
                <w:w w:val="99"/>
              </w:rPr>
              <w:t>24</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6"/>
          </w:tcPr>
          <w:p>
            <w:pPr>
              <w:ind w:left="2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Other Operating Data (Continued):</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11"/>
                <w:szCs w:val="11"/>
                <w:b w:val="1"/>
                <w:bCs w:val="1"/>
                <w:color w:val="auto"/>
              </w:rPr>
              <w:t>(4)</w:t>
            </w: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239</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11"/>
                <w:szCs w:val="11"/>
                <w:b w:val="1"/>
                <w:bCs w:val="1"/>
                <w:color w:val="auto"/>
              </w:rPr>
              <w:t>(5)</w:t>
            </w: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Consulting</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Revenue per full-time equivalents (in thousands):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Health and Education Consulting </w:t>
            </w:r>
            <w:r>
              <w:rPr>
                <w:rFonts w:ascii="Arial" w:cs="Arial" w:eastAsia="Arial" w:hAnsi="Arial"/>
                <w:sz w:val="11"/>
                <w:szCs w:val="11"/>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Legal Consulting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Financial Consulting </w:t>
            </w:r>
            <w:r>
              <w:rPr>
                <w:rFonts w:ascii="Arial" w:cs="Arial" w:eastAsia="Arial" w:hAnsi="Arial"/>
                <w:sz w:val="11"/>
                <w:szCs w:val="11"/>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52"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the reclassification of our healthcare valuation consulting practice from our Health and Education Consulting segment to our Financial Consulting segment in conjunction with an internal reorganization during the first quarter of 2012. Financial Consulting segment revenues for the three months ended September 30, 2012 and 2011 include $1.6 million and $1.5 million, respectively, related to our healthcare valuation consulting practice. Financial Consulting segment revenues for the nine months ended September 30, 2012 and 2011 include $3.5 million and $4.6 million, respectively, related to our healthcare valuation consulting practice.</w:t>
      </w: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our full-time billable consultants worked on client assignments during a period by the total available working hours for all of these consultants during the same period, assuming a forty-hour work week, less paid holidays and vacation days.</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ind w:left="460" w:right="40" w:hanging="452"/>
        <w:spacing w:after="0" w:line="255"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consultants who work variable schedules as needed by our clients, as well as other professionals who generate revenues primarily based on number of hours worked and units produced, such as pages reviewed and data processed. Also includes full-time employees who provide software support and maintenance services to our clients.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also assess our results of operations using certain non-GAAP financial measures. These non-GAAP financial measures differ from GAAP because the non-GAAP financial measures we calculate to measure adjusted EBITDA, adjusted net income from continuing operations and adjusted diluted earnings per share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2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management uses the non-GAAP financial measures to gain an understanding of our comparative operating performance, for example when comparing such results with previous periods or forecasts. These non-GAAP financial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(a) in understanding and evaluating Huron’s current operating performance and future prospects in the same manner as management does, (b) in comparing in a consistent manner Huron’s current financial results with Huron’s past financial results and (c) in understanding the Company’s ability to generate cash flows from operations that are available for taxes, capital expenditures, and debt repayment.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non-GAAP financial measures from GAAP to non-GAAP are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14"/>
                <w:szCs w:val="14"/>
                <w:color w:val="auto"/>
              </w:rPr>
            </w:pPr>
          </w:p>
        </w:tc>
        <w:tc>
          <w:tcPr>
            <w:tcW w:w="19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4"/>
                <w:szCs w:val="14"/>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161,888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153,579</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445,196</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443,270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Net income from continuing operations</w:t>
            </w: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40" w:type="dxa"/>
            <w:vAlign w:val="bottom"/>
            <w:gridSpan w:val="2"/>
            <w:vMerge w:val="continue"/>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10,416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1,052</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17,308</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13,690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Income tax expense (benefit)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7,972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15,707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other expenses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6,316</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16,656</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before interest, taxes, depreciation and amortization (EBITDA)</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26,230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Add back:</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Restatement related expenses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Restructuring charges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settlements, net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Goodwill impairment charges</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21,973</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13,083</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41,575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74,829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82,836</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Adjusted EBITDA as a percentage of revenues</w:t>
            </w: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89"/>
              </w:rPr>
              <w:t>Three Months Ended</w:t>
            </w:r>
          </w:p>
        </w:tc>
        <w:tc>
          <w:tcPr>
            <w:tcW w:w="100" w:type="dxa"/>
            <w:vAlign w:val="bottom"/>
          </w:tcPr>
          <w:p>
            <w:pPr>
              <w:spacing w:after="0"/>
              <w:rPr>
                <w:sz w:val="24"/>
                <w:szCs w:val="24"/>
                <w:color w:val="auto"/>
              </w:rPr>
            </w:pPr>
          </w:p>
        </w:tc>
        <w:tc>
          <w:tcPr>
            <w:tcW w:w="19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4"/>
                <w:szCs w:val="14"/>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17,308</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shares – diluted</w:t>
            </w: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4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22,326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21,968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22,247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21,535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from continuing operations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Add back:</w:t>
            </w: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Restatement related expenses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Litigation settlements, 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impairment charges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13,083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Tax effect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(6,840)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(10,079)</w:t>
            </w:r>
          </w:p>
        </w:tc>
        <w:tc>
          <w:tcPr>
            <w:tcW w:w="10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(9,701)</w:t>
            </w: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(13,835)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adjustments, net of tax</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15,119</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14,719</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Adjusted net income from continuing operations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20,844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16,171</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32,027</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34,443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 from continuing operations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i w:val="1"/>
          <w:iCs w:val="1"/>
          <w:color w:val="auto"/>
        </w:rPr>
        <w:t xml:space="preserve">Restatement related expenses: </w:t>
      </w:r>
      <w:r>
        <w:rPr>
          <w:rFonts w:ascii="Arial" w:cs="Arial" w:eastAsia="Arial" w:hAnsi="Arial"/>
          <w:sz w:val="18"/>
          <w:szCs w:val="18"/>
          <w:color w:val="auto"/>
        </w:rPr>
        <w:t>We have incurred significant expenses related to our 2009 financial statement restatement. We have excluded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of these restatement related expenses from our non-GAAP measures due to the nonrecurring nature of the underlying event as a means to provide comparability with periods that were not impacted by the restatement related expenses.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913"/>
        <w:spacing w:after="0" w:line="323" w:lineRule="auto"/>
        <w:rPr>
          <w:sz w:val="20"/>
          <w:szCs w:val="20"/>
          <w:color w:val="auto"/>
        </w:rPr>
      </w:pPr>
      <w:r>
        <w:rPr>
          <w:rFonts w:ascii="Arial" w:cs="Arial" w:eastAsia="Arial" w:hAnsi="Arial"/>
          <w:sz w:val="15"/>
          <w:szCs w:val="15"/>
          <w:i w:val="1"/>
          <w:iCs w:val="1"/>
          <w:color w:val="auto"/>
        </w:rPr>
        <w:t xml:space="preserve">Restructuring charges: </w:t>
      </w:r>
      <w:r>
        <w:rPr>
          <w:rFonts w:ascii="Arial" w:cs="Arial" w:eastAsia="Arial" w:hAnsi="Arial"/>
          <w:sz w:val="15"/>
          <w:szCs w:val="15"/>
          <w:color w:val="auto"/>
        </w:rPr>
        <w:t>We have incurred charges due to the restructuring of various parts of our business. These restructuring charges have primarily</w:t>
      </w:r>
      <w:r>
        <w:rPr>
          <w:rFonts w:ascii="Arial" w:cs="Arial" w:eastAsia="Arial" w:hAnsi="Arial"/>
          <w:sz w:val="15"/>
          <w:szCs w:val="15"/>
          <w:i w:val="1"/>
          <w:iCs w:val="1"/>
          <w:color w:val="auto"/>
        </w:rPr>
        <w:t xml:space="preserve"> </w:t>
      </w:r>
      <w:r>
        <w:rPr>
          <w:rFonts w:ascii="Arial" w:cs="Arial" w:eastAsia="Arial" w:hAnsi="Arial"/>
          <w:sz w:val="15"/>
          <w:szCs w:val="15"/>
          <w:color w:val="auto"/>
        </w:rPr>
        <w:t>consisted of severance charges and office space reductions, including the accelerated depreciation of certain leasehold improvements. We have excluded the effect of the restructuring charges from our non-GAAP measures as a means to provide comparability with periods that were not impacted by a restructuring charge. Additionally, the amount of each restructuring charge is significantly affected by the timing and size of the restructured business or component of a business.</w:t>
      </w:r>
    </w:p>
    <w:p>
      <w:pPr>
        <w:spacing w:after="0" w:line="98"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i w:val="1"/>
          <w:iCs w:val="1"/>
          <w:color w:val="auto"/>
        </w:rPr>
        <w:t xml:space="preserve">Litigation settlement expense: </w:t>
      </w:r>
      <w:r>
        <w:rPr>
          <w:rFonts w:ascii="Arial" w:cs="Arial" w:eastAsia="Arial" w:hAnsi="Arial"/>
          <w:sz w:val="18"/>
          <w:szCs w:val="18"/>
          <w:color w:val="auto"/>
        </w:rPr>
        <w:t>We have excluded the effects of litigation settlement expenses because they are infrequent events and their exclusion</w:t>
      </w:r>
      <w:r>
        <w:rPr>
          <w:rFonts w:ascii="Arial" w:cs="Arial" w:eastAsia="Arial" w:hAnsi="Arial"/>
          <w:sz w:val="18"/>
          <w:szCs w:val="18"/>
          <w:i w:val="1"/>
          <w:iCs w:val="1"/>
          <w:color w:val="auto"/>
        </w:rPr>
        <w:t xml:space="preserve"> </w:t>
      </w:r>
      <w:r>
        <w:rPr>
          <w:rFonts w:ascii="Arial" w:cs="Arial" w:eastAsia="Arial" w:hAnsi="Arial"/>
          <w:sz w:val="18"/>
          <w:szCs w:val="18"/>
          <w:color w:val="auto"/>
        </w:rPr>
        <w:t>permits comparability with periods that were not impacted by these charges.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Amortization of intangible assets</w:t>
      </w:r>
      <w:r>
        <w:rPr>
          <w:rFonts w:ascii="Arial" w:cs="Arial" w:eastAsia="Arial" w:hAnsi="Arial"/>
          <w:sz w:val="16"/>
          <w:szCs w:val="16"/>
          <w:color w:val="auto"/>
        </w:rPr>
        <w:t>: We have excluded the effect of amortization of intangible assets from the non-GAAP measures presented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 is inconsistent in its amount and frequency and is significantly affected by the timing and size of our acquisitions.</w:t>
      </w:r>
    </w:p>
    <w:p>
      <w:pPr>
        <w:spacing w:after="0" w:line="165"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i w:val="1"/>
          <w:iCs w:val="1"/>
          <w:color w:val="auto"/>
        </w:rPr>
        <w:t>Goodwill impairment charges</w:t>
      </w:r>
      <w:r>
        <w:rPr>
          <w:rFonts w:ascii="Arial" w:cs="Arial" w:eastAsia="Arial" w:hAnsi="Arial"/>
          <w:sz w:val="18"/>
          <w:szCs w:val="18"/>
          <w:color w:val="auto"/>
        </w:rPr>
        <w:t>: We have excluded the effects of goodwill impairment charges in the third quarters of 2012 and 2011 because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infrequent events and their exclusion permits comparability with periods that were not impacted by such charges.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rate applicable to the non-GAAP adjustments.</w:t>
      </w:r>
    </w:p>
    <w:p>
      <w:pPr>
        <w:spacing w:after="0" w:line="171"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i w:val="1"/>
          <w:iCs w:val="1"/>
          <w:color w:val="auto"/>
        </w:rPr>
        <w:t xml:space="preserve">Income tax expense, Interest and other expenses, Depreciation and amortization: </w:t>
      </w:r>
      <w:r>
        <w:rPr>
          <w:rFonts w:ascii="Arial" w:cs="Arial" w:eastAsia="Arial" w:hAnsi="Arial"/>
          <w:sz w:val="18"/>
          <w:szCs w:val="18"/>
          <w:color w:val="auto"/>
        </w:rPr>
        <w:t>We have excluded the effects of income tax expense,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expenses, and depreciation and amortization in the calculation of EBITDA as these are customary exclusions as defined by the calculation of EBITDA to arrive at meaningful earnings from core operations excluding the effect of such items.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2012 Compared to Three Months Ended September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Revenues increased $8.3 million, or 5.4%, to $161.9 million for the third quarter of 2012 from $153.6 million for the third quarter of 2011.</w:t>
      </w:r>
    </w:p>
    <w:p>
      <w:pPr>
        <w:spacing w:after="0" w:line="171"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The overall increase was attributable to a $7.7 million increase in revenue from our full-time billable consultants and a $0.6 million increase in revenue from our full-time equivalents. The increase in full-time billable consultant revenues was driven by an increase in the average number of billable consultants, partially offset by decreases in our consultant utilization rate and our average billing rate. The increase reflects strengthened demand for our services in the Health and Education Consulting and Legal Consulting segments, partially offset by a decrease in demand for our services in the Financial Consulting segment. The increase in full-time equivalent revenue was primarily attributable to an increase in the average number of full-time equivalents, partially offset by a decrease in revenues per full-time equivalent. Revenue attributable to full-time equivalents primarily reflected increased use of contractors in our Health and Education Consulting segment, partially offset by slightly decreased demand for our document review and electronic data discovery services in the Legal Consulting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Our total direct costs decreased $4.1 million, or 4.4%, to $90.1 million in the three months ended September 30, 2012 from $94.2 million in the three months ended September 30, 2011. The decrease was primarily related to a $3.5 million decrease in contractor expense and a $1.1 million decrease in salaries, bonuses and related expenses for our revenue-generating professionals, partially offset by a $0.5 million increase in technology expense.</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Total direct costs for the three months ended September 30, 2012 included $1.8 million of share-based compensation expense and $0.8 million of intangible asset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primarily representing customer-related assets and software. Total direct costs for the three months ended September 30, 2011 included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$3.4 million of share-based compensation expense and $1.3 million of intangible asset amortization expense. The decrease in share-based compensation expense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during the third quarter of 2012 reflects a decrease in expense related to certain retention awards granted in 2009 that became fully vested in 2011,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 forfeitures and a reduction in our estimate of the number of awards that will be granted based on 2012 performance. The decrease in intangible asset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amortization is attributable to certain intangible assets that became fully amortized during the third quarter of 2012, partially offset by amortization of intangible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assets acquired in connection with business acquisitions that occurred during the first nine months of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Selling, general and administrative expenses increased $3.5 million, or 12.6%, to $31.1 million in the third quarter of 2012 from $27.6 million in the third quarter of 2011. This increase was primarily related to a $1.8 million increase in meetings expense, a $0.9 million increase in severance expense, a $0.6 million increase in facilities expense, and a $0.5 million increase in legal expense. These increases were partially offset by a $0.6 million decrease in salaries, bonuses and related expenses for our support personnel.</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the third quarter of 2012, we incurred a $2.2 million pre-tax restructuring charge primarily related to the consolidation of office space in the Washington, D.C. area as a result of the AdamsGrayson acquisition, accelerated depreciation on leasehold improvements at our New York office location, which we plan to relocate during the fourth quarter of 2012, and brokerage fees related to the execution of a sublease arrangement for the New York space commencing in the first quarter of 2013 through the remainder of the lease term, which expires in 2016. We expect the remaining accelerated depreciation charge in 2012 related to our New York office to be $0.4 million. We do not expect to incur any additional significant restructuring charges related to the New York office relocation. See Note 8 “Restructuring Charges” for further discussion of restructuring expense. Restructuring expense was $0.4 million in the third quarter of 2011.</w:t>
      </w:r>
    </w:p>
    <w:p>
      <w:pPr>
        <w:spacing w:after="0" w:line="12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Expenses incurred in connection with our 2009 restatement decreased by $0.7 million to $0.1 million in the third quarter of 2012 from $0.8 million in the third quarter of 2011. These expenses primarily consisted of legal fees in both periods.</w:t>
      </w:r>
    </w:p>
    <w:p>
      <w:pPr>
        <w:spacing w:after="0" w:line="13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Depreciation and amortization expense decreased by $0.1 million to $4.9 million in the three months ended September 30, 2012 from $5.0 million in the three months ended September 30, 2011. Non-direct intangible asset amortization relates to customer relationships, non-competition agreements and trade names acquired in connection with our acquisitions.</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Goodwill impairment charge expense was $13.1 million for the quarter ended September 30, 2012 and was related to our Financial Consulting segment. See Note 5 “Goodwill and Intangible Assets” and the Critical Accounting Policies section above for further discussion of this charge. Goodwill impairment charge expense was $22.0 million for the quarter ended September 30, 2011, and also related to our Financial Consulting segment.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Operating income increased $16.9 million to $20.6 million in the third quarter of 2012 from $3.7 million in the third quarter of 2011. Operating margin, which is defined as operating income expressed as a percentage of revenues, increased to 12.7% in the three months ended September 30, 2012 compared to 2.4% in the three months ended September 30, 2011. This increase is primarily attributable to a decrease in goodwill impairment expense, a decrease in contractor expense and a decrease in salaries, bonuses and related expense for both our revenue-generating professionals and our support personnel as a percentage of revenues, partially offset by an increase in meetings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Other expense, net decreased by $1.1 million to $2.2 million in the third quarter of 2012 from $3.3 million in the third quarter of 2011. This decrease was primarily attributable to a $0.7 million increase in other income and a $0.4 million decrease in interest expense. The increase in other income was the result of improved performance of the investments used to fund our deferred compensation liability. The decrease in interest expense was driven by lower average borrowing levels during the quarter.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For the third quarter of 2012, we recognized income tax expense from continuing operations of $8.0 million on income from continuing operations of $18.4 million. For the third quarter of 2011, we recognized income tax benefit from continuing operations of $0.7 million on income from continuing operations of $0.4 million. Our effective tax rate for the third quarter of 2012 was expense of 43.4% compared with a benefit in the same period last year. The effective tax rate in the third quarter of 2012 was slightly higher than the statutory rate, inclusive of state income taxes, due primarily to the impact of foreign losses with no tax benefit, partially offset by the release of reserves for uncertain tax positions. The effective benefit rate in the third quarter of 2011 was higher than the statutory rate, inclusive of state income taxes, due primarily to the impact of certain credits and deductions recorded based on updated information obtained in the quarter, partially offset by the impact of foreign losses with no tax benefit.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Net income from continuing operations was $10.4 million for the three months ended September 30, 2012 compared to net income from continuing operations of $1.1 million for the same period last year. The increase in net income from continuing operations was primarily due to the increase in operating income and the decrease in other expense, net, as discussed above, partially offset by the corresponding increase in income tax expense. As a result of the increase in net income from continuing operations, diluted earnings per share from continuing operations for the third quarter of 2012 was $0.47 compared to diluted earnings per share from continuing operations of $0.05 for the third quarter of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income from discontinued operations was less than $0.1 million in the third quarter of 2012, compared to net loss from discontinued operations of $0.6 million in the third quarter of 2011. See Note 4 “Discontinued Operations” of this Quarterly Report on Form 10-Q for further information about our discontinued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Education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Health and Education Consulting segment revenues increased $7.5 million, or 7.4%, to $109.0 million for the third quarter of 2012 from $101.5 million for the third quarter of 2011. Revenues from time-and-expense engagements, fixed-fee engagements, performance-based arrangements and software support and maintenance arrangements represented 26.4%, 44.1%, 24.7% and 4.8% of this segment’s revenues during the three months ended September 30, 2012, respectively, compared to 19.0%, 48.5%, 28.4% and 4.1%, respectively, for the comparable period in 2011.</w:t>
      </w:r>
    </w:p>
    <w:p>
      <w:pPr>
        <w:spacing w:after="0" w:line="11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Of the overall $7.5 million increase in revenues, $6.5 million was attributable to our full-time billable consultants and $1.0 million was related to our full-time equivalents. The overall increase in revenues reflected an increase in the average number of full-time billable consultants, partially offset by decreases in average billing rate and consultant utilization rate. Performance-based fee revenues were $26.9 million during the third quarter of 2012 compared to $28.9 million during the third quarter of 2011. Performance-based fee engagements may cause significant variations in quarterly revenues, operating results and average billing rates due to the timing of achievement of the performance-based criteria.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Health and Education Consulting segment operating income increased $10.6 million, or 30.1%, to $45.8 million in the three months ended September 30, 2012 from $35.2 million in the three months ended September 30, 2011. The Health and Education Consulting segment operating margin, defined as segment operating income expressed as a percentage of segment revenues, increased to 42.0% for the third quarter of 2012 from 34.7% in the same period last year. The increase in this segment’s operating margin was primarily attributable to decreases in salaries, bonus and related expenses for our revenue-generating professionals, contractor expense and technology expense, partially offset by increases in meetings expense and severance expense as a percentage of revenues.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Legal Consulting segment revenues increased $2.7 million, or 6.1%, to $46.2 million for the third quarter of 2012 from $43.5 million for the third quarter of 2011. Revenues from time-and-expense engagements, fixed-fee engagements, and support and maintenance arrangements represented 95.9%, 3.8%, and 0.3%, respectively, of this segment’s revenues during the three months ended September 30, 2012. Revenues from time-and-expense engagements and fixed-fee engagements represented 95.0% and 5.0%, respectively, of this segment’s revenues for the comparable period in 2011.</w:t>
      </w:r>
    </w:p>
    <w:p>
      <w:pPr>
        <w:spacing w:after="0" w:line="113"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Of the overall $2.7 million increase in revenues, $2.9 million was generated by our full-time billable consultants, partially offset by a $0.2 million decrease in revenue generated by our full-time equivalents. The increase in revenues reflected an increase in demand for our advisory services, partially offset by a slight decrease in demand for our document review and electronic data discovery services. The increase in full-time billable consultant revenue reflected a higher number of full-time billable consultants, higher consultant utilization and an increased average billing rate. The decrease in revenue attributable to our full-time equivalents was driven by a decrease in average revenue per full-time equivalent, partially offset by an increase in the average number of full-time equivalents.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Legal Consulting segment operating income decreased by $1.3 million, or 10.2%, to $11.5 million in the three months ended September 30, 2012 from</w:t>
      </w:r>
    </w:p>
    <w:p>
      <w:pPr>
        <w:spacing w:after="0" w:line="38"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$12.8 million in the three months ended September 30, 2011. Segment operating margin decreased to 24.9% for the third quarter of 2012 from 29.4% in the same period last year. The decrease in this segment’s operating margin was primarily attributable to increases in salaries, bonuses and related expenses for both our revenue-generating professionals and support personnel, technology expense, practice administration and meetings expenses, and rent and depreciation expenses as a percentage of segment revenues, partially offset by a decrease in contractor expense.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Financial Consulting segment revenues decreased $1.9 million, or 22.1%, to $6.7 million for the third quarter of 2012 from $8.6 million for the third quarter of 2011. Revenues from time-and-expense engagements, fixed-fee engagements, and performance-based arrangements represented 70.1%, 26.2%, and 3.7%, respectively, of this segment’s revenues during the third quarter of 2012. Revenues from time-and-expense engagements and fixed-fee engagements represented 79.1% and 20.9%, respectively, for the comparable period in 2011.</w:t>
      </w:r>
    </w:p>
    <w:p>
      <w:pPr>
        <w:spacing w:after="0" w:line="14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Of the overall $1.9 million decrease in revenues, $1.7 million was attributable to a decrease in revenues from our full-time billable consultants and $0.2 million was attributable to our full-time equivalents. The overall decrease in revenues reflects a lower number of full-time billable consultants and lower consultant utilization, partially offset by an increase in average billing rates during the quarter.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Financial Consulting segment operating income decreased by $1.0 million, or 37.6%, to $1.8 million in the three months ended September 30, 2012 compared to $2.8 million in the three months ended September 30, 2011. Segment operating margin decreased to 26.4% for the third quarter of 2012 from 32.9% in the same period last year. This segment’s operating margin decreased primarily due to increased salaries and related expenses for our revenue-generating professionals as a percentage of revenues.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2012 Compared to Nine Months Ended September 30, 2011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Revenues increased $1.9 million, or 0.4%, to $445.2 million for the first nine months of 2012 from $443.3 million for the first nine months of 2011.</w:t>
      </w:r>
    </w:p>
    <w:p>
      <w:pPr>
        <w:spacing w:after="0" w:line="19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The overall increase was attributable to a $4.7 million increase in revenues from our full-time equivalents, partially offset by a $2.8 million decrease in revenues from our full-time billable consultants. The increase in full-time equivalent revenues was attributable to an increase in the average number of full-time equivalents as well as an increase in average revenue per full-time equivalent. Revenues attributable to full-time equivalents reflected an increase in demand for our document review and electronic data discovery services in the Legal Consulting segment as well as increased use of contractors in the Health and Education Consulting segment, partially offset by decreased use of contractors in the Financial Consulting segment. The decrease in full-time billable consultant revenues was driven by a decrease in our average billing rate, partially offset by an increase in the number of full-time billable consultants. The consultant utilization rate held steady between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total direct costs increased $4.8 million, or 1.7%, to $281.0 million in the nine months ended September 30, 2012 from $276.2 million for the comparable period in 2011. The increase was primarily related to a $12.0 million increase in salaries, bonuses and related expenses for our revenue-generating professionals, a $1.9 million increase in technology expense and a $1.1 million increase in rent expense for our document review locations. These increases were partially offset by a $9.3 million decrease in contractor expense and a $1.0 million decrease in direct intangible asset amortization.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Total direct costs for the nine months ended September 30, 2012 included $8.2 million of share-based compensation expense and $3.1 million of intangible asset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primarily representing customer-related assets and software. Total direct costs for the nine months ended September 30, 2011 included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$10.4 million of share-based compensation expense and $4.1 million of intangible asset amortization expense. The decrease in share-based compensation expense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2012 reflects a decrease in expense related to certain retention awards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granted in 2009 that became fully vested in 2011, increased award forfeitures and a reduction in our estimate of the number of awards that will be granted based on 2012 performance when compared to 2011 performance. The decrease in intangible asset amortization is attributable to certain intangible assets that became fully amortized during the third quarter of 2012, partially offset by amortization of intangible assets acquired in connection with business acquisitions that occurred during the first nine months of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Selling, general and administrative expenses increased $4.1 million, or 4.7%, to $92.4 million in the first nine months of 2012 from $88.3 million in the first nine months of 2011. This increase was primarily related to a $1.9 million increase in legal expense, a $1.1 million increase in meeting expense, a $0.9 million increase in severance expense, a $0.9 million increase in professional services expense and a $0.6 million increase in computer equipment and supplies expense. These increases were partially offset by a $1.0 million decrease in promotion and sponsorship expenses.</w:t>
      </w:r>
    </w:p>
    <w:p>
      <w:pPr>
        <w:spacing w:after="0" w:line="11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the first nine months of 2012, we recorded $3.3 million in restructuring expense, primarily consisting of accelerated depreciation on leasehold improvements at our New York office location, which we plan to relocate during the fourth quarter of 2012, brokerage fees related to the execution of a sublease arrangement for this space commencing in the first quarter of 2013 through the remainder of the lease term, which expires in 2016, and charges related to our consolidation of office space in the Washington, D.C. area as a result of the AdamsGrayson acquisition. These charges were partially offset by the net favorable impact of updated assumptions for lease accruals related to previously vacated office spaces. We expect the remaining accelerated depreciation charge in 2012 related to our New York office to be $0.4 million. We do not expect to incur any additional significant restructuring charges related to the New York office relocation. See Note 8 “Restructuring Charges” for further discussion of restructuring expense. Restructuring expense was $1.4 million in the first nine months of 2011.</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Expenses incurred in connection with our 2009 restatement decreased by $2.1 million to $1.8 million in the first three quarters of 2012 from $3.9 million in the first three quarters of 2011. These expenses primarily consisted of legal fees in both periods.</w:t>
      </w:r>
    </w:p>
    <w:p>
      <w:pPr>
        <w:spacing w:after="0" w:line="132"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 xml:space="preserve">Litigation settlement expense was $1.2 million for the nine months ended September 30, 2012. Related to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discussed in “Legal Proceedings” and in Note 13 “Commitments, Contingencies and Guarantees,” we conducted preliminary settlement discussions with the relator, and as a result we recorded a charge of $1.2 million in the second quarter of 2012, in accordance with FASB ASC Topic 450, “Contingencies.”</w:t>
      </w:r>
    </w:p>
    <w:p>
      <w:pPr>
        <w:spacing w:after="0" w:line="10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Depreciation and amortization expense was $13.6 million in both the nine months ended September 30, 2012 and the nine months ended September 30, 2011. Non-direct intangible asset amortization relates to customer relationships, non-competition agreements and trade names acquired in connection with our acquisitions.</w:t>
      </w:r>
    </w:p>
    <w:p>
      <w:pPr>
        <w:spacing w:after="0" w:line="140"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Goodwill impairment charge expense was $13.1 million for the three quarters ended September 30, 2012 and was related to our Financial Consulting segment. See Note 5 “Goodwill and Intangible Assets” and the Critical Accounting Policies section above for further discussion of this charge. Goodwill impairment charge expense was $22.0 million for the three quarters ended September 30, 2011, and also was related to our Financial Consulting segment.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income increased $2.1 million, or 5.7%, to $38.9 million in the first nine months of 2012 from $36.8 million in the first nine months of 2011. Operating margin, which is defined as operating income expressed as a percentage of revenues, increased to 8.7% in the nine months ended September 30, 2012 compared to 8.3% for the comparable period in 2011. This increase is primarily attributable to the decreases in contractor expense and goodwill impairment charge expense, partially offset by increases of salaries, bonuses and related expense for our revenue-generating professionals, legal expense, technology expense and meetings expense as a percentage of revenues.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Other expense, net decreased by $4.5 million to $5.9 million in the first nine months of 2012 from $10.4 million in the first nine months of 2011. The decrease was attributable to a $3.7 million, or 37%, decrease in interest expense and an $0.8 million increase in other income. The decrease in interest expense was the result of lower borrowing levels during the first nine months of 2012 when compared to the first nine months of 2011 and a decrease in our effective interest rate. The first nine months of 2011 also included a $0.5 million write-off of debt issue costs related to the refinancing of our credit facility during that period. The increase in other income was the result of improved performance of the investments used to fund our deferred compensation liability.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first nine months of 2012, we recognized income tax expense from continuing operations of $15.7 million on income from continuing operations of $33.0 million. For the first nine months of 2011, we recognized income tax expense from continuing operations of $12.7 million on income from continuing operations of $26.4 million. Our effective tax rates for the first nine months of 2012 and 2011 were 47.6% and 48.2%, respectively. The effective tax rate for the 2012 period was higher than the statutory rate, inclusive of state income taxes, primarily due to the impact of foreign losses with no tax benefit, partially offset by the release of reserves for uncertain tax positions. The effective tax rate for the 2011 period was higher than the statutory rate, inclusive of state income taxes, primarily due to the impact of foreign losses with no tax benefits, partially offset by certain credits and deductions recorded based on updated information obtained during the third quarter.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96" w:lineRule="exact"/>
        <w:rPr>
          <w:sz w:val="20"/>
          <w:szCs w:val="20"/>
          <w:color w:val="auto"/>
        </w:rPr>
      </w:pPr>
    </w:p>
    <w:p>
      <w:pPr>
        <w:jc w:val="both"/>
        <w:ind w:right="80"/>
        <w:spacing w:after="0" w:line="294" w:lineRule="auto"/>
        <w:rPr>
          <w:sz w:val="20"/>
          <w:szCs w:val="20"/>
          <w:color w:val="auto"/>
        </w:rPr>
      </w:pPr>
      <w:r>
        <w:rPr>
          <w:rFonts w:ascii="Arial" w:cs="Arial" w:eastAsia="Arial" w:hAnsi="Arial"/>
          <w:sz w:val="16"/>
          <w:szCs w:val="16"/>
          <w:color w:val="auto"/>
        </w:rPr>
        <w:t>Net income from continuing operations was $17.3 million for the nine months ended September 30, 2012 compared to net income from continuing operations of $13.7 million for the same period last year. The increase in net income from continuing operations was primarily due to the increase in operating income and the decrease in other expense, net, due to the factors discussed above, partially offset by an increase in income tax expense. As a result of the increase in net income from continuing operations, diluted earnings per share from continuing operations for the first nine months of 2012 was $0.78 compared to diluted earnings per share from continuing operations of $0.64 for the first nine months of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from discontinued operations was $0.5 million in the first nine months of 2012, compared to net income from discontinued operations of $0.3 million in the first nine months of 2011. See Note 4 “Discontinued Operations” of this Quarterly Report on Form 10-Q for further information about our discontinued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Education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Health and Education Consulting segment revenues decreased $0.3 million, or 0.1%, to $294.9 million for the first nine months of 2012 from $295.2 million for the first nine months of 2011. Revenues from time-and-expense engagements, fixed-fee engagements, performance-based arrangements and software support and maintenance arrangements represented 25.1%, 50.4%, 19.1% and 5.4% of this segment’s revenues during the nine months ended September 30, 2012, respectively, compared to 20.3%, 49.9%, 25.8% and 4.0%, respectively, for the comparable period in 2011.</w:t>
      </w:r>
    </w:p>
    <w:p>
      <w:pPr>
        <w:spacing w:after="0" w:line="11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Of the overall $0.3 million decrease in revenues, $1.2 million was attributable to our full-time billable consultants, partially offset by an increase of $0.9 million related to our full-time equivalents. The overall decrease in revenues reflected a decrease in average billing rate and consultant utilization rate, partially offset by an increase in the number of full-time billable consultants. Performance-based revenues decreased $19.9 million to $56.3 million during the first nine months of 2012 from $76.2 million during the first nine months of 2011. Performance-based fee engagements may cause significant variations in quarterly revenues, operating results and average billing rates due to the timing of achieving the performance-based criteria.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Health and Education Consulting segment operating income decreased $2.1 million, or 2.2%, to $95.9 million in the nine months ended September 30, 2012 from $98.0 million in the nine months ended September 30, 2011. The Health and Education Consulting segment operating margin, defined as segment operating income expressed as a percentage of segment revenues, decreased to 32.5% for the first nine months of 2012 from 33.2% in the same period last year. The decrease in this segment’s operating margin was primarily attributable to an increase in salaries, bonus and related expenses for both our revenue-generating and support personnel and meetings expense, partially offset by decreases in contractor expense and technology expense.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Legal Consulting segment revenues increased $12.6 million, or 10.5%, to $133.4 million for the first nine months of 2012 from $120.8 million for the first nine months of 2011. Revenues from time-and-expense engagements, fixed-fee engagements, and support and maintenance arrangements represented 95.8%, 4.1% and 0.1% respectively, of this segment’s revenues during the nine months ended September 30, 2012. During the same period in 2011, revenues from time-and-expense engagements and fixed-fee engagements represented 93.4% and 6.6%, respectively, of this segment’s revenues.</w:t>
      </w:r>
    </w:p>
    <w:p>
      <w:pPr>
        <w:spacing w:after="0" w:line="11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Of the overall $12.6 million increase in revenues, $8.5 million was attributable to our full-time billable consultants and $4.1 million was attributable to our full-time equivalents. The increase in revenues reflected both an increase in demand for our advisory services as well as an increase in demand for our document review and electronic data discovery services. The increase in full-time billable consultant revenue reflected a higher average number of full-time billable consultants, higher consultant utilization and higher average billing rates. The increase in revenue attributable to our full-time equivalents was driven by an increase in the average number of full-time equivalents as well as an increase in average revenue per full-time equivalent.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Legal Consulting segment operating income increased by $1.5 million, or 4.6%, to $33.5 million in the nine months ended September 30, 2012 from</w:t>
      </w:r>
    </w:p>
    <w:p>
      <w:pPr>
        <w:spacing w:after="0" w:line="3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$32.0 million in the nine months ended September 30, 2011. Segment operating margin decreased to 25.1% for the first nine months of 2012 from 26.5% in the same period last year. The decrease in this segment’s operating margin was attributable to higher salaries, bonuses and related expenses for our revenue-generating professionals and support personnel, technology expense and rent expense as a percentage of segment revenues, partially offset by lower contractor expense.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Financial Consulting segment revenues decreased $10.4 million, or 38.2%, to $16.8 million for the first nine months of 2012 from $27.2 million for the first nine months of 2011. Revenues from time-and-expense engagements, fixed-fee engagements and performance-based arrangements represented 73.8%, 24.7%, and</w:t>
      </w:r>
    </w:p>
    <w:p>
      <w:pPr>
        <w:ind w:right="180"/>
        <w:spacing w:after="0" w:line="323" w:lineRule="auto"/>
        <w:rPr>
          <w:sz w:val="20"/>
          <w:szCs w:val="20"/>
          <w:color w:val="auto"/>
        </w:rPr>
      </w:pPr>
      <w:r>
        <w:rPr>
          <w:rFonts w:ascii="Arial" w:cs="Arial" w:eastAsia="Arial" w:hAnsi="Arial"/>
          <w:sz w:val="16"/>
          <w:szCs w:val="16"/>
          <w:color w:val="auto"/>
        </w:rPr>
        <w:t>1.5%, respectively, of this segment’s revenues during the first nine months of 2012. Revenues from time-and-expense engagements, fixed-fee engagements and performance-based arrangements represented 76.2%, 21.5% and 2.3%, respectively, for the comparable period in 2011.</w:t>
      </w:r>
    </w:p>
    <w:p>
      <w:pPr>
        <w:spacing w:after="0" w:line="9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Of the overall $10.4 million decrease in revenues, $10.1 million was attributable to a decrease in revenues from our full-time billable consultants and $0.3 million was related to our full-time equivalents. The overall decrease in revenues reflects a lower average number of full-time billable consultants, lower consultant utilization and lower average billing rates during the first nine months of 2012, due primarily to lower demand for the Financial Consulting segment’s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Financial Consulting segment operating income decreased by $6.9 million to $1.7 million in the nine months ended September 30, 2012 compared to $8.6 million in the nine months ended September 30, 2011. Segment operating margin decreased to 9.9% for the first nine months of 2012 from 31.4% in the same period last year. This segment’s operating margin decreased primarily due to increased salaries and related expenses for our revenue-generating professionals as a percentage of revenues.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Cash and cash equivalents decreased $1.9 million, from $5.1 million at December 31, 2011 to $3.2 million at September 30, 2012. Our primary sources of liquidity are cash flows from operations and debt capacity available under our credit facility.</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Cash flows provided by operating activities totaled $40.4 million for the nine months ended September 30, 2012 and $54.9 million for the same period last year. Our operating assets and liabilities consist primarily of receivables from billed and unbilled services, accounts payable and accrued expenses, and accrued payroll and related benefits. The volume of services rendered and the related billings and timing of collections on those billings, as well as payments of our accounts payable and salaries, bonuses and benefits to employees affect these account balances. The decrease in cash provided by operations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the first nine months of 2012 compared to the first nine months of 2011 was primarily attributable to higher direct costs and selling, general and administrative expenses and an increase in the amount paid for the annual performance bonuses during the first quarter of 2012, partially offset by higher income tax receivable collections during the period.</w:t>
      </w:r>
    </w:p>
    <w:p>
      <w:pPr>
        <w:spacing w:after="0" w:line="14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Cash used in investing activities was $68.7 million for the nine months ended September 30, 2012 and $34.5 million for the same period in the prior year. The use of cash in both periods included payments for businesses acquired in prior periods totaling $32.2 million and $23.9 million in the first nine months of 2012 and 2011, respectively. These payments for acquired businesses were primarily comprised of additional purchase consideration earned by the selling shareholders of businesses that we acquired based on the achievement of financial performance targets as specified in the related purchase agreements. During 2012, we also made payments of $21.6 million to the selling shareholders of newly acquired businesses. The use of cash in the first nine months of 2012 and 2011 also included purchases of property and equipment of $14.3 million and $10.5 million, respectively. We estimate that the cash utilized for capital expenditures in 2012 will be approximately $20 million, primarily for information technology related equipment and software and leasehold improvements. We also expect to continue to invest in capital expenditures related to our document review and processing business for information technology related equipment and software.</w:t>
      </w:r>
    </w:p>
    <w:p>
      <w:pPr>
        <w:spacing w:after="0" w:line="10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During 2011, the Company and certain of the Company’s subsidiaries as guarantors entered into an Amended and Restated Credit Agreement with various financial institutions, as amended by the first amendment to the credit agreement dated as of August 31, 2012 (collectively, the “2011 Credit Agreement”). The 2011 Credit Agreement replaced the previous Credit Agreement, dated as of June 7, 2006, and all subsequent amendments thereto, by and among the Company and the lenders therein.</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2011 Credit Agreement consists of a senior secured credit facility in an aggregate principal amount of $450.0 million comprised of a five-year revolving credit facility (“Revolver”) under which the Company may borrow from time to time up to $247.5 million and a $202.5 million five-year term loan facility (“Term Loan”) that was funded in a single advance on the closing date of the first amendment. The 2011 Credit Agreement provides for the option to increase the revolving credit facility in an aggregate amount of up to $50 million subject to certain requirements as defined in the 2011 Credit Agreement. The proceeds of the senior secured credit facility were used to refinance existing indebtedness and will continue to be used for working capital, capital expenditures, and other corporate purposes.</w:t>
      </w:r>
    </w:p>
    <w:p>
      <w:pPr>
        <w:spacing w:after="0" w:line="14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obligations under the 2011 Credit Agreement are secured pursuant to a Security Agreement with Bank of America as Administrative Agent. The Security Agreement grants Bank of America, N.A. for the ratable benefit of the lenders under the 2011 Credit Agreement, a first-priority lien, subject to permitted liens, on substantially all of the personal property assets of the Company and the subsidiary guarantors. The Revolver and Term Loan are also secured by a pledge of 100% of the voting stock or other equity interests in our domestic subsidiaries and 65% of the voting stock or other equity interests in our foreign subsidiaries.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Fees and interest on borrowings vary based on our total debt to earnings before interest, taxes, depreciation and amortization (“EBITDA”) ratio as set forth in the 2011 Credit Agreement. Interest is based on a spread over the London Interbank Offered Rate (“LIBOR”) or a spread over the base rate, as selected by the Company. The base rate is the greater of (a) the Federal Funds Rate plus 0.5%, (b) the Prime Rate and (c) except during a Eurodollar Unavailability Period, the Eurodollar Rate plus 1.0%.</w:t>
      </w:r>
    </w:p>
    <w:p>
      <w:pPr>
        <w:spacing w:after="0" w:line="14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Term Loan, as amended, is subject to scheduled quarterly amortization payments equal to 10.5% of the original principal balance in year one, 12.3% in year two, 13.0% in year three, 14.8% in year four, and 49.4% in year five, as set forth in the 2011 Credit Agreement. The maturity date for the Term Loan is August 31, 2017, at which time the outstanding principal balance and all accrued interest will be due and payable in full. All outstanding borrowings under the Revolver, as amended, will be due upon expiration of the 2011 Credit Agreement on August 31, 2017.</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2011 Credit Agreement, dividends are restricted to an amount up to $50 million plus 50% of cumulative consolidated net income from the closing date of the 2011 Credit Agreement plus 50% of the net cash proceeds from equity issuances. In addition, certain acquisitions and similar transactions need to be approved by the lenders.</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2011 Credit Agreement contains quarterly financial covenants that require us to maintain a minimum fixed charge coverage ratio of 2.25 to 1.00 and a maximum leverage ratio of 3.00 to 1.00 with step-downs in subsequent periods, as those ratios are defined therein, as well as a minimum net worth greater than $150 million. At September 30, 2012, we were in compliance with these financial covenants with a fixed charge coverage ratio of 3.36 to 1.00, a leverage ratio of 2.07 to 1.00, and net worth greater than $150 million. Furthermore, based upon projected operating results, management estimates that we will meet the financial debt covenants at future covenant measurement dates. At December 31, 2011, we were also in compliance with our financial debt covenants.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borrowing capacity under the 2011 Credit Agreement is reduced by any outstanding letters of credit and payments under the Term Loan. At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2012, outstanding letters of credit totaled $3.9 million and are primarily used as security deposits for our office facilities. As of September 30, 2012, the unused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borrowing capacity under the 2011 Credit Agreement was $218.6 million. Borrowings outstanding under this credit facility at September 30, 2012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$222.5 million. These borrowings carried a weighted average interest rate of 2.7%, including the effect of the interest rate swaps described in Note 9 “Derivative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Instrument and Hedging Activity.” During the first nine months of 2012, the average daily outstanding balance under our credit facility was $216.9 million. All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borrowings outstanding under the 2011 Credit Agreement are classified as long-term on our Consolidated Balance Sheets as the principal under the Revolver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not due until 2017 and we intend to fund scheduled quarterly payments under the Term Loan with availability under the Revolver. Borrowings outstanding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were $193.5 million and carried a weighted average interest rate of 3.3%.</w:t>
      </w:r>
    </w:p>
    <w:p>
      <w:pPr>
        <w:spacing w:after="0" w:line="16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See “Risk Factors” in our Annual Report on Form 10-K for the year ended December 31, 2011 for a discussion of certain risks and uncertainties related to the 2011 Credit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also have cash needs to service our credit facility and repay our term loan. We believe our internally generated liquidity, together with the borrowing capacity available under our revolving credit facility and access to external capital resources will be adequate to fund our long-term growth,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2011. There have been no significant changes in our contractual obligations since December 31, 2011 except as described below:</w:t>
      </w:r>
    </w:p>
    <w:p>
      <w:pPr>
        <w:spacing w:after="0" w:line="26" w:lineRule="exact"/>
        <w:rPr>
          <w:sz w:val="20"/>
          <w:szCs w:val="20"/>
          <w:color w:val="auto"/>
        </w:rPr>
      </w:pPr>
    </w:p>
    <w:p>
      <w:pPr>
        <w:ind w:left="900" w:right="40" w:hanging="325"/>
        <w:spacing w:after="0" w:line="298"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connection with certain past business acquisitions, we were required to pay additional purchase consideration to the sellers if specific performance targets were met over a number of years as specified in the related purchase agreements. During the first half of 2012, we paid additional purchase consideration of $32.2 million to selling shareholders of businesses that we acquired as financial performance targets were met in 2011. As of September 30, 2012, we have no further obligations under these arrangements.</w:t>
      </w:r>
    </w:p>
    <w:p>
      <w:pPr>
        <w:spacing w:after="0" w:line="31" w:lineRule="exact"/>
        <w:rPr>
          <w:rFonts w:ascii="Arial" w:cs="Arial" w:eastAsia="Arial" w:hAnsi="Arial"/>
          <w:sz w:val="16"/>
          <w:szCs w:val="16"/>
          <w:color w:val="auto"/>
        </w:rPr>
      </w:pPr>
    </w:p>
    <w:p>
      <w:pPr>
        <w:ind w:left="900" w:right="4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first nine months of 2012, our long-term borrowings increased from $193.5 million as of December 31, 2011 to $222.5 million as of September 30,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June 2011, the FASB issued ASU 2011-05, “Comprehensive Income (Topic 220): Presentation of Comprehensive Income,” which amends current comprehensive income guidance. This accounting update eliminates the option to present the components of other comprehensive income as part of the statement of shareholders’ equity. Instead, the Company must report comprehensive income in either a single continuous statement of comprehensive income which contains two sections, net income and other comprehensive income, or in two separate but consecutive statements. The Company adopted this pronouncement in the first quarter of 2012. However, ASU 2011-12, “Deferral of the Effective Date for Amendments to the Presentation of Reclassifications of Items Out of Accumulated Other Comprehensive Income in Accounting Standards Update No. 2011-05,” has deferred the specific requirement within ASU 2011-05 to present on the face of the financial statements items that are reclassified from accumulated other comprehensive income to net income separately with their respective components of net income and other comprehensive income. ASU 2011-12 would still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require companies to report reclassifications out of accumulated other comprehensive income consistent with the presentation requirements in effect before ASU 2011-05. The Company does not expect the guidance in ASU 2011-12 to impact its Consolidated Financial Statements, as it only requires a change in the format of presentation.</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exposure to changes in interest rates is limited to borrowings under our bank credit facility, which has variable interest rates tied to the LIBOR, Federal Funds Rate, Prime Rate, or Eurodollar Rate. At September 30, 2012, we had borrowings outstanding totaling $222.5 million that carried a weighted average interest rate of 2.7%. A hypothetical one percent change in this interest rate would have a $2.2 million effect on our pre-tax income.</w:t>
      </w:r>
    </w:p>
    <w:p>
      <w:pPr>
        <w:spacing w:after="0" w:line="10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On December 8, 2011, we entered into a forward amortizing interest rate swap agreement effective on February 29, 2012 and ending on April 14, 2016. We entered into this derivative instrument to continue hedging against the interest rate risks of our variable-rate borrowings described above.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13"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On May 30, 2012, we entered into an additional forward amortizing interest rate swap agreement effective on May 31, 2012 and ending on April 14, 2016. We entered into this derivative instrument to further hedge against the interest rate risks of our variable-rate borrowings described above.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Including the impact of the above swap agreements, the effective interest rate on $87.5 million of our debt was 2.9% as of September 30,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other interest rate swaps, caps or collars or other hedging instruments as of September 30, 2012.</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From time to time, we invest excess cash in marketable securities. These investments principally consist of overnight sweep accounts. Due to the short maturity of our investments, we have concluded that we do not have material market risk exposure.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September 30, 2012. Based on this evaluation, our Chief Executive Officer and Chief Financial Officer have concluded that, as of September 30, 2012,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Control over Financial Reporting</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that occurred during the three months ended September 30, 2012 that has materially affected, or is reasonably likely to materially affect,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1. 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 Tam Action</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On December 9, 2009, plaintiff, Associates Against Outlier Fraud, filed a first amended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complaint against Huron Consulting Group Inc., and others under the federal and New York state False Claims Act (“FCA”) in the United States District Court for the Southern District of New York. The federal and state FCA authorize private individuals (known 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“relators”) to sue on behalf of the government (known as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alleging that false or fraudulent claims were knowingly submitted to the government. Once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is filed, the government may elect to intervene in the action. If the government declines to intervene, the relator may proceed with the action. Under the federal and state FCA, the government may recover treble damages and civil penalties (civil penalties of up to $11,000 per violation under the federal FCA and $12,000 per violation under the state FCA). On January 6, 2010, the United States declined to intervene in the lawsuit. After the Court granted Huron’s motion to dismiss without prejudice, on September 29, 2010, relator filed a second amended complaint alleging that Huron and others caused St. Vincent Catholic Medical Center to receive more than $30 million in inflated outlier payments under the Medicare and Medicaid programs in violation of</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federal and state FCA and is also seeking to recover an unspecified amount of civil penalties. On June 18, 2012, Huron filed a Summary Judgment motion for dismissal of the action in its entirety which is currently pending. We have conducted preliminary settlement discussions with the relator, and as a result we recorded a charge of $1.2 million in the second quarter of 2012, in accordance with FASB ASC Topic 450, “Contingencies.” No trial date has been set. We believe that the claims are without merit and intend to vigorously defend ourselves in this matter.</w:t>
      </w:r>
    </w:p>
    <w:p>
      <w:pPr>
        <w:spacing w:after="0" w:line="115"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or threatened with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 our 2011 Annual Report on Form 10-K for a complete description of the material risks we face.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Our 2004 Omnibus Stock Plan permits the netting of common stock upon vesting of restricted stock awards to satisfy individual tax withholding requirements. During the quarter ended September 30, 2012, we re-acquired 1,526 shares of common stock with a weighted average fair market value of $31.65 as a result of such tax withholdings as presented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5"/>
              </w:rPr>
              <w:t>Weighted</w:t>
            </w:r>
          </w:p>
        </w:tc>
        <w:tc>
          <w:tcPr>
            <w:tcW w:w="820" w:type="dxa"/>
            <w:vAlign w:val="bottom"/>
          </w:tcPr>
          <w:p>
            <w:pPr>
              <w:spacing w:after="0"/>
              <w:rPr>
                <w:sz w:val="12"/>
                <w:szCs w:val="12"/>
                <w:color w:val="auto"/>
              </w:rPr>
            </w:pPr>
          </w:p>
        </w:tc>
        <w:tc>
          <w:tcPr>
            <w:tcW w:w="18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Shares Withheld to</w:t>
            </w:r>
          </w:p>
        </w:tc>
        <w:tc>
          <w:tcPr>
            <w:tcW w:w="7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Average Fair</w:t>
            </w:r>
          </w:p>
        </w:tc>
        <w:tc>
          <w:tcPr>
            <w:tcW w:w="820" w:type="dxa"/>
            <w:vAlign w:val="bottom"/>
          </w:tcPr>
          <w:p>
            <w:pPr>
              <w:spacing w:after="0"/>
              <w:rPr>
                <w:sz w:val="12"/>
                <w:szCs w:val="12"/>
                <w:color w:val="auto"/>
              </w:rPr>
            </w:pPr>
          </w:p>
        </w:tc>
        <w:tc>
          <w:tcPr>
            <w:tcW w:w="18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that May Yet Be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Satisfy Employee</w:t>
            </w:r>
          </w:p>
        </w:tc>
        <w:tc>
          <w:tcPr>
            <w:tcW w:w="78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Market Value</w:t>
            </w:r>
          </w:p>
        </w:tc>
        <w:tc>
          <w:tcPr>
            <w:tcW w:w="820" w:type="dxa"/>
            <w:vAlign w:val="bottom"/>
          </w:tcPr>
          <w:p>
            <w:pPr>
              <w:spacing w:after="0"/>
              <w:rPr>
                <w:sz w:val="12"/>
                <w:szCs w:val="12"/>
                <w:color w:val="auto"/>
              </w:rPr>
            </w:pPr>
          </w:p>
        </w:tc>
        <w:tc>
          <w:tcPr>
            <w:tcW w:w="18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85"/>
              </w:rPr>
              <w:t>as Part of Publicly</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3560" w:type="dxa"/>
            <w:vAlign w:val="bottom"/>
            <w:gridSpan w:val="2"/>
            <w:vMerge w:val="restart"/>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Tax Withholding</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88"/>
              </w:rPr>
              <w:t>Per Share</w:t>
            </w:r>
          </w:p>
        </w:tc>
        <w:tc>
          <w:tcPr>
            <w:tcW w:w="820" w:type="dxa"/>
            <w:vAlign w:val="bottom"/>
          </w:tcPr>
          <w:p>
            <w:pPr>
              <w:spacing w:after="0"/>
              <w:rPr>
                <w:sz w:val="12"/>
                <w:szCs w:val="12"/>
                <w:color w:val="auto"/>
              </w:rPr>
            </w:pPr>
          </w:p>
        </w:tc>
        <w:tc>
          <w:tcPr>
            <w:tcW w:w="18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the Plans or</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112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85"/>
              </w:rPr>
              <w:t>Requirements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
              <w:spacing w:after="0" w:line="148" w:lineRule="exact"/>
              <w:rPr>
                <w:sz w:val="20"/>
                <w:szCs w:val="20"/>
                <w:color w:val="auto"/>
              </w:rPr>
            </w:pPr>
            <w:r>
              <w:rPr>
                <w:rFonts w:ascii="Arial" w:cs="Arial" w:eastAsia="Arial" w:hAnsi="Arial"/>
                <w:sz w:val="14"/>
                <w:szCs w:val="14"/>
                <w:b w:val="1"/>
                <w:bCs w:val="1"/>
                <w:color w:val="auto"/>
                <w:w w:val="91"/>
              </w:rPr>
              <w:t>Withheld</w:t>
            </w:r>
          </w:p>
        </w:tc>
        <w:tc>
          <w:tcPr>
            <w:tcW w:w="820" w:type="dxa"/>
            <w:vAlign w:val="bottom"/>
          </w:tcPr>
          <w:p>
            <w:pPr>
              <w:spacing w:after="0"/>
              <w:rPr>
                <w:sz w:val="14"/>
                <w:szCs w:val="14"/>
                <w:color w:val="auto"/>
              </w:rPr>
            </w:pPr>
          </w:p>
        </w:tc>
        <w:tc>
          <w:tcPr>
            <w:tcW w:w="1880" w:type="dxa"/>
            <w:vAlign w:val="bottom"/>
            <w:gridSpan w:val="2"/>
          </w:tcPr>
          <w:p>
            <w:pPr>
              <w:jc w:val="center"/>
              <w:ind w:right="820"/>
              <w:spacing w:after="0" w:line="148" w:lineRule="exact"/>
              <w:rPr>
                <w:sz w:val="20"/>
                <w:szCs w:val="20"/>
                <w:color w:val="auto"/>
              </w:rPr>
            </w:pPr>
            <w:r>
              <w:rPr>
                <w:rFonts w:ascii="Arial" w:cs="Arial" w:eastAsia="Arial" w:hAnsi="Arial"/>
                <w:sz w:val="14"/>
                <w:szCs w:val="14"/>
                <w:b w:val="1"/>
                <w:bCs w:val="1"/>
                <w:color w:val="auto"/>
                <w:w w:val="88"/>
              </w:rPr>
              <w:t>or Programs</w:t>
            </w:r>
          </w:p>
        </w:tc>
        <w:tc>
          <w:tcPr>
            <w:tcW w:w="11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9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July 2012</w:t>
            </w:r>
          </w:p>
        </w:tc>
        <w:tc>
          <w:tcPr>
            <w:tcW w:w="1100" w:type="dxa"/>
            <w:vAlign w:val="bottom"/>
            <w:tcBorders>
              <w:top w:val="single" w:sz="8" w:color="auto"/>
            </w:tcBorders>
            <w:shd w:val="clear" w:color="auto" w:fill="CCEEFF"/>
          </w:tcPr>
          <w:p>
            <w:pPr>
              <w:jc w:val="center"/>
              <w:ind w:left="623"/>
              <w:spacing w:after="0" w:line="203" w:lineRule="exact"/>
              <w:rPr>
                <w:sz w:val="20"/>
                <w:szCs w:val="20"/>
                <w:color w:val="auto"/>
              </w:rPr>
            </w:pPr>
            <w:r>
              <w:rPr>
                <w:rFonts w:ascii="Arial" w:cs="Arial" w:eastAsia="Arial" w:hAnsi="Arial"/>
                <w:sz w:val="18"/>
                <w:szCs w:val="18"/>
                <w:color w:val="auto"/>
                <w:w w:val="88"/>
              </w:rPr>
              <w:t>1,526</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31.65</w:t>
            </w:r>
          </w:p>
        </w:tc>
        <w:tc>
          <w:tcPr>
            <w:tcW w:w="8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8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40"/>
              <w:spacing w:after="0" w:line="203" w:lineRule="exact"/>
              <w:rPr>
                <w:sz w:val="20"/>
                <w:szCs w:val="20"/>
                <w:color w:val="auto"/>
              </w:rPr>
            </w:pPr>
            <w:r>
              <w:rPr>
                <w:rFonts w:ascii="Arial" w:cs="Arial" w:eastAsia="Arial" w:hAnsi="Arial"/>
                <w:sz w:val="18"/>
                <w:szCs w:val="18"/>
                <w:color w:val="auto"/>
                <w:w w:val="93"/>
              </w:rPr>
              <w:t>N/A</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August 2012</w:t>
            </w:r>
          </w:p>
        </w:tc>
        <w:tc>
          <w:tcPr>
            <w:tcW w:w="1120" w:type="dxa"/>
            <w:vAlign w:val="bottom"/>
            <w:gridSpan w:val="2"/>
          </w:tcPr>
          <w:p>
            <w:pPr>
              <w:jc w:val="center"/>
              <w:ind w:left="663"/>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880" w:type="dxa"/>
            <w:vAlign w:val="bottom"/>
            <w:gridSpan w:val="2"/>
          </w:tcPr>
          <w:p>
            <w:pPr>
              <w:jc w:val="right"/>
              <w:ind w:right="82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2012</w:t>
            </w:r>
          </w:p>
        </w:tc>
        <w:tc>
          <w:tcPr>
            <w:tcW w:w="1100" w:type="dxa"/>
            <w:vAlign w:val="bottom"/>
            <w:shd w:val="clear" w:color="auto" w:fill="CCEEFF"/>
          </w:tcPr>
          <w:p>
            <w:pPr>
              <w:jc w:val="center"/>
              <w:ind w:left="683"/>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420" w:type="dxa"/>
            <w:vAlign w:val="bottom"/>
            <w:gridSpan w:val="4"/>
            <w:vMerge w:val="restart"/>
          </w:tcPr>
          <w:p>
            <w:pPr>
              <w:ind w:left="46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gridSpan w:val="4"/>
            <w:vMerge w:val="continue"/>
          </w:tcPr>
          <w:p>
            <w:pPr>
              <w:spacing w:after="0"/>
              <w:rPr>
                <w:sz w:val="19"/>
                <w:szCs w:val="19"/>
                <w:color w:val="auto"/>
              </w:rPr>
            </w:pPr>
          </w:p>
        </w:tc>
        <w:tc>
          <w:tcPr>
            <w:tcW w:w="1100" w:type="dxa"/>
            <w:vAlign w:val="bottom"/>
          </w:tcPr>
          <w:p>
            <w:pPr>
              <w:jc w:val="center"/>
              <w:ind w:left="623"/>
              <w:spacing w:after="0"/>
              <w:rPr>
                <w:sz w:val="20"/>
                <w:szCs w:val="20"/>
                <w:color w:val="auto"/>
              </w:rPr>
            </w:pPr>
            <w:r>
              <w:rPr>
                <w:rFonts w:ascii="Arial" w:cs="Arial" w:eastAsia="Arial" w:hAnsi="Arial"/>
                <w:sz w:val="18"/>
                <w:szCs w:val="18"/>
                <w:color w:val="auto"/>
                <w:w w:val="88"/>
              </w:rPr>
              <w:t>1,526</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31.65</w:t>
            </w:r>
          </w:p>
        </w:tc>
        <w:tc>
          <w:tcPr>
            <w:tcW w:w="820" w:type="dxa"/>
            <w:vAlign w:val="bottom"/>
          </w:tcPr>
          <w:p>
            <w:pPr>
              <w:spacing w:after="0"/>
              <w:rPr>
                <w:sz w:val="19"/>
                <w:szCs w:val="19"/>
                <w:color w:val="auto"/>
              </w:rPr>
            </w:pPr>
          </w:p>
        </w:tc>
        <w:tc>
          <w:tcPr>
            <w:tcW w:w="1880" w:type="dxa"/>
            <w:vAlign w:val="bottom"/>
            <w:gridSpan w:val="2"/>
          </w:tcPr>
          <w:p>
            <w:pPr>
              <w:jc w:val="right"/>
              <w:ind w:right="820"/>
              <w:spacing w:after="0"/>
              <w:rPr>
                <w:sz w:val="20"/>
                <w:szCs w:val="20"/>
                <w:color w:val="auto"/>
              </w:rPr>
            </w:pPr>
            <w:r>
              <w:rPr>
                <w:rFonts w:ascii="Arial" w:cs="Arial" w:eastAsia="Arial" w:hAnsi="Arial"/>
                <w:sz w:val="18"/>
                <w:szCs w:val="18"/>
                <w:color w:val="auto"/>
              </w:rPr>
              <w:t>N/A</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exhibits are filed as part of this Quarterly Report on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Filed</w:t>
            </w:r>
          </w:p>
        </w:tc>
        <w:tc>
          <w:tcPr>
            <w:tcW w:w="6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3"/>
              </w:rPr>
              <w:t>Incorporated by Reference</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52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rPr>
              <w:t>here-</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rPr>
              <w:t>Period</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jc w:val="center"/>
              <w:spacing w:after="0" w:line="116" w:lineRule="exact"/>
              <w:rPr>
                <w:sz w:val="20"/>
                <w:szCs w:val="20"/>
                <w:color w:val="auto"/>
              </w:rPr>
            </w:pPr>
            <w:r>
              <w:rPr>
                <w:rFonts w:ascii="Arial" w:cs="Arial" w:eastAsia="Arial" w:hAnsi="Arial"/>
                <w:sz w:val="12"/>
                <w:szCs w:val="12"/>
                <w:b w:val="1"/>
                <w:bCs w:val="1"/>
                <w:color w:val="auto"/>
              </w:rPr>
              <w:t>Filing</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4"/>
                <w:szCs w:val="14"/>
                <w:color w:val="auto"/>
              </w:rPr>
            </w:pPr>
          </w:p>
        </w:tc>
        <w:tc>
          <w:tcPr>
            <w:tcW w:w="6940" w:type="dxa"/>
            <w:vAlign w:val="bottom"/>
            <w:gridSpan w:val="3"/>
          </w:tcPr>
          <w:p>
            <w:pPr>
              <w:ind w:left="120"/>
              <w:spacing w:after="0"/>
              <w:rPr>
                <w:sz w:val="20"/>
                <w:szCs w:val="20"/>
                <w:color w:val="auto"/>
              </w:rPr>
            </w:pPr>
            <w:r>
              <w:rPr>
                <w:rFonts w:ascii="Arial" w:cs="Arial" w:eastAsia="Arial" w:hAnsi="Arial"/>
                <w:sz w:val="14"/>
                <w:szCs w:val="14"/>
                <w:b w:val="1"/>
                <w:bCs w:val="1"/>
                <w:color w:val="auto"/>
              </w:rPr>
              <w:t>Exhibit Description</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with</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Form</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Ending</w:t>
            </w:r>
          </w:p>
        </w:tc>
        <w:tc>
          <w:tcPr>
            <w:tcW w:w="22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Exhibit</w:t>
            </w:r>
          </w:p>
        </w:tc>
        <w:tc>
          <w:tcPr>
            <w:tcW w:w="3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09"/>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w w:val="96"/>
              </w:rPr>
              <w:t>Third Amended and Restated Certificate of Incorporation of Huron Consulting Group Inc.</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840" w:type="dxa"/>
            <w:vAlign w:val="bottom"/>
            <w:gridSpan w:val="2"/>
          </w:tcPr>
          <w:p>
            <w:pPr>
              <w:jc w:val="center"/>
              <w:ind w:left="142"/>
              <w:spacing w:after="0"/>
              <w:rPr>
                <w:sz w:val="20"/>
                <w:szCs w:val="20"/>
                <w:color w:val="auto"/>
              </w:rPr>
            </w:pPr>
            <w:r>
              <w:rPr>
                <w:rFonts w:ascii="Arial" w:cs="Arial" w:eastAsia="Arial" w:hAnsi="Arial"/>
                <w:sz w:val="18"/>
                <w:szCs w:val="18"/>
                <w:color w:val="auto"/>
                <w:w w:val="88"/>
              </w:rPr>
              <w:t>12/31/04</w:t>
            </w:r>
          </w:p>
        </w:tc>
        <w:tc>
          <w:tcPr>
            <w:tcW w:w="220" w:type="dxa"/>
            <w:vAlign w:val="bottom"/>
          </w:tcPr>
          <w:p>
            <w:pPr>
              <w:spacing w:after="0"/>
              <w:rPr>
                <w:sz w:val="24"/>
                <w:szCs w:val="2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02/16/05</w:t>
            </w:r>
          </w:p>
        </w:tc>
        <w:tc>
          <w:tcPr>
            <w:tcW w:w="0" w:type="dxa"/>
            <w:vAlign w:val="bottom"/>
          </w:tcPr>
          <w:p>
            <w:pPr>
              <w:spacing w:after="0"/>
              <w:rPr>
                <w:sz w:val="1"/>
                <w:szCs w:val="1"/>
                <w:color w:val="auto"/>
              </w:rPr>
            </w:pPr>
          </w:p>
        </w:tc>
      </w:tr>
      <w:tr>
        <w:trPr>
          <w:trHeight w:val="324"/>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Amended and Restated Bylaws of Huron Consulting Group Inc.</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04/14/11</w:t>
            </w:r>
          </w:p>
        </w:tc>
        <w:tc>
          <w:tcPr>
            <w:tcW w:w="0" w:type="dxa"/>
            <w:vAlign w:val="bottom"/>
          </w:tcPr>
          <w:p>
            <w:pPr>
              <w:spacing w:after="0"/>
              <w:rPr>
                <w:sz w:val="1"/>
                <w:szCs w:val="1"/>
                <w:color w:val="auto"/>
              </w:rPr>
            </w:pP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Specimen Stock Certificate.</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10/5/04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4"/>
              </w:rPr>
              <w:t>(File No.</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7"/>
              </w:rPr>
              <w:t>115434)</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w w:val="97"/>
              </w:rPr>
              <w:t>Amendment No. 1 to the Credit Agreement, dated as of August 31, 2012, by and among</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09/4/12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w w:val="99"/>
              </w:rPr>
              <w:t>Huron Consulting Group Inc., as the Borrower, certain subsidiaries as Guarantors, the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Lenders identified on the signature pages thereto, and Bank of America, N.A., as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Administrative Agent for and on behalf of the Lenders.</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4"/>
                <w:szCs w:val="24"/>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w w:val="96"/>
              </w:rPr>
              <w:t>Joinder Agreement, dated as of August 20, 2012, by and between LegalSource LLC and</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10.2</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09/4/12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w w:val="96"/>
              </w:rPr>
              <w:t>Bank of America, N.A., as Administrative Agent and Collateral Agent under the Amended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w w:val="94"/>
              </w:rPr>
              <w:t>and Restated Credit Agreement dated as of April 14, 2011 among Huron Consulting Group</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w w:val="93"/>
              </w:rPr>
              <w:t>Inc., as Borrower, the Guarantors identified therein, the Lenders identified therein and Bank</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of America, N.A. as Administrative Agent and Collateral Agent.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4"/>
                <w:szCs w:val="24"/>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Certification of the Chief Executive Officer, pursuant to Rule 13a-14(a)/15d-14(a), as</w:t>
            </w:r>
          </w:p>
        </w:tc>
        <w:tc>
          <w:tcPr>
            <w:tcW w:w="5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adopted pursuant to Section 302 of the Sarbanes-Oxley Act of 2002.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4"/>
                <w:szCs w:val="24"/>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w w:val="92"/>
              </w:rPr>
              <w:t>Certification of the Chief Financial Officer, pursuant to Rule 13a-14(a)/15d-14(a), as adopted</w:t>
            </w:r>
          </w:p>
        </w:tc>
        <w:tc>
          <w:tcPr>
            <w:tcW w:w="5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pursuant to Section 302 of the Sarbanes-Oxley Act of 2002.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24"/>
                <w:szCs w:val="24"/>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w w:val="93"/>
              </w:rPr>
              <w:t>Certification of the Chief Executive Officer, pursuant to 18 U.S.C. Section 1350, as adopted</w:t>
            </w:r>
          </w:p>
        </w:tc>
        <w:tc>
          <w:tcPr>
            <w:tcW w:w="5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pursuant to Section 906 of the Sarbanes-Oxley Act of 2002.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500" w:type="dxa"/>
            <w:vAlign w:val="bottom"/>
          </w:tcPr>
          <w:p>
            <w:pPr>
              <w:jc w:val="right"/>
              <w:ind w:right="15"/>
              <w:spacing w:after="0"/>
              <w:rPr>
                <w:sz w:val="20"/>
                <w:szCs w:val="20"/>
                <w:color w:val="auto"/>
              </w:rPr>
            </w:pPr>
            <w:r>
              <w:rPr>
                <w:rFonts w:ascii="Arial" w:cs="Arial" w:eastAsia="Arial" w:hAnsi="Arial"/>
                <w:sz w:val="18"/>
                <w:szCs w:val="18"/>
                <w:color w:val="auto"/>
              </w:rPr>
              <w:t>32.2</w:t>
            </w:r>
          </w:p>
        </w:tc>
        <w:tc>
          <w:tcPr>
            <w:tcW w:w="380" w:type="dxa"/>
            <w:vAlign w:val="bottom"/>
          </w:tcPr>
          <w:p>
            <w:pPr>
              <w:spacing w:after="0"/>
              <w:rPr>
                <w:sz w:val="24"/>
                <w:szCs w:val="24"/>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w w:val="94"/>
              </w:rPr>
              <w:t>Certification of the Chief Financial Officer, pursuant to 18 U.S.C. Section 1350, as adopted</w:t>
            </w:r>
          </w:p>
        </w:tc>
        <w:tc>
          <w:tcPr>
            <w:tcW w:w="5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pursuant to Section 906 of the Sarbanes-Oxley Act of 2002.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XBRL Instance Document</w:t>
            </w:r>
          </w:p>
        </w:tc>
        <w:tc>
          <w:tcPr>
            <w:tcW w:w="5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5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5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5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5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940" w:type="dxa"/>
            <w:vAlign w:val="bottom"/>
            <w:gridSpan w:val="3"/>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520" w:type="dxa"/>
            <w:vAlign w:val="bottom"/>
            <w:gridSpan w:val="2"/>
          </w:tcPr>
          <w:p>
            <w:pPr>
              <w:jc w:val="center"/>
              <w:ind w:right="220"/>
              <w:spacing w:after="0"/>
              <w:rPr>
                <w:sz w:val="20"/>
                <w:szCs w:val="20"/>
                <w:color w:val="auto"/>
              </w:rPr>
            </w:pPr>
            <w:r>
              <w:rPr>
                <w:rFonts w:ascii="Arial" w:cs="Arial" w:eastAsia="Arial" w:hAnsi="Arial"/>
                <w:sz w:val="18"/>
                <w:szCs w:val="18"/>
                <w:color w:val="auto"/>
              </w:rPr>
              <w:t>X</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right="340" w:hanging="212"/>
        <w:spacing w:after="0" w:line="259" w:lineRule="auto"/>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8220" w:val="left"/>
        </w:tabs>
        <w:rPr>
          <w:sz w:val="20"/>
          <w:szCs w:val="20"/>
          <w:color w:val="auto"/>
        </w:rPr>
      </w:pPr>
      <w:r>
        <w:rPr>
          <w:rFonts w:ascii="Arial" w:cs="Arial" w:eastAsia="Arial" w:hAnsi="Arial"/>
          <w:sz w:val="18"/>
          <w:szCs w:val="18"/>
          <w:color w:val="auto"/>
        </w:rPr>
        <w:t>Date: October 31, 2012</w:t>
      </w:r>
      <w:r>
        <w:rPr>
          <w:sz w:val="20"/>
          <w:szCs w:val="20"/>
          <w:color w:val="auto"/>
        </w:rPr>
        <w:tab/>
      </w:r>
      <w:r>
        <w:rPr>
          <w:rFonts w:ascii="Arial" w:cs="Arial" w:eastAsia="Arial" w:hAnsi="Arial"/>
          <w:sz w:val="16"/>
          <w:szCs w:val="16"/>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C. Mark Hussey</w:t>
      </w:r>
    </w:p>
    <w:p>
      <w:pPr>
        <w:spacing w:after="0" w:line="15" w:lineRule="exact"/>
        <w:rPr>
          <w:sz w:val="20"/>
          <w:szCs w:val="20"/>
          <w:color w:val="auto"/>
        </w:rPr>
      </w:pPr>
    </w:p>
    <w:p>
      <w:pPr>
        <w:jc w:val="center"/>
        <w:ind w:left="6400"/>
        <w:spacing w:after="0"/>
        <w:rPr>
          <w:sz w:val="20"/>
          <w:szCs w:val="20"/>
          <w:color w:val="auto"/>
        </w:rPr>
      </w:pPr>
      <w:r>
        <w:rPr>
          <w:rFonts w:ascii="Arial" w:cs="Arial" w:eastAsia="Arial" w:hAnsi="Arial"/>
          <w:sz w:val="16"/>
          <w:szCs w:val="16"/>
          <w:color w:val="auto"/>
        </w:rPr>
        <w:t>Executive Vice President, Chief Financial Officer and Treasurer</w:t>
      </w:r>
    </w:p>
    <w:p>
      <w:pPr>
        <w:spacing w:after="0" w:line="17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60"/>
          </w:cols>
          <w:pgMar w:left="240" w:top="459" w:right="4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260" w:right="2800"/>
        <w:spacing w:after="0" w:line="262"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9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800" w:val="left"/>
          <w:tab w:leader="none" w:pos="8160" w:val="left"/>
        </w:tabs>
        <w:rPr>
          <w:sz w:val="20"/>
          <w:szCs w:val="20"/>
          <w:color w:val="auto"/>
        </w:rPr>
      </w:pPr>
      <w:r>
        <w:rPr>
          <w:rFonts w:ascii="Arial" w:cs="Arial" w:eastAsia="Arial" w:hAnsi="Arial"/>
          <w:sz w:val="18"/>
          <w:szCs w:val="18"/>
          <w:color w:val="auto"/>
        </w:rPr>
        <w:t>Date: October 31,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2"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James H. Roth</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260" w:right="2800"/>
        <w:spacing w:after="0" w:line="262"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9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900" w:val="left"/>
          <w:tab w:leader="none" w:pos="8160" w:val="left"/>
        </w:tabs>
        <w:rPr>
          <w:sz w:val="20"/>
          <w:szCs w:val="20"/>
          <w:color w:val="auto"/>
        </w:rPr>
      </w:pPr>
      <w:r>
        <w:rPr>
          <w:rFonts w:ascii="Arial" w:cs="Arial" w:eastAsia="Arial" w:hAnsi="Arial"/>
          <w:sz w:val="18"/>
          <w:szCs w:val="18"/>
          <w:color w:val="auto"/>
        </w:rPr>
        <w:t>Date: October 31,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 Mark Hussey</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Chief Financial Officer and Treasurer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3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connection with the Quarterly Report of Huron Consulting Group Inc. (the “Company”) on Form 10-Q for the quarter ended September 30, 2012 as filed with the Securities and Exchange Commission on the date hereof (the “Report”), I, James H. Roth, President and Chief Executive Officer of the Company, hereby certify, pursuant to 18 U.S.C. Section 1350, as adopted pursuant to Section 906 of the Sarbanes-Oxley Act of 2002, that to the best of my knowledge:</w:t>
      </w:r>
    </w:p>
    <w:p>
      <w:pPr>
        <w:spacing w:after="0" w:line="2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p>
      <w:pPr>
        <w:spacing w:after="0"/>
        <w:tabs>
          <w:tab w:leader="none" w:pos="5900" w:val="left"/>
          <w:tab w:leader="none" w:pos="8220" w:val="left"/>
        </w:tabs>
        <w:rPr>
          <w:sz w:val="20"/>
          <w:szCs w:val="20"/>
          <w:color w:val="auto"/>
        </w:rPr>
      </w:pPr>
      <w:r>
        <w:rPr>
          <w:rFonts w:ascii="Arial" w:cs="Arial" w:eastAsia="Arial" w:hAnsi="Arial"/>
          <w:sz w:val="18"/>
          <w:szCs w:val="18"/>
          <w:color w:val="auto"/>
        </w:rPr>
        <w:t>Date: October 31,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James H. Roth</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3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September 30, 2012 as filed with the Securities and Exchange Commission on the date hereof (the “Report”), I, C. Mark Hussey, Executive Vice President, Chief Financial Officer and Treasurer of the Company,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2" w:lineRule="exact"/>
        <w:rPr>
          <w:sz w:val="20"/>
          <w:szCs w:val="20"/>
          <w:color w:val="auto"/>
        </w:rPr>
      </w:pPr>
    </w:p>
    <w:p>
      <w:pPr>
        <w:spacing w:after="0"/>
        <w:tabs>
          <w:tab w:leader="none" w:pos="5900" w:val="left"/>
          <w:tab w:leader="none" w:pos="8160" w:val="left"/>
        </w:tabs>
        <w:rPr>
          <w:sz w:val="20"/>
          <w:szCs w:val="20"/>
          <w:color w:val="auto"/>
        </w:rPr>
      </w:pPr>
      <w:r>
        <w:rPr>
          <w:rFonts w:ascii="Arial" w:cs="Arial" w:eastAsia="Arial" w:hAnsi="Arial"/>
          <w:sz w:val="18"/>
          <w:szCs w:val="18"/>
          <w:color w:val="auto"/>
        </w:rPr>
        <w:t>Date: October 31,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 Mark Hussey</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Chief Financial Officer and Treasurer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decimal"/>
      <w:start w:val="3"/>
    </w:lvl>
  </w:abstractNum>
  <w:abstractNum w:abstractNumId="6">
    <w:nsid w:val="7C83E458"/>
    <w:multiLevelType w:val="hybridMultilevel"/>
    <w:lvl w:ilvl="0">
      <w:lvlJc w:val="left"/>
      <w:lvlText w:val="%1."/>
      <w:numFmt w:val="decimal"/>
      <w:start w:val="4"/>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5"/>
    </w:lvl>
  </w:abstractNum>
  <w:abstractNum w:abstractNumId="9">
    <w:nsid w:val="436C6125"/>
    <w:multiLevelType w:val="hybridMultilevel"/>
    <w:lvl w:ilvl="0">
      <w:lvlJc w:val="left"/>
      <w:lvlText w:val="%1."/>
      <w:numFmt w:val="decimal"/>
      <w:start w:val="6"/>
    </w:lvl>
  </w:abstractNum>
  <w:abstractNum w:abstractNumId="10">
    <w:nsid w:val="628C895D"/>
    <w:multiLevelType w:val="hybridMultilevel"/>
    <w:lvl w:ilvl="0">
      <w:lvlJc w:val="left"/>
      <w:lvlText w:val="%1."/>
      <w:numFmt w:val="decimal"/>
      <w:start w:val="7"/>
    </w:lvl>
  </w:abstractNum>
  <w:abstractNum w:abstractNumId="11">
    <w:nsid w:val="333AB105"/>
    <w:multiLevelType w:val="hybridMultilevel"/>
    <w:lvl w:ilvl="0">
      <w:lvlJc w:val="left"/>
      <w:lvlText w:val="%1."/>
      <w:numFmt w:val="decimal"/>
      <w:start w:val="8"/>
    </w:lvl>
  </w:abstractNum>
  <w:abstractNum w:abstractNumId="12">
    <w:nsid w:val="721DA317"/>
    <w:multiLevelType w:val="hybridMultilevel"/>
    <w:lvl w:ilvl="0">
      <w:lvlJc w:val="left"/>
      <w:lvlText w:val="%1."/>
      <w:numFmt w:val="decimal"/>
      <w:start w:val="9"/>
    </w:lvl>
  </w:abstractNum>
  <w:abstractNum w:abstractNumId="13">
    <w:nsid w:val="2443A858"/>
    <w:multiLevelType w:val="hybridMultilevel"/>
    <w:lvl w:ilvl="0">
      <w:lvlJc w:val="left"/>
      <w:lvlText w:val="%1."/>
      <w:numFmt w:val="decimal"/>
      <w:start w:val="10"/>
    </w:lvl>
  </w:abstractNum>
  <w:abstractNum w:abstractNumId="14">
    <w:nsid w:val="2D1D5AE9"/>
    <w:multiLevelType w:val="hybridMultilevel"/>
    <w:lvl w:ilvl="0">
      <w:lvlJc w:val="left"/>
      <w:lvlText w:val="%1."/>
      <w:numFmt w:val="decimal"/>
      <w:start w:val="11"/>
    </w:lvl>
  </w:abstractNum>
  <w:abstractNum w:abstractNumId="15">
    <w:nsid w:val="6763845E"/>
    <w:multiLevelType w:val="hybridMultilevel"/>
    <w:lvl w:ilvl="0">
      <w:lvlJc w:val="left"/>
      <w:lvlText w:val="%1."/>
      <w:numFmt w:val="decimal"/>
      <w:start w:val="12"/>
    </w:lvl>
  </w:abstractNum>
  <w:abstractNum w:abstractNumId="16">
    <w:nsid w:val="75A2A8D4"/>
    <w:multiLevelType w:val="hybridMultilevel"/>
    <w:lvl w:ilvl="0">
      <w:lvlJc w:val="left"/>
      <w:lvlText w:val="%1."/>
      <w:numFmt w:val="decimal"/>
      <w:start w:val="13"/>
    </w:lvl>
  </w:abstractNum>
  <w:abstractNum w:abstractNumId="17">
    <w:nsid w:val="8EDBDAB"/>
    <w:multiLevelType w:val="hybridMultilevel"/>
    <w:lvl w:ilvl="0">
      <w:lvlJc w:val="left"/>
      <w:lvlText w:val="%1."/>
      <w:numFmt w:val="decimal"/>
      <w:start w:val="14"/>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2019-12-09T16:19:36Z</dcterms:created>
  <dcterms:modified xsi:type="dcterms:W3CDTF">2019-12-09T16:19:36Z</dcterms:modified>
</cp:coreProperties>
</file>