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5400" w:type="dxa"/>
            <w:vAlign w:val="bottom"/>
          </w:tcPr>
          <w:p>
            <w:pPr>
              <w:jc w:val="center"/>
              <w:ind w:left="3899"/>
              <w:spacing w:after="0"/>
              <w:rPr>
                <w:sz w:val="20"/>
                <w:szCs w:val="20"/>
                <w:color w:val="auto"/>
              </w:rPr>
            </w:pPr>
            <w:r>
              <w:rPr>
                <w:rFonts w:ascii="Arial" w:cs="Arial" w:eastAsia="Arial" w:hAnsi="Arial"/>
                <w:sz w:val="18"/>
                <w:szCs w:val="18"/>
                <w:b w:val="1"/>
                <w:bCs w:val="1"/>
                <w:color w:val="auto"/>
                <w:w w:val="89"/>
              </w:rPr>
              <w:t>01-0666114</w:t>
            </w:r>
          </w:p>
        </w:tc>
      </w:tr>
      <w:tr>
        <w:trPr>
          <w:trHeight w:val="149"/>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400" w:type="dxa"/>
            <w:vAlign w:val="bottom"/>
          </w:tcPr>
          <w:p>
            <w:pPr>
              <w:jc w:val="center"/>
              <w:ind w:left="389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5400" w:type="dxa"/>
            <w:vAlign w:val="bottom"/>
          </w:tcPr>
          <w:p>
            <w:pPr>
              <w:jc w:val="center"/>
              <w:ind w:left="3899"/>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000" w:type="dxa"/>
            <w:vAlign w:val="bottom"/>
          </w:tcPr>
          <w:p>
            <w:pPr>
              <w:spacing w:after="0"/>
              <w:rPr>
                <w:sz w:val="24"/>
                <w:szCs w:val="24"/>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000" w:type="dxa"/>
            <w:vAlign w:val="bottom"/>
          </w:tcPr>
          <w:p>
            <w:pPr>
              <w:spacing w:after="0"/>
              <w:rPr>
                <w:sz w:val="18"/>
                <w:szCs w:val="18"/>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000" w:type="dxa"/>
            <w:vAlign w:val="bottom"/>
          </w:tcPr>
          <w:p>
            <w:pPr>
              <w:spacing w:after="0"/>
              <w:rPr>
                <w:sz w:val="18"/>
                <w:szCs w:val="18"/>
                <w:color w:val="auto"/>
              </w:rPr>
            </w:pPr>
          </w:p>
        </w:tc>
        <w:tc>
          <w:tcPr>
            <w:tcW w:w="5400" w:type="dxa"/>
            <w:vAlign w:val="bottom"/>
          </w:tcPr>
          <w:p>
            <w:pPr>
              <w:jc w:val="right"/>
              <w:ind w:right="3339"/>
              <w:spacing w:after="0"/>
              <w:rPr>
                <w:sz w:val="20"/>
                <w:szCs w:val="20"/>
                <w:color w:val="auto"/>
              </w:rPr>
            </w:pPr>
            <w:r>
              <w:rPr>
                <w:rFonts w:ascii="Arial" w:cs="Arial" w:eastAsia="Arial" w:hAnsi="Arial"/>
                <w:sz w:val="18"/>
                <w:szCs w:val="18"/>
                <w:b w:val="1"/>
                <w:bCs w:val="1"/>
                <w:color w:val="auto"/>
              </w:rPr>
              <w:t>60607</w:t>
            </w:r>
          </w:p>
        </w:tc>
      </w:tr>
      <w:tr>
        <w:trPr>
          <w:trHeight w:val="149"/>
        </w:trPr>
        <w:tc>
          <w:tcPr>
            <w:tcW w:w="2000" w:type="dxa"/>
            <w:vAlign w:val="bottom"/>
          </w:tcPr>
          <w:p>
            <w:pPr>
              <w:spacing w:after="0"/>
              <w:rPr>
                <w:sz w:val="12"/>
                <w:szCs w:val="12"/>
                <w:color w:val="auto"/>
              </w:rPr>
            </w:pPr>
          </w:p>
        </w:tc>
        <w:tc>
          <w:tcPr>
            <w:tcW w:w="54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000" w:type="dxa"/>
            <w:vAlign w:val="bottom"/>
          </w:tcPr>
          <w:p>
            <w:pPr>
              <w:spacing w:after="0"/>
              <w:rPr>
                <w:sz w:val="24"/>
                <w:szCs w:val="24"/>
                <w:color w:val="auto"/>
              </w:rPr>
            </w:pPr>
          </w:p>
        </w:tc>
        <w:tc>
          <w:tcPr>
            <w:tcW w:w="5400" w:type="dxa"/>
            <w:vAlign w:val="bottom"/>
          </w:tcPr>
          <w:p>
            <w:pPr>
              <w:jc w:val="right"/>
              <w:ind w:right="299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886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  Yes </w:t>
            </w:r>
            <w:r>
              <w:rPr>
                <w:rFonts w:ascii="MS PGothic" w:cs="MS PGothic" w:eastAsia="MS PGothic" w:hAnsi="MS PGothic"/>
                <w:sz w:val="18"/>
                <w:szCs w:val="18"/>
                <w:color w:val="auto"/>
                <w:w w:val="91"/>
              </w:rPr>
              <w:t>☐</w:t>
            </w:r>
          </w:p>
        </w:tc>
        <w:tc>
          <w:tcPr>
            <w:tcW w:w="21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304"/>
        </w:trPr>
        <w:tc>
          <w:tcPr>
            <w:tcW w:w="8860" w:type="dxa"/>
            <w:vAlign w:val="bottom"/>
            <w:gridSpan w:val="2"/>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w w:val="90"/>
              </w:rPr>
              <w:t>As of October 22, 2014, 22,868,714 shares of the registrant’s common stock, par value $0.01 per share, were outstanding.</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940" w:type="dxa"/>
            <w:vAlign w:val="bottom"/>
            <w:gridSpan w:val="2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Financial Statements (Unaudited)</w:t>
              </w:r>
            </w:hyperlink>
          </w:p>
        </w:tc>
        <w:tc>
          <w:tcPr>
            <w:tcW w:w="628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3"/>
          </w:tcPr>
          <w:p>
            <w:pPr>
              <w:spacing w:after="0"/>
              <w:rPr>
                <w:sz w:val="17"/>
                <w:szCs w:val="17"/>
                <w:color w:val="auto"/>
              </w:rPr>
            </w:pPr>
          </w:p>
        </w:tc>
        <w:tc>
          <w:tcPr>
            <w:tcW w:w="45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53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70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 – Other Information</w:t>
              </w:r>
            </w:hyperlink>
          </w:p>
        </w:tc>
        <w:tc>
          <w:tcPr>
            <w:tcW w:w="878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83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7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0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3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73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94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70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55">
              <w:r>
                <w:rPr>
                  <w:rFonts w:ascii="Arial" w:cs="Arial" w:eastAsia="Arial" w:hAnsi="Arial"/>
                  <w:sz w:val="18"/>
                  <w:szCs w:val="18"/>
                  <w:b w:val="1"/>
                  <w:bCs w:val="1"/>
                  <w:color w:val="0000EE"/>
                  <w:w w:val="89"/>
                </w:rPr>
                <w:t>Signature</w:t>
              </w:r>
            </w:hyperlink>
          </w:p>
        </w:tc>
        <w:tc>
          <w:tcPr>
            <w:tcW w:w="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Receivables from clients,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102,354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services,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93,901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18,509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15,731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463,452</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40,059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21,096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566,297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1,130,562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885,600</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9,884</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payroll and related benefits</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87,069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consideration for business acquisitions</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13,015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158,276</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and other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333,619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lease incentives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24,362</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381,671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spacing w:after="0" w:line="201" w:lineRule="exact"/>
              <w:rPr>
                <w:sz w:val="20"/>
                <w:szCs w:val="20"/>
                <w:color w:val="auto"/>
              </w:rPr>
            </w:pPr>
            <w:r>
              <w:rPr>
                <w:rFonts w:ascii="Arial" w:cs="Arial" w:eastAsia="Arial" w:hAnsi="Arial"/>
                <w:sz w:val="18"/>
                <w:szCs w:val="18"/>
                <w:color w:val="auto"/>
              </w:rPr>
              <w:t>Common stock; $0.01 par value; 500,000,000 shares authorized; 25,033,760 and 25,246,565 shares issued at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160"/>
              <w:spacing w:after="0"/>
              <w:rPr>
                <w:sz w:val="20"/>
                <w:szCs w:val="20"/>
                <w:color w:val="auto"/>
              </w:rPr>
            </w:pPr>
            <w:r>
              <w:rPr>
                <w:rFonts w:ascii="Arial" w:cs="Arial" w:eastAsia="Arial" w:hAnsi="Arial"/>
                <w:sz w:val="18"/>
                <w:szCs w:val="18"/>
                <w:color w:val="auto"/>
              </w:rPr>
              <w:t>September 30, 2014 and December 31, 2013, respectively</w:t>
            </w:r>
          </w:p>
        </w:tc>
        <w:tc>
          <w:tcPr>
            <w:tcW w:w="1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 at cost, 2,077,798 and 1,993,769 shares at September 30, 2014 and December 31, 2013, respectively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(93,043)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442,651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590,615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1,130,562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198,049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174,735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618,185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216,728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192,277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677,108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560,179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 xml:space="preserve">Direct costs and reimbursable expenses </w:t>
            </w:r>
            <w:r>
              <w:rPr>
                <w:rFonts w:ascii="Arial" w:cs="Arial" w:eastAsia="Arial" w:hAnsi="Arial"/>
                <w:sz w:val="18"/>
                <w:szCs w:val="18"/>
                <w:color w:val="auto"/>
                <w:w w:val="93"/>
              </w:rPr>
              <w:t>(exclusive of depreciation and amortization shown in</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129,899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106,087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377,798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58,981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direct costs and reimbursable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149,777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124,293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440,397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368,091</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and other operating gains: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Litigation and other gains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 and other operating gains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139,592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109,077</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26,309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44,313</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earnings per diluted share:</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22,975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23,052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12,219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17,171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66,258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 net of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Unrealized gain on investment, net of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cash flow hedging instruments, net of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24,453,461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245</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(2,003,704)</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$(88,091)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443,144</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$ 175,763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530,264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66,258</w:t>
            </w:r>
          </w:p>
        </w:tc>
        <w:tc>
          <w:tcPr>
            <w:tcW w:w="10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(459)</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8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400,078</w:t>
            </w:r>
          </w:p>
        </w:tc>
        <w:tc>
          <w:tcPr>
            <w:tcW w:w="3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(33,473)</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(1,491)</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1,487</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37,442</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848</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16,543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(52,583)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(3,461)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4,962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Equity component of convertible senior notes, net of tax and issuance</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22,739</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Purchase of convertible senior note hedges, net of tax</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(25,612)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23,625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Share repurchases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(725,640)</w:t>
            </w:r>
          </w:p>
        </w:tc>
        <w:tc>
          <w:tcPr>
            <w:tcW w:w="30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(45,085)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2014</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24,165,341</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242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(2,089,760)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(93,043)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442,651</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$ 242,021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66,258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44,313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16,631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Amortization of debt discount and issuance costs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3,153</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(Increase) decrease in receivables from clients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26,807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unbilled services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(36,083)</w:t>
            </w: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(Increase) decrease in current income tax receivable / payable, net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(10,218)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other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Increase (decrease) in accounts payable and accrued liabilities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accrued payroll and related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Increase (decrease) in deferred revenues</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(3,028)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47,762</w:t>
            </w:r>
          </w:p>
        </w:tc>
        <w:tc>
          <w:tcPr>
            <w:tcW w:w="100" w:type="dxa"/>
            <w:vAlign w:val="bottom"/>
            <w:shd w:val="clear" w:color="auto" w:fill="CCEEFF"/>
          </w:tcPr>
          <w:p>
            <w:pPr>
              <w:spacing w:after="0"/>
              <w:rPr>
                <w:sz w:val="18"/>
                <w:szCs w:val="18"/>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(16,383)</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investment in life insurance policies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Purchases of businesses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Purchase of convertible debt investment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Proceeds from note receivable</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(81,700)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(18,291)</w:t>
            </w: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Share repurchases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(45,092)</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129,000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83,500</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Repayments on credit facility</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(147,750)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(101,000)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convertible senior notes issuance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Proceeds from sale of warrants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23,625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convertible senior note hedges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Payments for debt issuance costs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Payments for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payments for purchase of property and equipment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(5,356)</w:t>
            </w:r>
          </w:p>
        </w:tc>
      </w:tr>
      <w:tr>
        <w:trPr>
          <w:trHeight w:val="230"/>
        </w:trPr>
        <w:tc>
          <w:tcPr>
            <w:tcW w:w="20" w:type="dxa"/>
            <w:vAlign w:val="bottom"/>
          </w:tcPr>
          <w:p>
            <w:pPr>
              <w:spacing w:after="0"/>
              <w:rPr>
                <w:sz w:val="20"/>
                <w:szCs w:val="20"/>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157,382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167,782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5,619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225,913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30"/>
        </w:trPr>
        <w:tc>
          <w:tcPr>
            <w:tcW w:w="2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Contingent consideration related to business acquisitions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3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and nine months ended September 30, 2014 and 2013.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2013 included in our Annual Report on Form 10-K and our Quarterly Reports on Form 10-Q for the periods ended March 31, 2014 and June 30, 2014.</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Certain amounts reported in the previous year have been reclassified to conform to the 2014 presentation. Our results for any interim period are not necessarily indicative of results for a full year or any other interim period.</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fourth quarter of 2013, we identified that accrued capital expenditures were incorrectly classified as Purchases of property and equipment, net within the investing activities section of the Consolidated Statements of Cash Flows. The Consolidated Statements of Cash Flows for the nine months ended September 30, 2013 presented herein have been revised to reflect the correction of this error. The result of this correction was an increase in net cash used in investing activities of $2.0 million and an increase in net cash used in financing activities of $0.5 million in the first nine months of 2013 with an offsetting increase in net cash provided by operating activities of $2.5 million. This classification error was not considered material for any period impacted.</w:t>
      </w:r>
    </w:p>
    <w:p>
      <w:pPr>
        <w:spacing w:after="0" w:line="3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2014, the Financial Accounting Standards Board (“FASB”) issued Accounting Standards Update (“ASU”) No.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Statements—Going Concern (Subtopic 205-40): Disclosure of Uncertainties about an Entity’s Ability to Continue as a Going Concern</w:t>
      </w:r>
      <w:r>
        <w:rPr>
          <w:rFonts w:ascii="Arial" w:cs="Arial" w:eastAsia="Arial" w:hAnsi="Arial"/>
          <w:sz w:val="17"/>
          <w:szCs w:val="17"/>
          <w:color w:val="auto"/>
        </w:rPr>
        <w:t>. This ASU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evaluate, at each interim and annual reporting period, whether there are conditions or events that raise substantial doubt about an entity’s ability to continue as a going concern within one year after the date the financial statements are issued and provide related footnote disclosures. The guidance will be effective for the Company for the fiscal year ending December 31, 2016, with early adoption permitted. We do not expect the adoption of this guidance to have a material impact on our consolidated financial statements.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Achieved after the Requisite Service Period</w:t>
      </w:r>
      <w:r>
        <w:rPr>
          <w:rFonts w:ascii="Arial" w:cs="Arial" w:eastAsia="Arial" w:hAnsi="Arial"/>
          <w:sz w:val="17"/>
          <w:szCs w:val="17"/>
          <w:color w:val="auto"/>
        </w:rPr>
        <w:t>. This guidance requires that a performance target that affects vesting and could be achieved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requisite service period be treated as a performance condition. A reporting entity should apply existing guidance in Accounting Standards Codification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 it relates to such awards. This guidance is effective for the Company beginning in the first quarter of 2016, with early adoption permitted. 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do not expect the adoption of this guidance to have a material impact on our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Discontinued Operations and Disclosures of Disposals of Components of an Entity</w:t>
      </w:r>
      <w:r>
        <w:rPr>
          <w:rFonts w:ascii="Arial" w:cs="Arial" w:eastAsia="Arial" w:hAnsi="Arial"/>
          <w:sz w:val="16"/>
          <w:szCs w:val="16"/>
          <w:color w:val="auto"/>
        </w:rPr>
        <w:t>. This guidance includes amendments that change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guidance requires that an unrecognized tax benefit, or a portion of an unrecognized tax benefit, be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March 2013, the FASB issued ASU No. 2013-05, </w:t>
      </w:r>
      <w:r>
        <w:rPr>
          <w:rFonts w:ascii="Arial" w:cs="Arial" w:eastAsia="Arial" w:hAnsi="Arial"/>
          <w:sz w:val="18"/>
          <w:szCs w:val="18"/>
          <w:i w:val="1"/>
          <w:iCs w:val="1"/>
          <w:color w:val="auto"/>
        </w:rPr>
        <w:t>Parent’s Accounting for the Cumulative Translation Adjustment Upon Derecognition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or Groups of Assets Within a Foreign Entity or of an Investment in a Foreign Entity</w:t>
      </w:r>
      <w:r>
        <w:rPr>
          <w:rFonts w:ascii="Arial" w:cs="Arial" w:eastAsia="Arial" w:hAnsi="Arial"/>
          <w:sz w:val="18"/>
          <w:szCs w:val="18"/>
          <w:color w:val="auto"/>
        </w:rPr>
        <w:t>, which amends current accounting guidance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3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nine months ended September 30,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Huron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Huron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Huron</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Huron</w:t>
            </w: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Education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Business</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Healthcare</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Legal</w:t>
            </w: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Sciences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Advisory</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2013:</w:t>
            </w: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$355,880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$53,159</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$ 111,504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159,077</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$ 679,620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1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(142,983)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(142,983)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Goodwill, net as of December 31, 2013</w:t>
            </w:r>
          </w:p>
        </w:tc>
        <w:tc>
          <w:tcPr>
            <w:tcW w:w="1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355,880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21,708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Goodwill reallocation</w:t>
            </w:r>
          </w:p>
        </w:tc>
        <w:tc>
          <w:tcPr>
            <w:tcW w:w="16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(16,744)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16,744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Goodwill, net as of September 30, 2014</w:t>
            </w:r>
          </w:p>
        </w:tc>
        <w:tc>
          <w:tcPr>
            <w:tcW w:w="1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377,588</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102,906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$ 566,297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2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including goodwill. As the fair value of each reporting unit exceeded its carrying value, including goodwill, the second step of the goodwill impairment test was not necessary.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2014, the Company completed the acquisition of The Frankel Group Associates LLC, a New York-based life sciences consulting firm, within the Huron Education and Life Sciences segment. The acquisition date fair value of the consideration transferred totaled $18.0 million, which included the fair value of contingent consideration of $0.6 million. As part of the purchase price allocation, we recorded $5.7 million of intangible assets and $8.3 million of goodwill.</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second quarter of 2014, the Company completed the acquisition of Vonlay, LLC, a healthcare technology consulting firm, within the Huron Healthcare segment. The fair value of the consideration transferred totaled $34.5 million. As part of the purchase price allocation, we recorded $8.3 million of intangible assets and $21.7 million of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2014 and December 31, 2013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September 30, 2014</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7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 in</w:t>
            </w: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continue"/>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Years</w:t>
            </w:r>
          </w:p>
        </w:tc>
        <w:tc>
          <w:tcPr>
            <w:tcW w:w="20" w:type="dxa"/>
            <w:vAlign w:val="bottom"/>
          </w:tcPr>
          <w:p>
            <w:pPr>
              <w:spacing w:after="0"/>
              <w:rPr>
                <w:sz w:val="14"/>
                <w:szCs w:val="14"/>
                <w:color w:val="auto"/>
              </w:rPr>
            </w:pPr>
          </w:p>
        </w:tc>
        <w:tc>
          <w:tcPr>
            <w:tcW w:w="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3 to 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41,975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19,445</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31,946</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14,814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 to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Trade names</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 to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software</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3 to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Document reviewer database</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51,793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42,776</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intangible assets are amortized on a straight-line basis.</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Intangible assets amortization expense was $2.8 million and $8.3 million for the three and nine months ended September 30, 2014, respectively. Intangible asset amortization expense was $1.4 million and $4.3 million for the three and nine months ended September 30, 2013, respectively. Estimated annual intangible assets amortization expense is $11.0 million for 2014, $8.4 million for 2015, $6.0 million for 2016, $4.3 million for 2017, $3.0 million for 2018, and $1.4 million for 2019. Actual future amortization expense could differ from these estimated amounts as a result of future acquisitions and other factors.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17,171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66,258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44,313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22,386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22,573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22,975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23,052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anti-dilutive securities excluded from the computation of the weighted average common stock equivalents presented above were as follows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54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Outstanding common stock options</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Warrants related to the issuance of convertible senior notes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44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See Note 6 “Financing Arrangements” for further information on the convertible senior notes and warrants related to the issuance of convertible notes.</w:t>
      </w:r>
    </w:p>
    <w:p>
      <w:pPr>
        <w:spacing w:after="0" w:line="23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February 2014, the Company’s board of directors authorized a share repurchase program pursuant to which the Company may, from time to time, repurchase up to $50 million of its common stock through February 28, 2015 (the “February 2014 Share Repurchase Program”). The amount and timing of the repurchases will be determined by management and will depend on a variety of factors, including the trading price of the Company’s common stock, general market and business conditions, and applicable legal requirements. In the three and nine months ended September 30, 2014, we executed share repurchases of 567,790 shares and 725,640 shares, respectively. Such repurchased shares were settled for $35.6 million and $45.1 million, respectively.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is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780" w:type="dxa"/>
            <w:vAlign w:val="bottom"/>
            <w:gridSpan w:val="4"/>
          </w:tcPr>
          <w:p>
            <w:pPr>
              <w:ind w:left="1120"/>
              <w:spacing w:after="0"/>
              <w:rPr>
                <w:sz w:val="20"/>
                <w:szCs w:val="20"/>
                <w:color w:val="auto"/>
              </w:rPr>
            </w:pPr>
            <w:r>
              <w:rPr>
                <w:rFonts w:ascii="Arial" w:cs="Arial" w:eastAsia="Arial" w:hAnsi="Arial"/>
                <w:sz w:val="14"/>
                <w:szCs w:val="14"/>
                <w:b w:val="1"/>
                <w:bCs w:val="1"/>
                <w:color w:val="auto"/>
              </w:rPr>
              <w:t>September 30, 2014</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December 31, 2013</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2019</w:t>
            </w:r>
          </w:p>
        </w:tc>
        <w:tc>
          <w:tcPr>
            <w:tcW w:w="1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211,119</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Senior secured credit facility</w:t>
            </w:r>
          </w:p>
        </w:tc>
        <w:tc>
          <w:tcPr>
            <w:tcW w:w="1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168,750</w:t>
            </w:r>
          </w:p>
        </w:tc>
        <w:tc>
          <w:tcPr>
            <w:tcW w:w="120" w:type="dxa"/>
            <w:vAlign w:val="bottom"/>
          </w:tcPr>
          <w:p>
            <w:pPr>
              <w:spacing w:after="0"/>
              <w:rPr>
                <w:sz w:val="19"/>
                <w:szCs w:val="19"/>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361,119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Current maturities of debt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(27,500)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7"/>
        </w:trPr>
        <w:tc>
          <w:tcPr>
            <w:tcW w:w="4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333,619</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12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warrants which were entered into in connection with the Convertible Notes effectively raise the initial conversion price of the Convertible Notes from approximately $79.89 to approximately $97.12 per share.</w:t>
      </w:r>
    </w:p>
    <w:p>
      <w:pPr>
        <w:spacing w:after="0" w:line="16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76" w:lineRule="exact"/>
        <w:rPr>
          <w:sz w:val="20"/>
          <w:szCs w:val="20"/>
          <w:color w:val="auto"/>
        </w:rPr>
      </w:pPr>
    </w:p>
    <w:p>
      <w:pPr>
        <w:ind w:left="900" w:right="1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92"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4.837% over the term of the Convertible Notes. As of September 30, 2014, the remaining life of the Convertible Notes is 5 years. The equity component will not be remeasured as long as it continues to meet the conditions for equity classification.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3"/>
          </w:tcPr>
          <w:p>
            <w:pPr>
              <w:spacing w:after="0"/>
              <w:rPr>
                <w:sz w:val="20"/>
                <w:szCs w:val="20"/>
                <w:color w:val="auto"/>
              </w:rPr>
            </w:pPr>
            <w:r>
              <w:rPr>
                <w:rFonts w:ascii="Arial" w:cs="Arial" w:eastAsia="Arial" w:hAnsi="Arial"/>
                <w:sz w:val="18"/>
                <w:szCs w:val="18"/>
                <w:color w:val="auto"/>
              </w:rPr>
              <w:t>As of September 30, 2014, the Convertible Notes consisted of the following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680" w:type="dxa"/>
            <w:vAlign w:val="bottom"/>
            <w:vMerge w:val="restart"/>
          </w:tcPr>
          <w:p>
            <w:pPr>
              <w:spacing w:after="0"/>
              <w:rPr>
                <w:sz w:val="21"/>
                <w:szCs w:val="21"/>
                <w:color w:val="auto"/>
              </w:rPr>
            </w:pPr>
          </w:p>
        </w:tc>
        <w:tc>
          <w:tcPr>
            <w:tcW w:w="5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60" w:type="dxa"/>
            <w:vAlign w:val="bottom"/>
          </w:tcPr>
          <w:p>
            <w:pPr>
              <w:ind w:left="360"/>
              <w:spacing w:after="0"/>
              <w:rPr>
                <w:sz w:val="20"/>
                <w:szCs w:val="20"/>
                <w:color w:val="auto"/>
              </w:rPr>
            </w:pPr>
            <w:r>
              <w:rPr>
                <w:rFonts w:ascii="Arial" w:cs="Arial" w:eastAsia="Arial" w:hAnsi="Arial"/>
                <w:sz w:val="18"/>
                <w:szCs w:val="18"/>
                <w:color w:val="auto"/>
              </w:rPr>
              <w:t>Proceeds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discount, net of amortization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(38,881)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60" w:type="dxa"/>
            <w:vAlign w:val="bottom"/>
          </w:tcPr>
          <w:p>
            <w:pPr>
              <w:ind w:left="720"/>
              <w:spacing w:after="0"/>
              <w:rPr>
                <w:sz w:val="20"/>
                <w:szCs w:val="20"/>
                <w:color w:val="auto"/>
              </w:rPr>
            </w:pPr>
            <w:r>
              <w:rPr>
                <w:rFonts w:ascii="Arial" w:cs="Arial" w:eastAsia="Arial" w:hAnsi="Arial"/>
                <w:sz w:val="18"/>
                <w:szCs w:val="18"/>
                <w:color w:val="auto"/>
              </w:rPr>
              <w:t>Net carrying amount</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211,119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15"/>
                <w:szCs w:val="15"/>
                <w:color w:val="auto"/>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 as of September 30 2014.</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(in thousands):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 and Nine</w:t>
            </w:r>
          </w:p>
        </w:tc>
      </w:tr>
      <w:tr>
        <w:trPr>
          <w:trHeight w:val="149"/>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64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7"/>
              </w:rPr>
              <w:t>September 30, 2014</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interest expense recognized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16" w:lineRule="exact"/>
        <w:rPr>
          <w:sz w:val="20"/>
          <w:szCs w:val="20"/>
          <w:color w:val="auto"/>
        </w:rPr>
      </w:pPr>
    </w:p>
    <w:p>
      <w:pPr>
        <w:ind w:left="900" w:hanging="325"/>
        <w:spacing w:after="0" w:line="271"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Convertible Note Hedge Transactions</w:t>
      </w:r>
      <w:r>
        <w:rPr>
          <w:rFonts w:ascii="Arial" w:cs="Arial" w:eastAsia="Arial" w:hAnsi="Arial"/>
          <w:sz w:val="17"/>
          <w:szCs w:val="17"/>
          <w:color w:val="auto"/>
        </w:rPr>
        <w:t>. In connection with the issuance of the Convertible Notes, the Company entered into the convertible note</w:t>
      </w:r>
      <w:r>
        <w:rPr>
          <w:rFonts w:ascii="Arial" w:cs="Arial" w:eastAsia="Arial" w:hAnsi="Arial"/>
          <w:sz w:val="17"/>
          <w:szCs w:val="17"/>
          <w:i w:val="1"/>
          <w:iCs w:val="1"/>
          <w:color w:val="auto"/>
        </w:rPr>
        <w:t xml:space="preserve"> </w:t>
      </w:r>
      <w:r>
        <w:rPr>
          <w:rFonts w:ascii="Arial" w:cs="Arial" w:eastAsia="Arial" w:hAnsi="Arial"/>
          <w:sz w:val="17"/>
          <w:szCs w:val="17"/>
          <w:color w:val="auto"/>
        </w:rPr>
        <w:t>hedge 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84"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920" w:right="60"/>
        <w:spacing w:after="0" w:line="276" w:lineRule="auto"/>
        <w:rPr>
          <w:sz w:val="20"/>
          <w:szCs w:val="20"/>
          <w:color w:val="auto"/>
        </w:rPr>
      </w:pPr>
      <w:r>
        <w:rPr>
          <w:rFonts w:ascii="Arial" w:cs="Arial" w:eastAsia="Arial" w:hAnsi="Arial"/>
          <w:sz w:val="17"/>
          <w:szCs w:val="17"/>
          <w:color w:val="auto"/>
        </w:rPr>
        <w:t>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recorded a deferred tax liability of $15.4 million in connection with the debt discount associated with the Convertible Notes and recorded a deferred tax asset of $16.5 million in connection with the convertible note hedge transactions. The deferred tax liability and deferred tax asset are included in non-current deferred tax liabilities on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with various financial institutions, as amended by the first, second, third, fourth, and fifth amendments to the credit agreement dated as of August 31, 2012, September 25, 2013, February 14, 2014, June 27, 2014, and September 3, 2014, respectively (as amended and modified, the “2011 Credit Agreement”).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2014, the Term Loan had a principal amount outstanding of $150.0 million, which is subject to scheduled quarterly principal payments. The current quarterly principal payments are $6.3 million and increase to $7.5 million beginning June 30, 2015 until the maturity date of September 25, 2018, at which time a final payment of $40 million, plus any accrued and unpaid interest, will be due, as set forth in the 2011 Credit Agreement. All outstanding borrowings under the Revolver, as amended, will be due upon expiration of the 2011 Credit Agreement on September 25, 2018. As of September 30, 2014, the Company has made all scheduled quarterly amortization payments as they have come due in accordance with the Term Loan.</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2011 Credit Agreement contains quarterly financial covenants that require us to maintain a minimum fixed charge coverage ratio of 2.25 to 1.00 and a maximum leverage ratio of 3.00 to 1.00, as those ratios are defined therein, as well as a minimum net worth greater than $150 million. At September 30, 2014, we were in compliance with these financial covenants with a fixed charge coverage ratio of 4.77 to 1.00, a leverage ratio of 1.13 to 1.00, and net worth greater than $150 million. At December 31, 2013, we were also in compliance with the financial debt covenants.</w:t>
      </w:r>
    </w:p>
    <w:p>
      <w:pPr>
        <w:spacing w:after="0" w:line="171"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The borrowing capacity under the 2011 Credit Agreement is reduced by any outstanding letters of credit and payments under the Term Loan. At September 30, 2014, outstanding letters of credit totaled $5.1 million and are primarily used as security deposits for our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office facilities. As of September 30, 2014, the unused borrowing capacity under the 2011 Credit Agreement was $242.4 million. Borrowings outstanding under this credit facility at September 30, 2014 totaled $150.0 million. These borrowings carried a weighted average interest rate of 2.0%, including the effect of the interest rate swaps described below in Note 8 “Derivative Instruments and Hedging Activity.” Borrowings outstanding at December 31, 2013 were $168.8 million and carried a weighted average interest rate of 2.0%.</w:t>
      </w:r>
    </w:p>
    <w:p>
      <w:pPr>
        <w:spacing w:after="0" w:line="3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third quarter of 2014, we incurred a $0.2 million pretax restructuring charge primarily related to updated assumptions for the lease accrual of the London office space vacated in the second quarter of 2014. 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as a result of the space consolidation. The vacated locations in Chicago and New York were acquired as part of business acquisitions during 2013 and 2014. During the first quarter of 2014, we incurred a $0.1 million pretax restructuring charge related to workforce reductions in our London office to better align our resources with market demand in our Huron Legal segment.</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second quarter of 2013, we incurred a $0.6 million pretax restructuring charge related to the consolidation of office space in Washington, D.C. The charge primarily consisted of the accrual of remaining lease payments for an office we vacated during the second quarter of 2013.</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2014, our restructuring charge liability is $0.6 million, and primarily consists of the present value of remaining lease payments for our vacated office spaces in Chicago, London, New York, and Washington, D.C. The restructuring charge liability is included as a component of Accrued expenses and Deferred compensation and other liabilities.</w:t>
      </w:r>
    </w:p>
    <w:p>
      <w:pPr>
        <w:spacing w:after="0" w:line="3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12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6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September 30, 2014, it was anticipated that $0.5 million of the losses, net of tax, currently recorded in accumulated other comprehensive loss will be reclassified into earnings within the next 12 months. Our interest rate swap agreements were effective during the three and nine months ended September 30, 2014.</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September 30, 2014 and December 31, 2013.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(Derivative Asset and Liability)</w:t>
            </w: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Other non-current</w:t>
            </w: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and other liabilities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All of the Company’s derivative instruments as of September 30, 2014 and December 31, 2013 were held with the same counterparty.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10 “Other Comprehensive Income (Loss)” for additional information on our derivative instruments.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Certain of our assets and liabilities are measured at fair value.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380"/>
          </w:cols>
          <w:pgMar w:left="240" w:top="459" w:right="27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or liabilities that the reporting entity has the ability to access at the measurement date.</w:t>
      </w:r>
    </w:p>
    <w:p>
      <w:pPr>
        <w:spacing w:after="0" w:line="140" w:lineRule="exact"/>
        <w:rPr>
          <w:sz w:val="20"/>
          <w:szCs w:val="20"/>
          <w:color w:val="auto"/>
        </w:rPr>
      </w:pPr>
    </w:p>
    <w:p>
      <w:pPr>
        <w:sectPr>
          <w:pgSz w:w="11900" w:h="16838" w:orient="portrait"/>
          <w:cols w:equalWidth="0" w:num="2">
            <w:col w:w="1040" w:space="340"/>
            <w:col w:w="1000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73" w:lineRule="exact"/>
        <w:rPr>
          <w:sz w:val="20"/>
          <w:szCs w:val="20"/>
          <w:color w:val="auto"/>
        </w:rPr>
      </w:pPr>
    </w:p>
    <w:p>
      <w:pPr>
        <w:sectPr>
          <w:pgSz w:w="11900" w:h="16838" w:orient="portrait"/>
          <w:cols w:equalWidth="0" w:num="2">
            <w:col w:w="1040" w:space="340"/>
            <w:col w:w="1000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040" w:space="340"/>
            <w:col w:w="10000"/>
          </w:cols>
          <w:pgMar w:left="240" w:top="459" w:right="279" w:bottom="1440" w:gutter="0" w:footer="0" w:header="0"/>
          <w:type w:val="continuous"/>
        </w:sectPr>
      </w:pPr>
    </w:p>
    <w:p>
      <w:pPr>
        <w:spacing w:after="0" w:line="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2014 and December 31, 2013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56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2014</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rate swaps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investment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12,750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12,750</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409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14,903</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15,312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rate swaps</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359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liability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359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rate swaps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430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430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Promissory note: </w:t>
      </w:r>
      <w:r>
        <w:rPr>
          <w:rFonts w:ascii="Arial" w:cs="Arial" w:eastAsia="Arial" w:hAnsi="Arial"/>
          <w:sz w:val="17"/>
          <w:szCs w:val="17"/>
          <w:color w:val="auto"/>
        </w:rPr>
        <w:t>As part of the consideration received for the sale of our Accounting Advisory practice on December 30, 2011, the Company received a $3.5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promissory note payable over four years. During the first quarter of 2014, we agreed to restructure the note to temporarily decrease the quarterly payment amounts, increase the interest rate and extend the term of the note to mature on October 31, 2017. During the second quarter of 2014, we agreed to amend and restate the note such that principal payments will be paid to the Company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decrease in the fair value of the note during the first nine months of 2014 reflects principal payments received, the amendment of terms, and the increased discount rate of 17%, less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7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the interest rate swaps was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July 2014, we made a $10 million investment,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and retention of international students, boost institutional growth, and enhance an institution’s global footprint. In August 2014, we purchased an additional $2.5 million convertible note of Shorelight, increasing the cost basis of our investment to $12.5 million. The notes will mature on July 1, 2020, unless converted earlier.</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account for our investment as an available for sale security in accordance with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As such, the investment is carried at fair value with unrealized holding gains and losses excluded from earnings and reported in other comprehensive income. We estimated the fair value of our investment using cash flow projections discounted at a risk-adjusted rate and certain assumptions related to equity volatility, default probability, and recovery rate, all of which are Level 3 inputs. In arriving at the estimated fair value, we also considered the probability weighted likelihood of conversion of the notes, in accordance with the various conversion features of the notes. An unrealized gain of $0.3 million was recorded in Other comprehensive income for the three and nine months ended September 30, 2014. The fair value of the convertible debt investment is recorded in Long-term investment.</w:t>
      </w:r>
    </w:p>
    <w:p>
      <w:pPr>
        <w:spacing w:after="0" w:line="18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 xml:space="preserve">Deferred acquisition payment: </w:t>
      </w:r>
      <w:r>
        <w:rPr>
          <w:rFonts w:ascii="Arial" w:cs="Arial" w:eastAsia="Arial" w:hAnsi="Arial"/>
          <w:sz w:val="17"/>
          <w:szCs w:val="17"/>
          <w:color w:val="auto"/>
        </w:rPr>
        <w:t>Deferred acquisition payments are included in the total purchase consideration for certain business acquisitions made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represent fixed future payments owed to the sellers of those businesses. The fair value of our liability as of December 31, 2013 was based on the net present value of one final payment related to a 2012 acquisition. The payment was made in July 2014.</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Contingent acquisition liability: </w:t>
      </w:r>
      <w:r>
        <w:rPr>
          <w:rFonts w:ascii="Arial" w:cs="Arial" w:eastAsia="Arial" w:hAnsi="Arial"/>
          <w:sz w:val="16"/>
          <w:szCs w:val="16"/>
          <w:color w:val="auto"/>
        </w:rPr>
        <w:t>In the first quarter of 2014, we recorded the initial acquisition date fair value of a contingent acquisition liability that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Frankel acquisition described in Note 4 “Goodwill and Intangible Assets.” The initial fair value of $0.6 million was calculated using Level 3 inputs and a probability weighted estimated payout model based on financial projections and then discounted to fair value. As of September 30, 2014, we determined that the likelihood of the contingent acquisition payout was remote and reduced the value of the contingent acquisition liability to zero.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carrying value of our senior secured credit facility is stated at cost. Our carrying value approximates fair value, using Level 2 inputs, as the senior secured credit facility bears interest at variable rates based on market rates as set forth in the 2011 Credit Agreement. Refer to Note 6 “Financing Arrangements.”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3360"/>
        <w:spacing w:after="0"/>
        <w:rPr>
          <w:sz w:val="20"/>
          <w:szCs w:val="20"/>
          <w:color w:val="auto"/>
        </w:rPr>
      </w:pPr>
      <w:r>
        <w:rPr>
          <w:rFonts w:ascii="Arial" w:cs="Arial" w:eastAsia="Arial" w:hAnsi="Arial"/>
          <w:sz w:val="16"/>
          <w:szCs w:val="16"/>
          <w:b w:val="1"/>
          <w:bCs w:val="1"/>
          <w:color w:val="auto"/>
        </w:rPr>
        <w:t>(Tabular amounts in thousands, except per share amounts)</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1.25% convertible senior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September 30,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4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r>
      <w:tr>
        <w:trPr>
          <w:trHeight w:val="171"/>
        </w:trPr>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211,119</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241,563</w:t>
            </w:r>
          </w:p>
        </w:tc>
      </w:tr>
    </w:tbl>
    <w:p>
      <w:pPr>
        <w:spacing w:after="0" w:line="187" w:lineRule="exact"/>
        <w:rPr>
          <w:sz w:val="20"/>
          <w:szCs w:val="20"/>
          <w:color w:val="auto"/>
        </w:rPr>
      </w:pPr>
    </w:p>
    <w:p>
      <w:pPr>
        <w:sectPr>
          <w:pgSz w:w="11900" w:h="16838" w:orient="portrait"/>
          <w:cols w:equalWidth="0" w:num="2">
            <w:col w:w="8080" w:space="160"/>
            <w:col w:w="3180"/>
          </w:cols>
          <w:pgMar w:left="240" w:top="459" w:right="239" w:bottom="1440" w:gutter="0" w:footer="0" w:header="0"/>
        </w:sectPr>
      </w:pPr>
    </w:p>
    <w:p>
      <w:pPr>
        <w:ind w:right="120"/>
        <w:spacing w:after="0" w:line="302" w:lineRule="auto"/>
        <w:rPr>
          <w:sz w:val="20"/>
          <w:szCs w:val="20"/>
          <w:color w:val="auto"/>
        </w:rPr>
      </w:pPr>
      <w:r>
        <w:rPr>
          <w:rFonts w:ascii="Arial" w:cs="Arial" w:eastAsia="Arial" w:hAnsi="Arial"/>
          <w:sz w:val="16"/>
          <w:szCs w:val="16"/>
          <w:color w:val="auto"/>
        </w:rPr>
        <w:t>The difference between the $250 million principal amount of the Convertible Notes and the carrying amount represents the unamortized debt discount. As of September 30, 2014, the carrying value of the equity component of $39.3 million was unchanged from the date of issuance. Refer to Note 6 “Financing Arrangements” for additional details of our Convertible Notes. The estimated fair value of the Convertible Notes, which we have classified as a Level 2 financial instrument, was determined based on the quoted bid price of the Convertible Notes in an over-the-counter market on September 30, 2014.</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closing price of our common stock of $60.97 on September 30, 2014, the if-converted value of the Convertible Notes was less than the principal amount.</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hold our cash in accounts at multiple third 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31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tables below set forth the components of other comprehensive income (loss), net of tax, for the three and nine months ended September 30, 2014 and 2013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center"/>
              <w:ind w:left="356"/>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left="377"/>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4"/>
                <w:szCs w:val="14"/>
                <w:b w:val="1"/>
                <w:bCs w:val="1"/>
                <w:color w:val="auto"/>
                <w:w w:val="91"/>
              </w:rPr>
              <w:t>September 30, 2013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24"/>
              <w:spacing w:after="0"/>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Net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w w:val="95"/>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Taxes</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1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
              <w:spacing w:after="0"/>
              <w:rPr>
                <w:sz w:val="20"/>
                <w:szCs w:val="20"/>
                <w:color w:val="auto"/>
              </w:rPr>
            </w:pPr>
            <w:r>
              <w:rPr>
                <w:rFonts w:ascii="Arial" w:cs="Arial" w:eastAsia="Arial" w:hAnsi="Arial"/>
                <w:sz w:val="18"/>
                <w:szCs w:val="18"/>
                <w:color w:val="auto"/>
              </w:rPr>
              <w:t>(1,127)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investment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70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jc w:val="right"/>
              <w:ind w:right="2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left="496"/>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left="376"/>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2013</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324"/>
              <w:spacing w:after="0"/>
              <w:rPr>
                <w:sz w:val="20"/>
                <w:szCs w:val="20"/>
                <w:color w:val="auto"/>
              </w:rPr>
            </w:pPr>
            <w:r>
              <w:rPr>
                <w:rFonts w:ascii="Arial" w:cs="Arial" w:eastAsia="Arial" w:hAnsi="Arial"/>
                <w:sz w:val="14"/>
                <w:szCs w:val="14"/>
                <w:b w:val="1"/>
                <w:bCs w:val="1"/>
                <w:color w:val="auto"/>
                <w:w w:val="94"/>
              </w:rPr>
              <w:t>Before</w:t>
            </w:r>
          </w:p>
        </w:tc>
        <w:tc>
          <w:tcPr>
            <w:tcW w:w="12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Tax</w:t>
            </w:r>
          </w:p>
        </w:tc>
        <w:tc>
          <w:tcPr>
            <w:tcW w:w="140" w:type="dxa"/>
            <w:vAlign w:val="bottom"/>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Net of</w:t>
            </w:r>
          </w:p>
        </w:tc>
        <w:tc>
          <w:tcPr>
            <w:tcW w:w="120" w:type="dxa"/>
            <w:vAlign w:val="bottom"/>
          </w:tcPr>
          <w:p>
            <w:pPr>
              <w:spacing w:after="0"/>
              <w:rPr>
                <w:sz w:val="10"/>
                <w:szCs w:val="10"/>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Before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Tax</w:t>
            </w:r>
          </w:p>
        </w:tc>
        <w:tc>
          <w:tcPr>
            <w:tcW w:w="12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(Expense)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4"/>
                <w:szCs w:val="14"/>
                <w:b w:val="1"/>
                <w:bCs w:val="1"/>
                <w:color w:val="auto"/>
                <w:w w:val="95"/>
              </w:rPr>
              <w:t>Taxes</w:t>
            </w: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Taxes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4"/>
              <w:spacing w:after="0"/>
              <w:rPr>
                <w:sz w:val="20"/>
                <w:szCs w:val="20"/>
                <w:color w:val="auto"/>
              </w:rPr>
            </w:pPr>
            <w:r>
              <w:rPr>
                <w:rFonts w:ascii="Arial" w:cs="Arial" w:eastAsia="Arial" w:hAnsi="Arial"/>
                <w:sz w:val="18"/>
                <w:szCs w:val="18"/>
                <w:color w:val="auto"/>
              </w:rPr>
              <w:t>(735)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86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jc w:val="right"/>
              <w:ind w:right="12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9"/>
              </w:rPr>
              <w:t>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14"/>
                <w:szCs w:val="14"/>
                <w:color w:val="auto"/>
              </w:rPr>
            </w:pPr>
          </w:p>
        </w:tc>
        <w:tc>
          <w:tcPr>
            <w:tcW w:w="17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Net Unrealized</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Gain on</w:t>
            </w:r>
          </w:p>
        </w:tc>
        <w:tc>
          <w:tcPr>
            <w:tcW w:w="38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Gain/(Losses) on</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Investment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Derivatives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Current period change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152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effective tax rates for the three months ended September 30, 2014 and 2013 were 36.8% and 42.2%, respectively. The Company’s effective tax rates for the nine months ended September 30, 2014 and 2013 were 28.4% and 43.1%, respectively. The effective tax rate for the third quarter of 2014 was lower than the statutory rate, inclusive of state income taxes, primarily due to the favorable settlement of the IRS audit for years 2009, 2010, and 2011. The effective tax rate for the first nine months of 2014 was lower than the statutory tax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in the first quarter of 2014 related to the establishment of a valuation allowance for certain foreign tax credits and increased deferred tax liabilities as a result of the aforementioned election.</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effective tax rates for the three and nine months ended September 30, 2013 were higher than the statutory rate, inclusive of state income taxes, primarily due to the impact of foreign losses with no tax benefit and certain non-deductible business expenses, partially offset by the impact of certain credits and deductions.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right="7440" w:firstLine="8"/>
        <w:spacing w:after="0" w:line="378" w:lineRule="auto"/>
        <w:tabs>
          <w:tab w:leader="none" w:pos="44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On May 22, 2014, the United States Court of Appeals for the Second Circuit upheld the lower court’s decision, which granted summary judgment to Huron. The relator did not file a petition for writ of certiorari with the United States Supreme Court, and therefore the litigation is concluded.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We believe the Litigation Trust’s allegations with respect to Huron are without merit and will vigorously defend ourselves should any claim arising out of these alleged facts and circumstances be asserted against us by the Litigation Trust.</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Guarantees in the form of letters of credit totaling $5.1 million and $4.9 million were outstanding at September 30, 2014 and December 31, 2013, respectively, to support certain office lease obligations as well as Middle East performance and bid bonds.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Segments are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Legal, Huron Education and Life Sciences, Huron Business Advisory, and All Other.</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Our Huron Healthcare segment provides consulting services to national and regional hospitals and integrated health systems, academic medical centers, community hospitals, and physician practices.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7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12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Our Huron Legal segment provides advisory and business services to assist law departments of major global corporations and law firms with their cost and risk effectiveness, organizational design and development, and operational efficiency. These services add value to organizations by helping them enhance client service and reduce the amounts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8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sz w:val="20"/>
          <w:szCs w:val="20"/>
          <w:color w:val="auto"/>
        </w:rPr>
      </w:pPr>
    </w:p>
    <w:p>
      <w:pPr>
        <w:jc w:val="both"/>
        <w:ind w:left="920" w:right="420"/>
        <w:spacing w:after="0" w:line="302" w:lineRule="auto"/>
        <w:rPr>
          <w:sz w:val="20"/>
          <w:szCs w:val="20"/>
          <w:color w:val="auto"/>
        </w:rPr>
      </w:pPr>
      <w:r>
        <w:rPr>
          <w:rFonts w:ascii="Arial" w:cs="Arial" w:eastAsia="Arial" w:hAnsi="Arial"/>
          <w:sz w:val="16"/>
          <w:szCs w:val="16"/>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5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sz w:val="20"/>
          <w:szCs w:val="20"/>
          <w:color w:val="auto"/>
        </w:rPr>
      </w:pPr>
    </w:p>
    <w:p>
      <w:pPr>
        <w:ind w:left="920" w:right="140"/>
        <w:spacing w:after="0" w:line="272" w:lineRule="auto"/>
        <w:rPr>
          <w:sz w:val="20"/>
          <w:szCs w:val="20"/>
          <w:color w:val="auto"/>
        </w:rPr>
      </w:pPr>
      <w:r>
        <w:rPr>
          <w:rFonts w:ascii="Arial" w:cs="Arial" w:eastAsia="Arial" w:hAnsi="Arial"/>
          <w:sz w:val="17"/>
          <w:szCs w:val="17"/>
          <w:color w:val="auto"/>
        </w:rPr>
        <w:t>Our Huron Business Advisory segment (formerly referred to as Huron Financial)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7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EPM practice (formerly referred to as Blue Stone International, a business which we acquired during the fourth quarter of 2013) from the Huron Education and Life Sciences segment to the Huron Business Advisory segment.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nine months ended September 30, 2014 and 2013, along with the items necessary to reconcile the segment information to the totals reported in the accompanying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97,812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86,957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306,327</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244,648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117,422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91,440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46,146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45,263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154,417</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131,296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36,523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34,806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107,846</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107,666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Business Advisory:</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7,223</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47,098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25,068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loss as a percentage of segment revenues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198,049</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174,735</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618,185</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509,178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23"/>
        </w:trPr>
        <w:tc>
          <w:tcPr>
            <w:tcW w:w="5680" w:type="dxa"/>
            <w:vAlign w:val="bottom"/>
            <w:gridSpan w:val="3"/>
          </w:tcPr>
          <w:p>
            <w:pPr>
              <w:ind w:left="240"/>
              <w:spacing w:after="0"/>
              <w:rPr>
                <w:sz w:val="20"/>
                <w:szCs w:val="20"/>
                <w:color w:val="auto"/>
              </w:rPr>
            </w:pPr>
            <w:r>
              <w:rPr>
                <w:rFonts w:ascii="Arial" w:cs="Arial" w:eastAsia="Arial" w:hAnsi="Arial"/>
                <w:sz w:val="18"/>
                <w:szCs w:val="18"/>
                <w:color w:val="auto"/>
              </w:rPr>
              <w:t>Total revenues and reimbursable expenses</w:t>
            </w:r>
          </w:p>
        </w:tc>
        <w:tc>
          <w:tcPr>
            <w:tcW w:w="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216,728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192,277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677,108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560,179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51,877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54,062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194,636</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156,275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 and gains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17,975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78,879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58,640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Other expense, net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77,876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Huron Healthcare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103,586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95,900</w:t>
            </w:r>
          </w:p>
        </w:tc>
        <w:tc>
          <w:tcPr>
            <w:tcW w:w="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Huron Legal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42,190</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Huron Education and Life Sciences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28,149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22,783</w:t>
            </w:r>
          </w:p>
        </w:tc>
        <w:tc>
          <w:tcPr>
            <w:tcW w:w="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934,276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706,661</w:t>
            </w:r>
          </w:p>
        </w:tc>
        <w:tc>
          <w:tcPr>
            <w:tcW w:w="6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1,130,562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60" w:hanging="452"/>
        <w:spacing w:after="0" w:line="25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December 31, 2013 segment asset balances have been reclassified to reflect the move of our EPM practice from the Huron Education and Life Sciences segment to the Huron Business Advisory segment.</w:t>
      </w:r>
    </w:p>
    <w:p>
      <w:pPr>
        <w:spacing w:after="0" w:line="1"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September 30, 2014, no single client accounted for greater than 10% of our combined receivables and unbilled services balances. At December 31, 2013, one Huron Healthcare client’s total receivables and unbilled services balance represented 14% of our total receivables and unbilled services balance. No other client’s total receivables and unbilled services represented greater than 10% of our total receivables and unbilled services balance at December 31, 2013. No single client generated greater than 10% of our consolidated revenues during the three and nine months ended September 30, 2014 and 2013.</w:t>
      </w:r>
    </w:p>
    <w:p>
      <w:pPr>
        <w:spacing w:after="0" w:line="27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October 1, 2014, we completed our acquisition of Threshold Consulting, Inc., a provider of cloud-based Software as a Service (SaaS) applications, data warehousing and business intelligence (BI) solutions, as well as customer relationship management (CRM) consulting services. The results of operations of Threshold will be included within the Huron Business Advisory segment.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2013 and under “Item 1A. Risk Factors” in this Quarterly Report on Form 10-Q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Huron has worked with more than 425 health systems, hospitals, and academic medical centers; more than 400 corporate general counsel; and more than 350 universities and research institutions.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Business Advisory, and All Other.</w:t>
      </w:r>
    </w:p>
    <w:p>
      <w:pPr>
        <w:spacing w:after="0" w:line="7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empower our clients to address challenges in the rapidly-evolving healthcare environment and improve quality, increase revenue, reduce expenses, and enhance patient, physician,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121"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88"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rFonts w:ascii="Arial" w:cs="Arial" w:eastAsia="Arial" w:hAnsi="Arial"/>
          <w:sz w:val="18"/>
          <w:szCs w:val="18"/>
          <w:color w:val="auto"/>
        </w:rPr>
      </w:pPr>
    </w:p>
    <w:p>
      <w:pPr>
        <w:ind w:left="460" w:right="100"/>
        <w:spacing w:after="0" w:line="293" w:lineRule="auto"/>
        <w:rPr>
          <w:rFonts w:ascii="Arial" w:cs="Arial" w:eastAsia="Arial" w:hAnsi="Arial"/>
          <w:sz w:val="18"/>
          <w:szCs w:val="18"/>
          <w:color w:val="auto"/>
        </w:rPr>
      </w:pPr>
      <w:r>
        <w:rPr>
          <w:rFonts w:ascii="Arial" w:cs="Arial" w:eastAsia="Arial" w:hAnsi="Arial"/>
          <w:sz w:val="16"/>
          <w:szCs w:val="16"/>
          <w:color w:val="auto"/>
        </w:rPr>
        <w:t>Our Huron Business Advisory segment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6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44.6% and 45.3% of our revenues for the three months ended September 30, 2014 and 2013, respectively, and 45.1% and 46.3% of our revenues for the nine months ended September 30, 2014 and 2013, respectively.</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generate revenues from licensing two types of proprietary software to clients: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Fixed-fee engagements (including software license revenue) represented 39.6% and 37.8% of our revenues for the three months ended September 30, 2014 and 2013, respectively, and 39.4% and 38.5% of our revenues for the nine months ended September 30, 2014 and 2013, respectively.</w:t>
      </w:r>
    </w:p>
    <w:p>
      <w:pPr>
        <w:spacing w:after="0" w:line="14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12.1% and 13.2% of our revenues for the three months ended September 30, 2014 and 2013, respectively, and 12.3% and 11.8% of our revenues for the nine months ended September 30, 2014 and 2013, respectively. Performance-based fee engagements may cause significant variations in quarterly revenues and operating results depending on the timing of achieving the performance-based criteria.</w:t>
      </w:r>
    </w:p>
    <w:p>
      <w:pPr>
        <w:spacing w:after="0" w:line="166"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3.7% of our revenues for both the three months ended September 30, 2014 and 2013, and 3.2% and 3.4% of our revenues for the nine months ended September 30, 2014 and 2013, respectively.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2013. Below is an update to our critical accounting policy relating to the carrying values of goodwill and other intangible assets, as well as a description of the accounting treatment of our 1.25% convertible senior notes issuance during September 2014. There have been no material changes to our other critical accounting policies during the first nine months of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by 46% and 12%, respectively. Since the fair value of each reporting unit exceeded its carrying value, the second step of the goodwill impairment test was not necessary.</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estimating the fair value of these two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the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for the Huron Education and Life Sciences reporting unit and 3.0% for the EPM reporting unit. Our forecast is based on historical experience, current backlog, expected market demand, and other industry information. Our discounted cash flow analysis assumed a weighted average cost of capital (“WACC”) discount rate of 13.0% for the Huron Education and Life Sciences reporting unit and 17.0% for the EPM reporting unit.</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table below presents, based on the goodwill impairment test performed as of March 31, 2014, the decrease in the fair value of our Huron Education and Life Sciences and EPM reporting units given a 100 basis point increase in the assumed discount rate or a 100 basis point decrease in the assumed long-term annual revenue growth rate.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Huron Education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Enterprise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and Life Sciences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Performance Management</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46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Decrease in</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5"/>
              </w:rPr>
              <w:t>Decrease in</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which Fair</w:t>
            </w:r>
          </w:p>
        </w:tc>
        <w:tc>
          <w:tcPr>
            <w:tcW w:w="260" w:type="dxa"/>
            <w:vAlign w:val="bottom"/>
          </w:tcPr>
          <w:p>
            <w:pPr>
              <w:spacing w:after="0"/>
              <w:rPr>
                <w:sz w:val="12"/>
                <w:szCs w:val="12"/>
                <w:color w:val="auto"/>
              </w:rPr>
            </w:pPr>
          </w:p>
        </w:tc>
        <w:tc>
          <w:tcPr>
            <w:tcW w:w="14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which Fair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the Reporting</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Value Exceeds</w:t>
            </w:r>
          </w:p>
        </w:tc>
        <w:tc>
          <w:tcPr>
            <w:tcW w:w="26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the Reporting</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 Exceeds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rPr>
              <w:t>Unit</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Unit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Discount rate – increase by 100 bps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5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Long-term growth rate – decrease by 100 bps</w:t>
            </w:r>
          </w:p>
        </w:tc>
        <w:tc>
          <w:tcPr>
            <w:tcW w:w="200" w:type="dxa"/>
            <w:vAlign w:val="bottom"/>
          </w:tcPr>
          <w:p>
            <w:pPr>
              <w:jc w:val="right"/>
              <w:ind w:right="23"/>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7,900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Convertible Senior Notes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accounting for the issuance of the 1.25% convertible senior notes (the “Convertible Notes”), we separated the Convertible Notes into liability and equity components. The carrying amount of the liability component was determined by measuring the fair value of a similar liability that does not have an associated convertible feature, assuming a borrowing rate reflective of a company of our size and risk profile.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the effective interest rate over the term of the Convertible Notes. The equity component will not be remeasured as long as it continues to meet the conditions for equity classification. In accounting for the transaction costs related to the issuance of the Convertible Notes, we separated the total amount incurred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Segment and Consolidated Operating Results (in thousands):</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6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306,327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Legal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46,146</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45,263</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154,417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34,806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Business Advisory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17,142</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7,223</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 revenues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198,049</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174,735</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618,185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509,178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17,542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23"/>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216,728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192,277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677,108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560,179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27,727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30,772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117,422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15,138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9,459</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7,773</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All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194,636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Operating expenses and gains not allocated to segments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22,943</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83,011</w:t>
            </w: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00" w:type="dxa"/>
            <w:vAlign w:val="bottom"/>
            <w:gridSpan w:val="4"/>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 xml:space="preserve">Average number of full-time billable consultants (for the period) </w:t>
            </w:r>
            <w:r>
              <w:rPr>
                <w:rFonts w:ascii="Arial" w:cs="Arial" w:eastAsia="Arial" w:hAnsi="Arial"/>
                <w:sz w:val="15"/>
                <w:szCs w:val="15"/>
                <w:b w:val="1"/>
                <w:bCs w:val="1"/>
                <w:color w:val="auto"/>
                <w:w w:val="91"/>
              </w:rPr>
              <w:t>(1)</w:t>
            </w:r>
            <w:r>
              <w:rPr>
                <w:rFonts w:ascii="Arial" w:cs="Arial" w:eastAsia="Arial" w:hAnsi="Arial"/>
                <w:sz w:val="18"/>
                <w:szCs w:val="18"/>
                <w:b w:val="1"/>
                <w:bCs w:val="1"/>
                <w:color w:val="auto"/>
                <w:w w:val="91"/>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jc w:val="right"/>
              <w:ind w:right="12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Operating Data (continued):</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5"/>
                <w:szCs w:val="15"/>
                <w:b w:val="1"/>
                <w:bCs w:val="1"/>
                <w:color w:val="auto"/>
              </w:rPr>
              <w:t>(3)</w:t>
            </w: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Huron Legal </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1" w:lineRule="exact"/>
        <w:rPr>
          <w:rFonts w:ascii="Arial" w:cs="Arial" w:eastAsia="Arial" w:hAnsi="Arial"/>
          <w:sz w:val="18"/>
          <w:szCs w:val="18"/>
          <w:color w:val="auto"/>
        </w:rPr>
      </w:pPr>
    </w:p>
    <w:p>
      <w:pPr>
        <w:ind w:left="460" w:right="28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second quarter of 2014, we revised the methodology we use to allocate revenue between our billable consultants and our full-time equivalents in our Huron Legal segment to better reflect the nature of the work being provided. Operating data for the three and nine months ended September 30, 2014 and 2013, as presented above, reflects this change.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(“Adjusted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198,049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174,735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618,185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509,178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7,126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26,309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Earnings before interest, taxes, depreciation and amortization</w:t>
            </w:r>
          </w:p>
        </w:tc>
        <w:tc>
          <w:tcPr>
            <w:tcW w:w="8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28,819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36,762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119,375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Add back:</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Litigation and other gains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120,181</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93,788</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and other gains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Non-cash interest on convertible notes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Net tax benefit related to “check-the-box” election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adjustments, net of tax</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Adjusted diluted earnings per share from continuing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vMerge w:val="restart"/>
          </w:tcPr>
          <w:p>
            <w:pPr>
              <w:jc w:val="right"/>
              <w:ind w:right="49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costs associated with office space consolidations including the accelerated depreciation of certain leasehold improvements, and severance charges.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 xml:space="preserve">Litigation and other gains: </w:t>
      </w:r>
      <w:r>
        <w:rPr>
          <w:rFonts w:ascii="Arial" w:cs="Arial" w:eastAsia="Arial" w:hAnsi="Arial"/>
          <w:sz w:val="17"/>
          <w:szCs w:val="17"/>
          <w:color w:val="auto"/>
        </w:rPr>
        <w:t>We have excluded the effect of the litigation gain recorded in the first quarter of 2013 and the remeasurement gains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contingent acquisition liability because their exclusion permits comparability with periods that were not impacted by these items.</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Net tax benefit related to “check-the-box” election: </w:t>
      </w:r>
      <w:r>
        <w:rPr>
          <w:rFonts w:ascii="Arial" w:cs="Arial" w:eastAsia="Arial" w:hAnsi="Arial"/>
          <w:sz w:val="18"/>
          <w:szCs w:val="18"/>
          <w:color w:val="auto"/>
        </w:rPr>
        <w:t>We have excluded the effect of the net tax benefit from our “check-the-box” election to treat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wholly-owned foreign subsidiaries as a disregarded entity for U.S. federal income tax purposes during the first quarter of 2014 because its exclusion permits comparability with periods that were not impacted by this item.</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85"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Three Months Ended September 30, 2014 Compared to Three Months Ended September 30, 2013 Revenues</w:t>
      </w:r>
    </w:p>
    <w:p>
      <w:pPr>
        <w:ind w:right="200"/>
        <w:spacing w:after="0" w:line="277" w:lineRule="auto"/>
        <w:rPr>
          <w:sz w:val="20"/>
          <w:szCs w:val="20"/>
          <w:color w:val="auto"/>
        </w:rPr>
      </w:pPr>
      <w:r>
        <w:rPr>
          <w:rFonts w:ascii="Arial" w:cs="Arial" w:eastAsia="Arial" w:hAnsi="Arial"/>
          <w:sz w:val="18"/>
          <w:szCs w:val="18"/>
          <w:color w:val="auto"/>
        </w:rPr>
        <w:t>Revenues increased $23.3 million, or 13.3%, to $198.0 million for the third quarter of 2014 from $174.7 million for the third quarter of 2013. Revenues for the third quarter of 2014 included $18.9 million from businesses that we acquired subsequent to the third quarter of 2013.</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the overall $23.3 million increase in revenues, $22.3 million was attributable to an increase in revenue from our full-time billable consultants and $1.0 million was attributable to our full-time equivalents. The increase in full-time billable consultant revenues was driven by an increase in the average number of billable consultants and average billing rate, partially offset by a decrease in the consultant utilization rate. The increase in revenue from full-time billable consultants primarily reflected strengthened demand for our services in the Huron Healthcare, Huron Business Advisory, and Huron Education and Life Sciences segments. The increase in full-time equivalent revenue was primarily attributable to an increase in the average number of full-time equivalents, partially offset by a decrease in revenue per full-time equivalent. Revenue attributable to full-time equivalents primarily reflected an increase in demand for our discovery services in the Huron Legal segment and an increased use of contractors in the Huron Healthcare segment, partially offset by a decrease in the use of contractors in the Huron Education and Life Sciences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total direct costs increased $24.4 million, or 22.8%, to $131.1 million in the three months ended September 30, 2014, from $106.8 million in the three months ended September 30, 2013. The increase primarily related to a $15.1 million increase in salaries and related expenses for our revenue-generating professionals, a $6.2 million increase in bonus expense for our revenue-generating professionals, a $2.4 million increase in contractor expense, and a $0.4 million increase in intangible asset amortization expense. As a percentage of revenues, our total direct costs increased to 66.2% during the third quarter of 2014 compared to 61.1% during the third quarter of 2013. This increase primarily reflected increases in salaries and related expenses and bonus expense for our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revenue-generating professionals as percentages of revenues during the third quarter of 2014, as well as an increase in contractor expense as a percentage of revenues during the period.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direct costs for the three months ended September 30, 2014 included $3.9 million of share-based compensation expense and $1.2 million of amortization expense for intangible assets and software development costs, primarily representing customer-related assets and software acquired in business combinations. Total direct costs for the three months ended September 30, 2013 included $2.8 million of share-based compensation expense and $0.7 million of amortization expense for intangible assets and software development costs. The increase in share-based compensation expense was primarily attributable to an increase in the amount of restricted stock awards granted to employees in the first nine months of 2014 and an increase in the number of performance-based awards that are expected, as of September 30, 2014, to be earned in 2014 based on 2014 performance, compared to those that were expected, as of September 30, 2013, to be earned based on 2013 performance. The increase in amortization expense was primarily related to the amortization of intangible assets from businesses acquired during the fourth quarter of 2013 and the first half of 2014, as well as an increase in amortization expense for certain software development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Selling, general and administrative expenses increased $2.1 million, or 5.6%, to $39.3 million in the third quarter of 2014 from $37.2 million in the third quarter of 2013. This increase was primarily related to a $1.7 million increase in salaries and related expenses for our support personnel, a $0.9 million increase in promotion and sponsorship expenses, and a $0.5 million increase in facilities and other office related expenses, partially offset by a $0.5 million decrease in legal expenses, a $0.3 million decrease in accounting, tax and audit fees and a $0.3 million decrease in severance expense. As a percentage of revenues, selling, general and administrative expenses decreased to 19.8% during the third quarter of 2014 compared to 21.3% during the third quarter of 2013. This decrease primarily reflected revenue growth that outpaced the increase in salaries and related expenses for our support personnel and decreases in legal expenses, practice administration and meetings expense, accounting, tax and audit fees, and severance expense.</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third quarter of 2014, we determined that the likelihood of payout of the contingent consideration liability incurred in connection with a business acquisition was remote and reduced the fair value of the liability to zero, which resulted in a $0.2 million remeasurement gain. There was no remeasurement gain or loss for the comparable period last year. During the third quarter of 2013, we reached a settlement agreement to resolve a lawsuit brought by the Company, resulting in a gain of $5.3 million during that period.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by $1.3 million to $6.3 million in the three months ended September 30, 2014, from $5.0 million in the three months ended September 30, 2013. The increase primarily related to the amortization of intangible assets from businesses acquired during the fourth quarter of 2013 and first half of 2014. Intangible asset amortization included within operating expenses relates to certain customer relationships, non-competition agreements, trade names, and licenses acquired in connection with our acquisitions.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Operating income decreased $9.8 million, or 31.6%, to $21.3 million in the third quarter of 2014 from $31.1 million in the third quarter of 2013. Operating margin, which is defined as operating income expressed as a percentage of revenues, decreased to 10.7% in the three months ended September 30, 2014, compared to 17.8% in the three months ended September 30, 2013. The decrease in operating margin was primarily attributable to the increases in salaries and related expenses and bonus expense for our revenue-generating professionals as percentages of revenue during the third quarter of 2014, as well as the decrease in litigation and other gains during the third quarter of 2014 compared to the same period last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other expense, net increased by $0.5 million, or 35.4%, to $1.9 million in the third quarter of 2014 from $1.4 million in the third quarter of 2013. The increase was primarily attributable to the increased interest expense due to our Convertible Notes issued in September 2014. For the month of September 2014, the interest expense related to the coupon of the Convertible Notes was $0.2 million and the non-cash interest expense related to the amortization of the debt discount and amortization of debt issuance costs totaled $0.5 million. For the fourth quarter of 2014, we expect interest expense related to the coupon of the Convertible Notes to be $0.8 million and non-cash interest expense related to the amortization of the debt discount and amortization of debt issuance costs to be $2.0 million.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the third quarter of 2014, we recognized income tax expense from continuing operations of $7.1 million on income from continuing operations of $19.3 million. For the third quarter of 2013, we recognized income tax expense from continuing operations of $12.5 million on income from continuing operations of $29.7 million. Our effective tax rate for the third quarter of 2014 was 36.8% compared with 42.2% for the same period last year. The effective tax rate for the three months ended September 30, 2014 was lower than the statutory rate, inclusive of state income taxes, primarily due to the favorable settlement of the IRS audit for years 2009, 2010, and 2011. The effective tax rate for the three months ended September 30, 2013 was higher than the statutory rate, inclusive of state income taxes, primarily due to the impact of foreign losses with no tax benefit and certain non-deductible business expenses, partially offset by the impact of certain credits and deductions.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from continuing operations was $12.2 million for the three months ended September 30, 2014, compared to net income from continuing operations of $17.2 million for the same period last year. The $4.9 million decrease in net income from continuing operations was primarily due to the decrease in operating income, partially offset by the decrease in income tax expense, as discussed above. As a result of the decrease in net income from continuing operations, diluted earnings per share from continuing operations for the third quarter of 2014 was $0.53 compared to $0.75 for the third quarter of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EBITDA decreased $7.9 million to $28.8 million for the three months ended September 30, 2014, from $36.8 million for the three months ended September 30, 2013. Adjusted EBITDA decreased $2.6 million to $28.9 million in the third quarter of 2014 from $31.5 million in the third quarter of 2013. The decrease in EBITDA was primarily due to the decrease in the litigation gain and the decrease in segment operating income, as discussed below in Segment Results, while the decrease in Adjusted EBITDA was primarily due to the decrease in segment operating income.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Adjusted net income from continuing operations decreased $0.6 million to $14.2 million in the third quarter of 2014 compared to $14.8 million in the third quarter of 2013. The decrease was primarily attributable to the decrease in segment operating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Huron Healthcare segment revenues increased $10.9 million, or 12.5%, to $97.8 million for the third quarter of 2014 from $87.0 million for the third quarter of 2013. Revenues for the third quarter of 2014 included $7.6 million from Vonlay, a business that we acquired in the second quarter of 2014. During the three months ended September 30, 2014, revenues from time-and-expense engagements, fixed-fee engagements, performance-based arrangements, and software support and maintenance arrangements represented 7.9%, 66.9%, 19.6%, and 5.6% of this segment’s revenues, respectively, compared to 1.6%, 67.1%, 25.9%, and 5.4%, respectively, for the comparable period in 2013.</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Of the overall $10.9 million increase in revenues, $10.0 million was attributable to our full-time billable consultants and $0.9 million was attributable to our full-time equivalents. The increase in demand for our services reflected the continued pressures our clients face as the result of evolving business models, rising costs, and declining reimbursements from government and commercial payers. The increase in full-time billable consultant revenues reflected an increase in the average number of full-time billable consultants, partially offset by a decrease in the consultant utilization rate. Performance-based fee revenue was $19.2 million during the third quarter of 2014 compared to $22.5 million during the third quarter of 2013. We expect performance-based fees to be greater in the first half of 2014 than in the second half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an increase in the average number of full-time equivalents, partially offset by a decrease in revenue per full-time equivalent in the third quarter of 2014 compared to the same period last year.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Huron Healthcare segment operating income decreased $3.0 million, or 9.9%, to $27.7 million in the three months ended September 30, 2014, from $30.8 million in the three months ended September 30, 2013. The Huron Healthcare segment operating margin, defined as segment operating income expressed as a percentage of segment revenues, decreased to 28.3% for the third quarter of 2014 from 35.4% in the same period last year. The decrease in this segment’s operating margin was primarily attributable to an increase in salaries and related expenses and bonus expense for our revenue-generating professionals as a percentage of revenues, as well as an increase in intangible asset amortization expense as a percentage of revenues.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Huron Legal segment revenues increased $0.9 million, or 2.0%, to $46.1 million for the third quarter of 2014 from $45.3 million for the third quarter of 2013. Revenues from time-and-expense engagements, fixed-fee engagements, and performance-based arrangements represented 92.3%, 2.8%, and 4.9% of this segment’s revenues, respectively, during the three months ended September 30, 2014. During the comparable period in 2013, revenues from time-and-expense engagements, fixed-fee engagements, and support and maintenance arrangements represented 95.9%, 3.4%, and 0.7% of this segment’s revenues, respectively.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Of the overall $0.9 million increase in revenues, $1.5 million was attributable to an increase in revenue generated by our full-time equivalents, partially offset by a $0.6 million decrease in revenue generated by our full-time billable consultants. The increase in revenue attributable to our full-time equivalents was the result of an increase in the average number of full-time equivalents. The decrease in full-time billable consultant revenue reflected a decrease in the average number of full-time billable consultants, partially offset by an increase in the average billing rate and consultant utilization rate.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Huron Legal segment operating income decreased by $4.2 million, or 27.7%, to $10.9 million in the three months ended September 30, 2014, from $15.1 million in the three months ended September 30, 2013. Segment operating margin decreased to 23.7% for the third quarter of 2014 from 33.4% in the same period last year. The decrease in this segment’s operating margin was primarily attributable to an increase in contractor expense and bonus expense for our revenue-generating professionals as percentages of revenues. Increases, as a percentage of revenues, in bonus expense for our support personnel and promotion and sponsorship expenses also contributed to the decrease in operating margin. These decreases in operating margin were partially offset by a decrease in salaries and related expenses for our revenue-generating professionals.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Huron Education and Life Sciences segment revenues increased $1.7 million, or 4.9%, to $36.5 million for the third quarter of 2014 from $34.8 million for the third quarter of 2013. Revenues for the third quarter of 2014 included $3.5 million from The Frankel Group Associates, a business that we acquired in the first quarter of 2014. Revenues from time-and-expense engagements, fixed-fee engagements, and software support and maintenance arrangements represented 71.3%, 23.9%, and 4.8% of this segment’s revenues, respectively, during the three months ended September 30, 2014, compared to 84.3%, 11.6%, and 4.1%, respectively, for the comparable period in 2013.</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overall $1.7 million increase in revenues, $3.4 million was attributable to an increase in revenue generated by our full-time billable consultants, partially offset by a $1.7 million decrease in revenue generated by our full-time equivalents. The increase in revenue from our full-time billable consultants primarily reflected increases in the consultant utilization rate and average billing rate, partially offset by a decrease in the average number of full-time billable consultants. The decrease in revenue from our full-time equivalents was driven by a decrease in both revenue per full-time equivalent and the average number of full-time equivalents.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Huron Education and Life Sciences segment operating income increased $1.7 million, or 21.7%, to $9.5 million in the three months ended September 30, 2014, from $7.8 million in the three months ended September 30, 2013. The Huron Education and Life Sciences segment operating margin increased to 25.9% for the third quarter of 2014 from 22.3% in the same period last year. The increase in this segment’s operating margin was primarily attributable to decreases in contractor expense, practice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administration and meetings expense, and severance expense, as well as a decrease in salaries and related expenses for our revenue-generating professionals as a percentage of revenues. These increases to the operating margin were partially offset by an increase in bonus expense for our revenue-generating professionals.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Huron Business Advisory segment revenues increased $9.9 million, or 137.3%, to $17.1 million for the third quarter of 2014 from $7.2 million for the third quarter of 2013. Revenues for the third quarter of 2014 included $7.7 million from our EPM practice (formerly referred to as Blue Stone International, a business that we acquired during the fourth quarter of 2013). Revenues from time-and-expense engagements, fixed-fee engagements, and performance-based arrangements represented 68.8%, 15.6%, and 15.6% of this segment’s revenues, respectively, during the third quarter of 2014, compared to 71.4%, 22.0%, and 6.6%, respectively, for the comparable period in 2013. Performance-based fee revenue was $2.7 million during the third quarter of 2014, of which $2.5 million was generated by Huron Transaction Advisory LLC, our registered broker-dealer established in the first quarter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overall $9.9 million increase in revenues, $9.3 million was attributable to our full-time billable consultants and $0.6 million was related to our full-time equivalents. The increase in revenue from our full-time billable consultants was driven by an increase in the average number of full-time billable consultants, partially offset by decreases in the average billing rate and consultant utilization rate. The increase in revenue from our full-time equivalents was the result of an increase in the average number of full-time equivalents.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Huron Business Advisory segment operating income increased by $3.7 million to $4.4 million in the three months ended September 30, 2014, compared to $0.7 million in the three months ended September 30, 2013. Segment operating margin increased to 25.7% for the third quarter of 2014 from 9.2% in the same period last year. The increase in this segment’s operating margin was primarily attributable to revenue growth that outpaced the increase in salaries, bonuses, and related expenses for our revenue-generating professionals and support personnel, as well as a decrease in severance expense, partially offset by increases in contractor expense, practice administration and meetings expense, and promotion and sponsorship expense as percentages of revenues.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Nine Months Ended September 30, 2014 Compared to Nine Months Ended September 30, 2013 Revenues</w:t>
      </w:r>
    </w:p>
    <w:p>
      <w:pPr>
        <w:spacing w:after="0"/>
        <w:rPr>
          <w:sz w:val="20"/>
          <w:szCs w:val="20"/>
          <w:color w:val="auto"/>
        </w:rPr>
      </w:pPr>
      <w:r>
        <w:rPr>
          <w:rFonts w:ascii="Arial" w:cs="Arial" w:eastAsia="Arial" w:hAnsi="Arial"/>
          <w:sz w:val="17"/>
          <w:szCs w:val="17"/>
          <w:color w:val="auto"/>
        </w:rPr>
        <w:t>Revenues increased $109.0 million, or 21.4%, to $618.2 million for the first nine months of 2014 from $509.2 million for the first nine months of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nine months of 2014 included $44.9 million from businesses that we acquired subsequent to the third quarter of 2013.</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Of the overall $109.0 million increase in revenues, $86.4 million was attributable to our full-time billable consultants, while $22.6 million was attributable to our full-time equivalents. The increase in full-time billable consultant revenues was driven by an increase in the average number of billable consultants and average billing rate, partially offset by a decrease in the consultant utilization rate. The increase in revenue from full-time billable consultants during the first nine months of 2014 primarily reflected strengthened demand for our services in the Huron Healthcare and Huron Business Advisory segments when compared to the first nine months of 2013. The increase in full-time equivalent revenue was primarily attributable to an increase in the average number of full-time equivalents, as well as an increase in revenue per full-time equivalent. Revenue attributable to full-time equivalents primarily reflected increased demand for our discovery services in the Huron Legal segment, as well as increased use of contractors in the Huron Healthcare segment, partially offset by a decreased use of contractors in the Huron Education and Life Sciences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total direct costs increased $64.3 million, or 20.3%, to $381.4 million in the nine months ended September 30, 2014, from $317.1 million in the nine months ended September 30, 2013. The increase primarily related to a $39.8 million increase in salaries and related expenses for our revenue-generating professionals, an $11.5 million increase in bonus expense for our revenue-generating professionals, an $11.5 million increase in contractor expense, and a $1.6 million increase in amortization expense for intangible assets and software development costs, partially offset by a $0.6 million decrease in technology expense. As a percentage of revenues, our total direct costs decreased to 61.7% during the first nine months of 2014 compared to 62.3% during the first nine months of 2013. This decrease primarily reflected revenue growth that outpaced the increase in salaries and related expenses for our revenue-generating professionals during the first nine months of 2014, as well as the decrease in technology expense during the period, partially offset by increases in contractor expense and bonus expense for our revenue-generating professionals as percentages of revenues during 2014.</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direct costs for the nine months ended September 30, 2014 included $11.7 million of share-based compensation expense and $3.6 million of amortization expense for intangible assets and software development costs, primarily representing customer-related assets and software acquired in business combinations. Total direct costs for the nine months ended September 30, 2013 included $9.7 million of share-based compensation expense and $2.0 million of amortization expense for intangible assets and software development costs. The increase in share-based compensation expense was primarily attributable to an increase in the amount of restricted stock awards granted to employees in the first nine months of 2014 and an increase in the number of performance-based awards that are expected, as of September 30, 2014, to be earned in 2014 based on 2014 performance, compared to those that were expected, as of September 30, 2013, to be earned based on 2013 performance. The increase in amortization expense was primarily related to the amortization of intangible assets from businesses acquired during the fourth quarter of 2013 and the first half of 2014, as well as an increase in amortization expense for certain software development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general and administrative expenses increased $19.8 million, or 19.8%, to $120.1 million in the first three quarters of 2014 from $100.3 million in the first three quarters of 2013. This increase was primarily related to a $7.3 million increase in salaries and related expenses for our support personnel, a $5.9 million increase in bonus expense, a $2.9 million increase in promotion and sponsorship expenses, a $1.3 million increase in facilities and other office related expenses, a $0.9 million increase in outside professional service expenses, and a $0.8 million increase in practice administration and meetings expense, partially offset by a $0.8 million decrease in severance expense. As a percentage of revenues, selling, general and administrative expenses decreased to 19.4% during the first three quarters of 2014 compared to 19.7% during the first three quarters of 2013. This decrease primarily reflected revenue growth that outpaced the increases in salaries and related expenses for our support personnel and facilities and other office related expenses, as well as the decrease in severance expense, partially offset by an increase in bonus expense as a percentage of revenues.</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Restructuring charges for the nine months ended September 30, 2014 totaled $1.4 million, primarily consisting of a $1.2 million pretax charge related to the consolidation of office spaces in Chicago, New York, and London. Of the total $1.2 million charge, $0.8 million related to the accrual of our remaining lease obligations at vacated spaces, net of estimated sublease income, and $0.4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million related to accelerated depreciation of assets disposed of as a result of the space consolidation. The vacated locations in Chicago and New York were acquired as part of business acquisitions during 2013 and 2014. Also included in the total $1.4 million restructuring charge is a $0.1 million pretax charge related to workforce reductions in our London office to better align our resources with market demand in our Huron Legal segment. Restructuring charges for the nine months ended September 30, 2013 totaled $0.6 million, primarily relating to the consolidation of office space in the Washington, D.C. area that was acquired in the AdamsGrayson acquisition in 2012.</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nine months ended September 30, 2014, we recorded remeasurement gains totaling $0.6 million related to the contingent consideration liability incurred in connection with a business acquisition. The initial acquisition date fair value of this liability was $0.6 million. During the second quarter of 2014, we determined that the fair value of our contingent consideration liability had decreased and, as a result, recorded a $0.4 million remeasurement gain. In the third quarter of 2014, we determined that the likelihood of payout of the contingent consideration liability was remote and reduced the fair value of the liability to zero. As a result, we recorded a $0.2 million remeasurement gain to write off the remaining balance of the liability. There was no remeasurement gain or loss for the comparable period last year.</w:t>
      </w:r>
    </w:p>
    <w:p>
      <w:pPr>
        <w:spacing w:after="0" w:line="19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We recorded litigation settlement gains of $6.5 million for the nine months ended September 30, 2013. During the third quarter of 2013, we reached a settlement agreement to resolve a lawsuit brought by Huron, resulting in a gain of $5.3 million during that period. During the second quarter of 2012, we conducted preliminary settlement discussions with the relator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discussed in “Legal Proceedings” and in Note 12 “Commitments, Contingencies and Guarantees,” and as a result, we recorded a charge of $1.2 million, in accordance with Accounting Standards Codification (“ASC”) 450, </w:t>
      </w:r>
      <w:r>
        <w:rPr>
          <w:rFonts w:ascii="Arial" w:cs="Arial" w:eastAsia="Arial" w:hAnsi="Arial"/>
          <w:sz w:val="16"/>
          <w:szCs w:val="16"/>
          <w:i w:val="1"/>
          <w:iCs w:val="1"/>
          <w:color w:val="auto"/>
        </w:rPr>
        <w:t>Contingencies</w:t>
      </w:r>
      <w:r>
        <w:rPr>
          <w:rFonts w:ascii="Arial" w:cs="Arial" w:eastAsia="Arial" w:hAnsi="Arial"/>
          <w:sz w:val="16"/>
          <w:szCs w:val="16"/>
          <w:color w:val="auto"/>
        </w:rPr>
        <w:t>. On March 8, 2013, the Court granted Huron’s motion for summary judgment and dismissed the relator’s second amended complaint in its</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with prejudice. As a result, during the first quarter of 2013, we reversed the charge of $1.2 million taken during 2012.</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Depreciation and amortization expense increased by $4.0 million to $18.6 million in the nine months ended September 30, 2014, from $14.6 million in the nine months ended September 30, 2013. The increase primarily related to the amortization of intangible assets from businesses acquired during the fourth quarter of 2013 and first half of 2014, as well as the depreciation of network equipment and leasehold improvements that were placed into service during the second half of 2013 and first half of 2014. Intangible asset amortization included within operating expenses relates to certain customer relationships, non-competition agreements, trade names, and licenses acquired in connection with our acquisitions.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income increased $14.1 million, or 17.0%, to $97.1 million in the first nine months of 2014 from $83.0 million in the first nine months of 2013. Operating margin, which is defined as operating income expressed as a percentage of revenues, decreased to 15.7% in the nine months ended September 30, 2014, compared to 16.3% in the nine months ended September 30, 2013. The decrease in operating margin was primarily attributable to the decrease in litigation and other gains, as well as increases, as a percentage of revenue, in bonus expense for both our revenue-generating professional and support personnel and contractor expense during the first nine months of 2014 compared to the same period last year. These operating margin decreases were partially offset by revenue growth that outpaced the increase in salaries and related expenses for our revenue-generating professionals and support personnel, as well as decreases in technology expense and severance expense.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Total other expense, net decreased by $0.6 million to $4.6 million in the first nine months of 2014 from $5.1 million in the first nine months of 2013. Interest expense, net of interest income decreased by $0.3 million, primarily resulting from a decrease in our borrowing levels under our senior secured credit facility, partially offset by interest expense recorded for our Convertible Notes issued in September 2014. For the month of September 2014, the interest expense related to the coupon of the Convertible Notes was $0.2 million and the non-cash interest expense related to the amortization of the debt discount and amortization of debt issuance costs totaled $0.5 million. For the full year 2014, we expect interest expense related to the coupon of the Convertible Notes to be $1.0 million and non-cash interest expense related to the amortization of the debt discount and amortization of debt issuance costs to be $2.5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first nine months of 2014, we recognized income tax expense from continuing operations of $26.3 million on income from continuing operations of $92.6 million. For the first nine months of 2013, we recognized income tax expense from continuing operations of $33.5 million on income from continuing operations of $77.9 million. Our effective tax rate for the first nine months of 2014 was 28.4% compared with 43.1% for the same period last year. The effective tax rate for the nine months ended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September 30, 2014 was lower than the statutory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related to the establishment of a valuation allowance for certain foreign tax credits and increased deferred tax liabilities as a result of the aforementioned election. The effective tax rate for the nine months ended September 30, 2013 was higher than the statutory rate, inclusive of state income taxes, primarily due to the impact of foreign losses with no tax benefit and certain non-deductible business expenses, partially offset by the impact of certain credits and deductions.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income from continuing operations was $66.3 million for the nine months ended September 30, 2014, compared to net income from continuing operations of $44.3 million for the same period last year. The $21.9 million increase in net income from continuing operations was primarily due to the increase in operating income, as well as the decrease in income tax expense, as discussed above. As a result of the increase in net income from continuing operations, diluted earnings per share from continuing operations for the first nine months of 2014 was $2.87 compared to $1.95 for the first nine months of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EBITDA increased $19.7 million to $119.4 million for the nine months ended September 30, 2014, from $99.6 million for the nine months ended</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September 30, 2013. Adjusted EBITDA increased $26.4 million to $120.2 million in the first nine months of 2014 from $93.8 million in the first nine months of 2013. The increase in EBITDA was primarily due to the increase in segment operating income, as discussed below in Segment Results, partially offset by the decrease in litigation gains and an increase in corporate expenses, while the increase in Adjusted EBITDA was primarily due to the increase in segment operating income, partially offset by an increase in corporate expenses.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net income from continuing operations increased $18.3 million to $61.7 million in the first nine months of 2014 compared to $43.4 million in the first nine months of 2013. The increase was primarily attributable to the increase in operating income, partially offset by a higher tax expense when excluding the tax benefit related to our “check-the-box” election.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Huron Healthcare segment revenues increased $61.7 million, or 25.2%, to $306.3 million for the first nine months of 2014 from $244.6 million for the first nine months of 2013. Revenues for the first nine months of 2014 included $12.7 million from Vonlay, a business that we acquired in the second quarter of 2014. During the nine months ended September 30, 2014, revenues from time-and-expense engagements, fixed-fee engagements, performance-based arrangements, and software support and maintenance arrangements represented 5.1%, 67.3%, 22.8%, and 4.8% of this segment’s revenues, respectively, compared to 1.6%, 69.2%, 24.1%, and 5.1%, respectively, for the comparable period in 2013.</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overall $61.7 million increase in revenues, $59.6 million was attributable to our full-time billable consultants and $2.1 million was attributable to our full-time equivalents. The increase in demand for our services reflected the continued pressures our clients face as the result of evolving business models, rising costs, and declining reimbursements from government and commercial payers. The increase in full-time billable consultant revenues reflected increases in average number of full-time billable consultants and the average billing rate, partially offset by a decrease in the consultant utilization rate. Performance-based fee revenue was $69.9 million during the first nine months of 2014 compared to $59.0 million during the first nine months of 2013. We expect performance-based fees to be greater in the first half of 2014 than in the second half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increases in both the average number of full-time equivalents and revenue per full-time equivalent during the first nine months of 2014 compared to the same period last year.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Huron Healthcare segment operating income increased $26.0 million, or 28.4%, to $117.4 million in the nine months ended September 30, 2014, from $91.4 million in the nine months ended September 30, 2013. The Huron Healthcare segment operating margin, defined as segment operating income expressed as a percentage of segment revenues, increased to 38.3% for the first nine months of 2014 from 37.4% in the same period last year. The increase in this segment’s operating margin was primarily attributable to revenue growth that outpaced the increase in salaries and related expenses for our revenue-generating professionals, partially offset by an increase in bonus expense for our revenue-generating professionals as a percentage of revenues.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Huron Legal segment revenues increased $23.1 million, or 17.6%, to $154.4 million for the first nine months of 2014 from $131.3 million for the first nine months of 2013. Revenues from time-and-expense engagements, fixed-fee engagements, performance-based arrangements, and software support and maintenance arrangements represented 95.9%, 2.5%, 1.5%, and 0.1% of this segment’s revenues, respectively, during the nine months ended September 30, 2014. During the comparable period in 2013, revenues from time-and-expense engagements, fixed-fee engagements, and software support and maintenance arrangements represented 95.3%, 4.2%, and 0.5% of this segment’s revenues, respectively.</w:t>
      </w:r>
    </w:p>
    <w:p>
      <w:pPr>
        <w:spacing w:after="0" w:line="17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Of the overall $23.1 million increase in revenues, $20.9 million was attributable to an increase in revenue generated by our full-time equivalents and $2.2 million was related to our full-time billable consultants. The increase in revenue attributable to our full-time equivalents was the result of an increase in both the average number of full-time equivalents and revenue per full-time equivalent. The increase in full-time billable consultant revenue reflected increases in the consultant utilization rate and average billing rate, partially offset by a decrease in the average number of full-time billable consultants.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Huron Legal segment operating income increased by $10.4 million, or 35.9%, to $39.2 million in the nine months ended September 30, 2014, from $28.9 million in the nine months ended September 30, 2013. Segment operating margin increased to 25.4% for the first nine months of 2014 from 22.0% in the same period last year. The increase in this segment’s operating margin was primarily attributable to a decrease in salaries and related expenses for our revenue-generating professionals. Decreases in technology expense, rent and utility expense for our document review centers, restructuring expense, and severance expense also contributed to the increase in operating margin, partially offset by increases in contractor expense and bonus expense for our revenue-generating professionals and support personnel as percentages of revenues.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Huron Education and Life Sciences segment revenues increased slightly to $107.8 million for the first nine months of 2014 from $107.7 million for the first nine months of 2013. Revenues for the first nine months of 2014 included $10.6 million from The Frankel Group Associates, a business that we acquired in the first quarter of 2014. Revenues from time-and-expense engagements, fixed-fee engagements, and software support and maintenance arrangements represented 71.2%, 24.3%, and 4.5% of this segment’s revenues, respectively, during the first nine months of 2014, compared to 81.1%, 15.0%, and 3.9%, respectively, for the first nine months of 2013.</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overall $0.2 million increase in revenues, $2.2 million was attributable to an increase in revenue generated by our full-time billable consultants, which was mostly offset by a $2.0 million decrease in revenue generated by our full-time equivalents. The increase in revenue from our full-time billable consultants reflected an increase in consultant utilization rate and average billing rate, partially offset by a decrease in the average number of full-time billable consultants. The decrease in revenue attributable to our full-time equivalents reflected decreases in both revenue per full-time equivalent and the average number of full-time equivalents.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Huron Education and Life Sciences segment operating income decreased $1.1 million, or 4.0%, to $27.5 million for the nine months ended September 30, 2014, from $28.7 million for the nine months ended September 30, 2013. The Huron Education and Life Sciences segment operating margin decreased to 25.5% for the first nine months of 2014 from 26.6% in the same period last year. The decrease in this segment’s operating margin was primarily attributable to an increase in salaries and related expenses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both our revenue-generating professionals and support personnel as a percentage of revenues, as well as an increase in promotion and sponsorship expenses as a percentage of revenues, partially offset by decreases in contractor expense and practice administration and meetings expense.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Huron Business Advisory segment revenues increased $22.0 million, or 87.9%, to $47.1 million for the first nine months of 2014 from $25.1 million for the first nine months of 2013. Revenues for the first nine months of 2014 included $21.6 million from our EPM practice (formerly referred to as Blue Stone International, a business that we acquired during the fourth quarter of 2013). Revenues from time-and-expense engagements, fixed-fee engagements, and performance-based arrangements represented 78.8%, 14.1%, and 7.1% of this segment’s revenues, respectively, during the first nine months of 2014, compared to 77.1%, 19.0%, and 3.9%, respectively, for the comparable period in 2013. Performance-based fee revenue was $3.3 million during the first nine months of 2014, of which $2.5 million was generated by Huron Transaction Advisory LLC, our registered broker-dealer established in the first quarter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8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Of the overall $22.0 million increase in revenues, $20.8 million was attributable to our full-time billable consultants and $1.2 million was related to our full-time equivalents. The increase in revenue from our full-time billable consultants was driven by an increase in the average number of full-time billable consultants, partially offset by decreases in the average billing rate and consultant utilization rate. The increase in revenue attributable to our full-time equivalents reflected an increase in the average number of full-time equivalents, partially offset by a decrease in revenue per full-time equivalent.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Huron Business Advisory segment operating income increased by $4.1 million, or 51.1%, to $12.1 million in the nine months ended September 30, 2014, compared to $8.0 million in the nine months ended September 30, 2013. Segment operating margin decreased to 25.7% for the first nine months of 2014 from 31.9% in the same period last year. The decrease in this segment’s operating margin was primarily attributable to increases in salaries and related expenses for our revenue-generating professionals and contractor expenses as percentages of revenues. Increases in promotion and sponsorship expense, intangible asset amortization expense, and practice administration and meetings expense, all as percentages of revenues, also contributed to the decrease in the segment’s operating margin, partially offset by a decrease in bonus expense for our revenue-generating professionals as a percentage of revenues and a decrease in severance expense.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Cash and cash equivalents increased $167.8 million, from $58.1 million at December 31, 2013 to $225.9 million at September 30, 2014. As of September 30, 2014, our primary sources of liquidity are cash, cash flows from our U.S. operations, and debt capacity available under our credit facility.</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(in 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Net cash provided by</w:t>
            </w: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$ 47,762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(81,700)</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98"/>
              </w:rPr>
              <w:t>$(18,291)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157,382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$(23,829)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provided by operating activities totaled $92.1 million for the nine months ended September 30, 2014, and $47.8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 The increase in cash provided by operations was primarily attributable to higher net income and increased collections of receivables from clients during the first nine months of 2014 when compared with the first nine months of 2013, partially offset by an increase in the amount paid for annual performance bonuses during the first quarter of 2014 and an increase in unbilled services from clients during the first nine months of 2014 when compared with the first nine months of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used in investing activities was $81.7 million for the nine months ended September 30, 2014, and $18.3 million for the same period last year. The use of cash in the first nine months of 2014 primarily consisted of $51.7 million for purchases of businesses, $16.7 million for purchases of property and equipment, and $12.5 million for the purchase of a convertible debt investment. The use of cash in the first nine months of 2013 primarily consisted of purchases of property and equipment totaling $16.4 million.</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estimate that the cash utilized for purchases of property and equipment in 2014 will be approximately $30.0 million, primarily consisting of information technology related equipment and leasehold improvements to support the continued growth of our document review and processing services, as well as information technology related equipment to support our corporate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cash provided by financing activities was $157.4 million for the nine months ended September 30, 2014, compared to net cash used in financing activities of $23.8 million for the same period last year. In September 2014, we issued $250 million principal amount of the Convertible Notes, which provided proceeds of $242.7 million, net of issuance costs. In connection with the issuance of the Convertible Notes, we paid $42.1 million for the convertible note hedge transactions and received $23.6 million for the sale of warrants. Borrowings made under our credit facility to fund operations during the first nine months of 2014 totaled $129.0 million, with repayments during the period totaling $147.8 million. During the first nine months of 2014, we repurchased and retired $45.1 million of our common stock under the February 2014 Share Repurchase Program. Under this program, which was authorized by the Company’s board of directors in February 2014, the Company may, from time to time, repurchase up to $50 million of its common stock through February 28, 2015. The amount and timing of the repurchases will be determined by management and will depend on a variety of factors, including the trading price of the Company’s common stock, general market and business conditions, and applicable legal requirements. As of September 30, 2014, $4.9 million remained available for share repurchases under the February 2014 Share Repurchase Program. In October 2014, we completed the February 2014 Share Repurchase Program.</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2014, our board of directors authorized an additional share repurchase program pursuant to which the Company may, from time to time, repurchase up to $50 million of its common stock through October 31, 2015.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Borrowings made under our credit facility during the first nine months of 2013 totaled $83.5 million, with repayments totaling $101.0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September 30, 2014, we had $250 million principal amount of our 1.25% convertible senior notes outstanding and $150 million outstanding under our term loan, as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6 “Financing Arrangements” within the notes to the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as amended, with various financial institutions (as amended and modified, the “2011 Credit Agreement”).</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principal balance of the Term Loan is subject to scheduled quarterly principal payments. As of September 30, 2014, the quarterly principal payments are $6.3 million and increase to $7.5 million beginning June 30, 2015 until the maturity date of September 25, 2018, at which time a final payment of $40 million, plus any accrued and unpaid interest, will be due, as set forth in the 2011 Credit Agreement. Any outstanding borrowings under the Revolver, as amended, will be due upon expiration of the 2011 Credit Agreement on September 25, 2018.</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borrowing capacity under the 2011 Credit Agreement is reduced by any outstanding letters of credit and payments under the Term Loan. At</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September 30, 2014, outstanding letters of credit totaled $5.1 million and are primarily used as security deposits for our office facilities. As of September 30, 2014, the unused borrowing capacity under the 2011 Credit Agreement was $242.4 million. Borrowings outstanding under this credit facility at September 30, 2014 totaled $150.0 million. These borrowings carried a weighted average interest rate of 2.0%, including the effect of the interest rate swaps described in Note 8 “Derivative Instruments and Hedging Activity.” During the first nine months of 2014, the average daily outstanding balance under our credit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facility was $170.3 million. Borrowings outstanding at December 31, 2013 were $168.8 million and carried a weighted average interest rate of 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6 “Financing Arrangements” within the 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2013.</w:t>
      </w:r>
    </w:p>
    <w:p>
      <w:pPr>
        <w:spacing w:after="0" w:line="14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September 2014 we issued the Convertible Notes described above. We are not required to make principal payments under the Convertible Notes prior to maturity. If the Convertible Notes are not converted to shares of our common stock prior to their maturity date, we are required to repay the $250 million in principal on October 1, 2019. We are also required to make interest payments on a semi-annual basis at the annual rate of 1.25%.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our contractual obligations since December 31,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August 2014, the Financial Accounting Standards Board (“FASB”) issued Accounting Standards Update (“ASU”) No.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Statements—Going Concern (Subtopic 205-40): Disclosure of Uncertainties about an Entity’s Ability to Continue as a Going Concern</w:t>
      </w:r>
      <w:r>
        <w:rPr>
          <w:rFonts w:ascii="Arial" w:cs="Arial" w:eastAsia="Arial" w:hAnsi="Arial"/>
          <w:sz w:val="17"/>
          <w:szCs w:val="17"/>
          <w:color w:val="auto"/>
        </w:rPr>
        <w:t>. This ASU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evaluate, at each interim and annual reporting period, whether there are conditions or events that raise substantial doubt about an entity’s ability to continue as a going concern within one year after the date the financial statements are issued and provide related footnote disclosures. The guidance will be effective for the Company for the fiscal year ending December 31, 2016, with early adoption permitted. We do not expect the adoption of this guidance to have a material impact on our consolidated financial statements.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Achieved after the Requisite Service Period</w:t>
      </w:r>
      <w:r>
        <w:rPr>
          <w:rFonts w:ascii="Arial" w:cs="Arial" w:eastAsia="Arial" w:hAnsi="Arial"/>
          <w:sz w:val="17"/>
          <w:szCs w:val="17"/>
          <w:color w:val="auto"/>
        </w:rPr>
        <w:t>. This guidance requires that a performance target that affects vesting and could be achieved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requisite service period be treated as a performance condition. A reporting entity should apply existing guidance in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it relates to such awards. This guidance is effective for the Company beginning in the first quarter of 2016, with early adoption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of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with the cumulative effect of applying the amendments as an adjustment to the opening retained earnings balance as of the beginning of the earliest annual period presented in the financial statements. We do not expect the adoption of this guidance to have a material impact on our consolidated financial statements.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guidance is effective for the Company beginning in the first quarter of 2017 and is to be applied retrospectively to each period presented or as a cumulative-effect adjustment as of the date of adoption. Early adoption is not permitted. We are currently evaluating the potential effect of adopting this guidance on our consolidated financial statements, as well as the transition methods.</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Discontinued Operations and Disclosures of Disposals of Components of an Entity</w:t>
      </w:r>
      <w:r>
        <w:rPr>
          <w:rFonts w:ascii="Arial" w:cs="Arial" w:eastAsia="Arial" w:hAnsi="Arial"/>
          <w:sz w:val="16"/>
          <w:szCs w:val="16"/>
          <w:color w:val="auto"/>
        </w:rPr>
        <w:t>. This guidance includes amendments that change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guidance requires that an unrecognized tax benefit, or a portion of an unrecognized tax benefit, be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March 2013, the FASB issued ASU No. 2013-05, </w:t>
      </w:r>
      <w:r>
        <w:rPr>
          <w:rFonts w:ascii="Arial" w:cs="Arial" w:eastAsia="Arial" w:hAnsi="Arial"/>
          <w:sz w:val="18"/>
          <w:szCs w:val="18"/>
          <w:i w:val="1"/>
          <w:iCs w:val="1"/>
          <w:color w:val="auto"/>
        </w:rPr>
        <w:t>Parent’s Accounting for the Cumulative Translation Adjustment Upon Derecognition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or Groups of Assets Within a Foreign Entity or of an Investment in a Foreign Entity</w:t>
      </w:r>
      <w:r>
        <w:rPr>
          <w:rFonts w:ascii="Arial" w:cs="Arial" w:eastAsia="Arial" w:hAnsi="Arial"/>
          <w:sz w:val="18"/>
          <w:szCs w:val="18"/>
          <w:color w:val="auto"/>
        </w:rPr>
        <w:t>, which amends current accounting guidance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October 1, 2014, we completed our acquisition of Threshold Consulting, Inc., a provider of cloud-based Software as a Service (SaaS) applications, data warehousing and business intelligence (BI) solutions, as well as customer relationship management (CRM) consulting services. The results of operations of Threshold will be included within the Huron Business Advisory segment.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value of the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remaining carrying value of our Convertible Notes was $211.1 million as of September 31, 2014, which represents the liability component of the $250 million principal balance. The total estimated fair value of our Convertible Notes at September 30, 2014 was $241.6 million, and was determined based on the quoted bid price of the Convertible Notes in an over-the-counter market as of the last day of trading for the third quarter of 2014, which was $96.625 per $100 principal amount.</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 transactions are intended to reduce the potential future economic dilution associated with the conversion of the Convertible Notes and, combined with the warrants, to increase the initial conversion price to approximately $97.12 per share. Under the convertible note hedge transactions, we have the option to purchase a total of approximately 3.1 million shares of our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w:t>
      </w:r>
    </w:p>
    <w:p>
      <w:pPr>
        <w:spacing w:after="0" w:line="166"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the LIBOR, Federal Funds Rate, Prime Rate, or Eurodollar Rate. At September 30, 2014, we had borrowings outstanding under the credit facility totaling $150.0 million that carried a weighted average interest rate of 2.0% including the effect of the interest rate swaps described below. A hypothetical 100 basis point change in this interest rate would have a $0.3 million effect on our pretax income including the effect of the interest rate swaps.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the impact of the above swap agreements, the effective interest rate on $120.0 million of our variable-rate debt, which equals the notional amount of the swap agreements in effect at September 30, 2014, was 2.2%.</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a non-interest bearing convertible debt investment in a privately-held company, which we account for as an available for sale security. As such, the investment is carried at fair value with unrealized holding gains and losses excluded from earnings and reported in other comprehensive income. As of September 30, 2014, the fair value of the investment was $12.8 million, with a total cost basis of $12.5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2014. Based on this evaluation, our Chief Executive Officer and Chief Financial Officer have concluded that, as of September 30, 2014,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September 30, 2014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qui tam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“qui tam” actions) alleging that false or fraudulent claims were knowingly submitted to the government. Once a qui tam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On May 22, 2014, the United States Court of Appeals for the Second Circuit upheld the lower court’s decision, which granted summary judgment to Huron. The relator did not file a petition for writ of certiorari with the United States Supreme Court, and therefore the litigation is concluded.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1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We believe the Litigation Trust’s allegations with respect to Huron are without merit and will vigorously defend ourselves should any claim arising out of these alleged facts and circumstances be asserted against us by the Litigation Trust.</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information updates, and should be read in conjunction with, the information disclosed in Part 1, Item 1A, “Risk Factors” of our Annual Report on Form 10-K for the fiscal year ended December 31, 2013, which was filed with the Securities and Exchange Commission on February 26, 2014.</w:t>
      </w:r>
    </w:p>
    <w:p>
      <w:pPr>
        <w:spacing w:after="0" w:line="12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At September 30, 2014, we had outstanding indebtedness totaling $361.1 million, including $250 million principal amount of our 1.25% convertible senior notes. Our ability to make scheduled payments of the principal of, to pay interest on,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7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because some of our borrowings are at variable interest rates;</w:t>
      </w:r>
    </w:p>
    <w:p>
      <w:pPr>
        <w:spacing w:after="0" w:line="130"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and flexibility in planning for, or reacting to, changes in our business and our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or have better access to capital resources;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if the conditional conversion feature of our convertible notes is triggered, even if holders do not elect to convert their convertible notes, we could be required under applicable accounting rules to reclassify all of the outstanding principal of our convertible notes as a current, rather than long-term, liability, which would result in a material reduction of our net working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 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 itself could also lead to a default under agreements governing our other indebtedness, which in turn may result in the acceleration of such other indebtedness we may then have outstanding. If the repayment of the other indebtedness were to be accelerated, we may not have sufficient funds to repay that indebtedness and to repurchase our convertible notes or to pay the amount of cash (if any) due upon conversion.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convertible note hedge transactions and the warrant transactions may affect the value of our convertible notes and our common stock.</w:t>
      </w:r>
    </w:p>
    <w:p>
      <w:pPr>
        <w:spacing w:after="0" w:line="24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September 30, 2014, we reacquired 4,791 shares of common stock with a weighted average fair market value of $66.96 as a result of such tax withholdings.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20, 2014, the Company’s board of directors authorized a share repurchase program pursuant to which the Company may, from time to time, repurchase up to $50 million of its common stock through February 28, 2015 (the “February 2014 Share Repurchase Program”).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we made of our common stock during the quarter ended September 30, 2014.</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Dollar 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2"/>
                <w:szCs w:val="12"/>
                <w:color w:val="auto"/>
              </w:rPr>
            </w:pPr>
          </w:p>
        </w:tc>
        <w:tc>
          <w:tcPr>
            <w:tcW w:w="13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Average Price</w:t>
            </w: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52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4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3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or Programs</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2014 – July 31, 2014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3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4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40,460,749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August 1, 2014 – August 31, 2014</w:t>
            </w:r>
          </w:p>
        </w:tc>
        <w:tc>
          <w:tcPr>
            <w:tcW w:w="840" w:type="dxa"/>
            <w:vAlign w:val="bottom"/>
          </w:tcPr>
          <w:p>
            <w:pPr>
              <w:jc w:val="right"/>
              <w:spacing w:after="0"/>
              <w:rPr>
                <w:sz w:val="20"/>
                <w:szCs w:val="20"/>
                <w:color w:val="auto"/>
              </w:rPr>
            </w:pPr>
            <w:r>
              <w:rPr>
                <w:rFonts w:ascii="Arial" w:cs="Arial" w:eastAsia="Arial" w:hAnsi="Arial"/>
                <w:sz w:val="18"/>
                <w:szCs w:val="18"/>
                <w:color w:val="auto"/>
              </w:rPr>
              <w:t>95,710</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62.58</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94,690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34,530,037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2014 – September 30, 2014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473,634</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62.61</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473,100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572,581</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62.64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567,790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right="240" w:hanging="45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shares repurchased includes 3,237 shares in July 2014, 1,020 shares in August 2014, and 534 shares in September 2014 to satisfy employee tax withholding requirements. These shares do not reduce the repurchase authority under the February 2014 Share Repurchase Program.</w:t>
      </w:r>
    </w:p>
    <w:p>
      <w:pPr>
        <w:ind w:left="460" w:right="58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the end of the period. In October 2014, we purchased 79,752 shares for a total cost of $4.9 million, completing the February 2014 Share Repurchase Program.</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2014, our board of directors authorized an additional share repurchase program pursuant to which the Company may, from time to time, repurchase up to $50 million of its common stock through October 31, 2015.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24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54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6"/>
                <w:szCs w:val="16"/>
                <w:color w:val="auto"/>
              </w:rPr>
            </w:pPr>
          </w:p>
        </w:tc>
        <w:tc>
          <w:tcPr>
            <w:tcW w:w="5420" w:type="dxa"/>
            <w:vAlign w:val="bottom"/>
          </w:tcPr>
          <w:p>
            <w:pPr>
              <w:ind w:left="210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3"/>
              </w:rPr>
              <w:t>Indenture (including Form of Note) with respect to the Company’s 1.25%</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7"/>
              </w:rPr>
              <w:t>Convertible Senior Notes due 2019, dated as of September 10, 2014,</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between Huron Consulting Group, Inc. and U.S. Bank National</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Association, as trustee.</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7"/>
              </w:rPr>
              <w:t>Amendment No. 5 to the Credit Agreement, dated as of September 3,</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2014, by and among Huron Consulting Group Inc., as the Borrower,</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certain subsidiaries as Guarantors, and Bank of America, N.A., as</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Administrative Agent for and on behalf of the Lenders.</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6"/>
              </w:rPr>
              <w:t>Purchase Agreement, dated as of September 4, 2014, between Huron</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Consulting Group Inc. and Merrill Lynch, Pierce, Fenner &amp; Smith</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4"/>
              </w:rPr>
              <w:t>Incorporated and J.P. Morgan Securities LLC, as Representatives of the</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several Initial Purchasers.</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8"/>
              </w:rPr>
              <w:t>Base Convertible Bond Hedge Transaction Confirmation, dated as of</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6"/>
              </w:rPr>
              <w:t>September 4, 2014, by and between Huron Consulting Group Inc. and</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Bank of America, N.A.</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8"/>
              </w:rPr>
              <w:t>Base Convertible Bond Hedge Transaction Confirmation, dated as of</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0"/>
              </w:rPr>
              <w:t>September 4, 2014, by and between Huron Consulting Group Inc. and J.P.</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3"/>
              </w:rPr>
              <w:t>Morgan Securities LLC, as an agent for JPMorgan Chase Bank, National</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Association, London Branch.</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2"/>
              </w:rPr>
              <w:t>Base Issuer Warrant Transaction Confirmation, dated as of September 4,</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1"/>
              </w:rPr>
              <w:t>2014, by and between Huron Consulting Group Inc. and Bank of America,</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N.A.</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2"/>
              </w:rPr>
              <w:t>Base Issuer Warrant Transaction Confirmation, dated as of September 4,</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8"/>
              </w:rPr>
              <w:t>2014, by and between Huron Consulting Group Inc. and J.P. Morgan</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Securities LLC, as an agent for JPMorgan Chase Bank, National</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Association, London Branch.</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2"/>
              </w:rPr>
              <w:t>Additional Convertible Bond Hedge Transaction Confirmation, dated as of</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5"/>
              </w:rPr>
              <w:t>September 10, 2014, by and between Huron Consulting Group Inc. and</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Bank of America, N.A.</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2"/>
              </w:rPr>
              <w:t>Additional Convertible Bond Hedge Transaction Confirmation, dated as of</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89"/>
              </w:rPr>
              <w:t>September 10, 2014, by and between Huron Consulting Group Inc. and J.P.</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3"/>
              </w:rPr>
              <w:t>Morgan Securities LLC, as an agent for JPMorgan Chase Bank, National</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Association, London Branch.</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Additional Issuer Warrant Transaction Confirmation, dated as of</w:t>
            </w:r>
          </w:p>
        </w:tc>
      </w:tr>
      <w:tr>
        <w:trPr>
          <w:trHeight w:val="216"/>
        </w:trPr>
        <w:tc>
          <w:tcPr>
            <w:tcW w:w="520" w:type="dxa"/>
            <w:vAlign w:val="bottom"/>
          </w:tcPr>
          <w:p>
            <w:pPr>
              <w:spacing w:after="0"/>
              <w:rPr>
                <w:sz w:val="18"/>
                <w:szCs w:val="18"/>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w w:val="95"/>
              </w:rPr>
              <w:t>September 10, 2014, by and between Huron Consulting Group Inc. and</w:t>
            </w:r>
          </w:p>
        </w:tc>
      </w:tr>
      <w:tr>
        <w:trPr>
          <w:trHeight w:val="230"/>
        </w:trPr>
        <w:tc>
          <w:tcPr>
            <w:tcW w:w="520" w:type="dxa"/>
            <w:vAlign w:val="bottom"/>
          </w:tcPr>
          <w:p>
            <w:pPr>
              <w:spacing w:after="0"/>
              <w:rPr>
                <w:sz w:val="20"/>
                <w:szCs w:val="20"/>
                <w:color w:val="auto"/>
              </w:rPr>
            </w:pP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Bank of America, N.A.</w:t>
            </w:r>
          </w:p>
        </w:tc>
      </w:tr>
      <w:tr>
        <w:trPr>
          <w:trHeight w:val="365"/>
        </w:trPr>
        <w:tc>
          <w:tcPr>
            <w:tcW w:w="520" w:type="dxa"/>
            <w:vAlign w:val="bottom"/>
          </w:tcPr>
          <w:p>
            <w:pPr>
              <w:spacing w:after="0"/>
              <w:rPr>
                <w:sz w:val="24"/>
                <w:szCs w:val="24"/>
                <w:color w:val="auto"/>
              </w:rPr>
            </w:pPr>
          </w:p>
        </w:tc>
        <w:tc>
          <w:tcPr>
            <w:tcW w:w="6020" w:type="dxa"/>
            <w:vAlign w:val="bottom"/>
            <w:gridSpan w:val="2"/>
          </w:tcPr>
          <w:p>
            <w:pPr>
              <w:ind w:left="510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Filed</w:t>
            </w: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Furnished</w:t>
            </w: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1"/>
              </w:rPr>
              <w:t>Incorporated by Reference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30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Period</w:t>
            </w: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herewith</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herewith</w:t>
            </w: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Ending</w:t>
            </w:r>
          </w:p>
        </w:tc>
        <w:tc>
          <w:tcPr>
            <w:tcW w:w="760" w:type="dxa"/>
            <w:vAlign w:val="bottom"/>
            <w:gridSpan w:val="2"/>
            <w:vMerge w:val="continue"/>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4"/>
        </w:trPr>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9/16/14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9/3/14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9/5/14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9/5/14</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9/5/14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9/5/14</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9/5/14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9/16/14</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9/16/14</w:t>
            </w:r>
          </w:p>
        </w:tc>
        <w:tc>
          <w:tcPr>
            <w:tcW w:w="0" w:type="dxa"/>
            <w:vAlign w:val="bottom"/>
          </w:tcPr>
          <w:p>
            <w:pPr>
              <w:spacing w:after="0"/>
              <w:rPr>
                <w:sz w:val="1"/>
                <w:szCs w:val="1"/>
                <w:color w:val="auto"/>
              </w:rPr>
            </w:pPr>
          </w:p>
        </w:tc>
      </w:tr>
      <w:tr>
        <w:trPr>
          <w:trHeight w:val="972"/>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9/16/14</w:t>
            </w:r>
          </w:p>
        </w:tc>
        <w:tc>
          <w:tcPr>
            <w:tcW w:w="0" w:type="dxa"/>
            <w:vAlign w:val="bottom"/>
          </w:tcPr>
          <w:p>
            <w:pPr>
              <w:spacing w:after="0"/>
              <w:rPr>
                <w:sz w:val="1"/>
                <w:szCs w:val="1"/>
                <w:color w:val="auto"/>
              </w:rPr>
            </w:pPr>
          </w:p>
        </w:tc>
      </w:tr>
    </w:tbl>
    <w:p>
      <w:pPr>
        <w:sectPr>
          <w:pgSz w:w="11900" w:h="16838" w:orient="portrait"/>
          <w:cols w:equalWidth="0" w:num="2">
            <w:col w:w="6540" w:space="320"/>
            <w:col w:w="456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0" w:type="dxa"/>
            <w:vAlign w:val="bottom"/>
          </w:tcPr>
          <w:p>
            <w:pPr>
              <w:spacing w:after="0"/>
              <w:rPr>
                <w:sz w:val="14"/>
                <w:szCs w:val="14"/>
                <w:color w:val="auto"/>
              </w:rPr>
            </w:pPr>
          </w:p>
        </w:tc>
      </w:tr>
      <w:tr>
        <w:trPr>
          <w:trHeight w:val="18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00" w:type="dxa"/>
            <w:vAlign w:val="bottom"/>
          </w:tcPr>
          <w:p>
            <w:pPr>
              <w:ind w:left="240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10.10</w:t>
            </w:r>
          </w:p>
        </w:tc>
        <w:tc>
          <w:tcPr>
            <w:tcW w:w="68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Additional Issuer Warrant Transaction Confirmation, dated as of September 10,</w:t>
            </w:r>
          </w:p>
        </w:tc>
      </w:tr>
      <w:tr>
        <w:trPr>
          <w:trHeight w:val="216"/>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2014, by and between Huron Consulting Group Inc. and J.P. Morgan Securities</w:t>
            </w:r>
          </w:p>
        </w:tc>
      </w:tr>
      <w:tr>
        <w:trPr>
          <w:trHeight w:val="216"/>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LLC, as an agent for JPMorgan Chase Bank, National Association, London</w:t>
            </w:r>
          </w:p>
        </w:tc>
      </w:tr>
      <w:tr>
        <w:trPr>
          <w:trHeight w:val="230"/>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Branch.</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Rule 13a-14(a)/15d-14(a),</w:t>
            </w:r>
          </w:p>
        </w:tc>
      </w:tr>
      <w:tr>
        <w:trPr>
          <w:trHeight w:val="230"/>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3"/>
              </w:rPr>
              <w:t>Certification of the Chief Financial Officer, pursuant to Rule 13a-14(a)/15d-14(a),</w:t>
            </w:r>
          </w:p>
        </w:tc>
      </w:tr>
      <w:tr>
        <w:trPr>
          <w:trHeight w:val="230"/>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18 U.S.C. Section 1350,</w:t>
            </w:r>
          </w:p>
        </w:tc>
      </w:tr>
      <w:tr>
        <w:trPr>
          <w:trHeight w:val="230"/>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as adopted pursuant to Section 906 of the Sarbanes-Oxley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pursuant to 18 U.S.C. Section 1350, as</w:t>
            </w:r>
          </w:p>
        </w:tc>
      </w:tr>
      <w:tr>
        <w:trPr>
          <w:trHeight w:val="230"/>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0" w:type="dxa"/>
            <w:vAlign w:val="bottom"/>
          </w:tcPr>
          <w:p>
            <w:pPr>
              <w:ind w:left="442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Filed</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Furnished</w:t>
            </w: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0"/>
                <w:szCs w:val="10"/>
                <w:color w:val="auto"/>
              </w:rPr>
            </w:pPr>
          </w:p>
        </w:tc>
        <w:tc>
          <w:tcPr>
            <w:tcW w:w="13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Period</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herewith</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herewith</w:t>
            </w:r>
          </w:p>
        </w:tc>
        <w:tc>
          <w:tcPr>
            <w:tcW w:w="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Ending   Exhibit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4"/>
        </w:trPr>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9/16/14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200" w:space="200"/>
            <w:col w:w="40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Huron Consulting Group Inc.</w:t>
            </w:r>
          </w:p>
        </w:tc>
      </w:tr>
      <w:tr>
        <w:trPr>
          <w:trHeight w:val="230"/>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ind w:left="1760"/>
              <w:spacing w:after="0"/>
              <w:rPr>
                <w:sz w:val="20"/>
                <w:szCs w:val="20"/>
                <w:color w:val="auto"/>
              </w:rPr>
            </w:pPr>
            <w:r>
              <w:rPr>
                <w:rFonts w:ascii="Arial" w:cs="Arial" w:eastAsia="Arial" w:hAnsi="Arial"/>
                <w:sz w:val="18"/>
                <w:szCs w:val="18"/>
                <w:color w:val="auto"/>
              </w:rPr>
              <w:t>(Registrant)</w:t>
            </w:r>
          </w:p>
        </w:tc>
      </w:tr>
      <w:tr>
        <w:trPr>
          <w:trHeight w:val="391"/>
        </w:trPr>
        <w:tc>
          <w:tcPr>
            <w:tcW w:w="3500" w:type="dxa"/>
            <w:vAlign w:val="bottom"/>
            <w:gridSpan w:val="2"/>
          </w:tcPr>
          <w:p>
            <w:pPr>
              <w:spacing w:after="0"/>
              <w:rPr>
                <w:sz w:val="20"/>
                <w:szCs w:val="20"/>
                <w:color w:val="auto"/>
              </w:rPr>
            </w:pPr>
            <w:r>
              <w:rPr>
                <w:rFonts w:ascii="Arial" w:cs="Arial" w:eastAsia="Arial" w:hAnsi="Arial"/>
                <w:sz w:val="18"/>
                <w:szCs w:val="18"/>
                <w:color w:val="auto"/>
              </w:rPr>
              <w:t>Date: October 28, 2014</w:t>
            </w: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/s/ C. Mark Hussey</w:t>
            </w:r>
          </w:p>
        </w:tc>
      </w:tr>
      <w:tr>
        <w:trPr>
          <w:trHeight w:val="21"/>
        </w:trPr>
        <w:tc>
          <w:tcPr>
            <w:tcW w:w="440" w:type="dxa"/>
            <w:vAlign w:val="bottom"/>
          </w:tcPr>
          <w:p>
            <w:pPr>
              <w:spacing w:after="0" w:line="20" w:lineRule="exact"/>
              <w:rPr>
                <w:sz w:val="1"/>
                <w:szCs w:val="1"/>
                <w:color w:val="auto"/>
              </w:rPr>
            </w:pPr>
          </w:p>
        </w:tc>
        <w:tc>
          <w:tcPr>
            <w:tcW w:w="30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C. Mark Hussey</w:t>
            </w:r>
          </w:p>
        </w:tc>
      </w:tr>
      <w:tr>
        <w:trPr>
          <w:trHeight w:val="216"/>
        </w:trPr>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Executive Vice President, Chief Operating Officer,</w:t>
            </w:r>
          </w:p>
        </w:tc>
      </w:tr>
      <w:tr>
        <w:trPr>
          <w:trHeight w:val="230"/>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Chief Financial Officer and Treasurer</w:t>
            </w:r>
          </w:p>
        </w:tc>
      </w:tr>
      <w:tr>
        <w:trPr>
          <w:trHeight w:val="378"/>
        </w:trPr>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1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Date: October 28, 2014</w:t>
            </w:r>
          </w:p>
        </w:tc>
        <w:tc>
          <w:tcPr>
            <w:tcW w:w="2640" w:type="dxa"/>
            <w:vAlign w:val="bottom"/>
          </w:tcPr>
          <w:p>
            <w:pPr>
              <w:ind w:left="2360"/>
              <w:spacing w:after="0"/>
              <w:rPr>
                <w:sz w:val="20"/>
                <w:szCs w:val="20"/>
                <w:color w:val="auto"/>
              </w:rPr>
            </w:pPr>
            <w:r>
              <w:rPr>
                <w:rFonts w:ascii="Arial" w:cs="Arial" w:eastAsia="Arial" w:hAnsi="Arial"/>
                <w:sz w:val="18"/>
                <w:szCs w:val="18"/>
                <w:color w:val="auto"/>
                <w:w w:val="99"/>
              </w:rPr>
              <w:t>By:</w:t>
            </w: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21"/>
        </w:trPr>
        <w:tc>
          <w:tcPr>
            <w:tcW w:w="44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1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Date: October 28, 2014</w:t>
            </w:r>
          </w:p>
        </w:tc>
        <w:tc>
          <w:tcPr>
            <w:tcW w:w="2640" w:type="dxa"/>
            <w:vAlign w:val="bottom"/>
          </w:tcPr>
          <w:p>
            <w:pPr>
              <w:ind w:left="2360"/>
              <w:spacing w:after="0"/>
              <w:rPr>
                <w:sz w:val="20"/>
                <w:szCs w:val="20"/>
                <w:color w:val="auto"/>
              </w:rPr>
            </w:pPr>
            <w:r>
              <w:rPr>
                <w:rFonts w:ascii="Arial" w:cs="Arial" w:eastAsia="Arial" w:hAnsi="Arial"/>
                <w:sz w:val="18"/>
                <w:szCs w:val="18"/>
                <w:color w:val="auto"/>
                <w:w w:val="99"/>
              </w:rPr>
              <w:t>By:</w:t>
            </w: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21"/>
        </w:trPr>
        <w:tc>
          <w:tcPr>
            <w:tcW w:w="44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8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2014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1140" w:hanging="56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Date: October 28, 2014</w:t>
            </w:r>
          </w:p>
        </w:tc>
        <w:tc>
          <w:tcPr>
            <w:tcW w:w="2640" w:type="dxa"/>
            <w:vAlign w:val="bottom"/>
          </w:tcPr>
          <w:p>
            <w:pPr>
              <w:ind w:left="2360"/>
              <w:spacing w:after="0"/>
              <w:rPr>
                <w:sz w:val="20"/>
                <w:szCs w:val="20"/>
                <w:color w:val="auto"/>
              </w:rPr>
            </w:pPr>
            <w:r>
              <w:rPr>
                <w:rFonts w:ascii="Arial" w:cs="Arial" w:eastAsia="Arial" w:hAnsi="Arial"/>
                <w:sz w:val="18"/>
                <w:szCs w:val="18"/>
                <w:color w:val="auto"/>
                <w:w w:val="99"/>
              </w:rPr>
              <w:t>By:</w:t>
            </w: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21"/>
        </w:trPr>
        <w:tc>
          <w:tcPr>
            <w:tcW w:w="44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2014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1140" w:hanging="56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Date: October 28, 2014</w:t>
            </w:r>
          </w:p>
        </w:tc>
        <w:tc>
          <w:tcPr>
            <w:tcW w:w="2640" w:type="dxa"/>
            <w:vAlign w:val="bottom"/>
          </w:tcPr>
          <w:p>
            <w:pPr>
              <w:ind w:left="2360"/>
              <w:spacing w:after="0"/>
              <w:rPr>
                <w:sz w:val="20"/>
                <w:szCs w:val="20"/>
                <w:color w:val="auto"/>
              </w:rPr>
            </w:pPr>
            <w:r>
              <w:rPr>
                <w:rFonts w:ascii="Arial" w:cs="Arial" w:eastAsia="Arial" w:hAnsi="Arial"/>
                <w:sz w:val="18"/>
                <w:szCs w:val="18"/>
                <w:color w:val="auto"/>
                <w:w w:val="99"/>
              </w:rPr>
              <w:t>By:</w:t>
            </w: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21"/>
        </w:trPr>
        <w:tc>
          <w:tcPr>
            <w:tcW w:w="44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4"/>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2019-12-07T07:27:38Z</dcterms:created>
  <dcterms:modified xsi:type="dcterms:W3CDTF">2019-12-07T07:27:38Z</dcterms:modified>
</cp:coreProperties>
</file>