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795020</wp:posOffset>
            </wp:positionV>
            <wp:extent cx="67576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709295</wp:posOffset>
            </wp:positionV>
            <wp:extent cx="67576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184785</wp:posOffset>
            </wp:positionV>
            <wp:extent cx="1311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238125</wp:posOffset>
            </wp:positionV>
            <wp:extent cx="1311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6" w:lineRule="exact"/>
        <w:rPr>
          <w:sz w:val="24"/>
          <w:szCs w:val="24"/>
          <w:color w:val="auto"/>
        </w:rPr>
      </w:pPr>
    </w:p>
    <w:p>
      <w:pPr>
        <w:ind w:left="680" w:right="1060" w:hanging="645"/>
        <w:spacing w:after="0" w:line="256"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89" w:lineRule="exact"/>
        <w:rPr>
          <w:sz w:val="24"/>
          <w:szCs w:val="24"/>
          <w:color w:val="auto"/>
        </w:rPr>
      </w:pPr>
    </w:p>
    <w:p>
      <w:pPr>
        <w:ind w:left="680" w:right="1040" w:hanging="645"/>
        <w:spacing w:after="0" w:line="256" w:lineRule="auto"/>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000-50976</w:t>
      </w:r>
    </w:p>
    <w:p>
      <w:pPr>
        <w:spacing w:after="0" w:line="29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H</w:t>
      </w:r>
      <w:r>
        <w:rPr>
          <w:rFonts w:ascii="Arial" w:cs="Arial" w:eastAsia="Arial" w:hAnsi="Arial"/>
          <w:sz w:val="36"/>
          <w:szCs w:val="36"/>
          <w:b w:val="1"/>
          <w:bCs w:val="1"/>
          <w:color w:val="auto"/>
        </w:rPr>
        <w:t>URON</w:t>
      </w:r>
      <w:r>
        <w:rPr>
          <w:rFonts w:ascii="Arial" w:cs="Arial" w:eastAsia="Arial" w:hAnsi="Arial"/>
          <w:sz w:val="43"/>
          <w:szCs w:val="43"/>
          <w:b w:val="1"/>
          <w:bCs w:val="1"/>
          <w:color w:val="auto"/>
        </w:rPr>
        <w:t xml:space="preserve"> C</w:t>
      </w:r>
      <w:r>
        <w:rPr>
          <w:rFonts w:ascii="Arial" w:cs="Arial" w:eastAsia="Arial" w:hAnsi="Arial"/>
          <w:sz w:val="36"/>
          <w:szCs w:val="36"/>
          <w:b w:val="1"/>
          <w:bCs w:val="1"/>
          <w:color w:val="auto"/>
        </w:rPr>
        <w:t>ONSULTING</w:t>
      </w:r>
      <w:r>
        <w:rPr>
          <w:rFonts w:ascii="Arial" w:cs="Arial" w:eastAsia="Arial" w:hAnsi="Arial"/>
          <w:sz w:val="43"/>
          <w:szCs w:val="43"/>
          <w:b w:val="1"/>
          <w:bCs w:val="1"/>
          <w:color w:val="auto"/>
        </w:rPr>
        <w:t xml:space="preserve"> G</w:t>
      </w:r>
      <w:r>
        <w:rPr>
          <w:rFonts w:ascii="Arial" w:cs="Arial" w:eastAsia="Arial" w:hAnsi="Arial"/>
          <w:sz w:val="36"/>
          <w:szCs w:val="36"/>
          <w:b w:val="1"/>
          <w:bCs w:val="1"/>
          <w:color w:val="auto"/>
        </w:rPr>
        <w:t>ROUP</w:t>
      </w:r>
      <w:r>
        <w:rPr>
          <w:rFonts w:ascii="Arial" w:cs="Arial" w:eastAsia="Arial" w:hAnsi="Arial"/>
          <w:sz w:val="43"/>
          <w:szCs w:val="43"/>
          <w:b w:val="1"/>
          <w:bCs w:val="1"/>
          <w:color w:val="auto"/>
        </w:rPr>
        <w:t xml:space="preserve"> I</w:t>
      </w:r>
      <w:r>
        <w:rPr>
          <w:rFonts w:ascii="Arial" w:cs="Arial" w:eastAsia="Arial" w:hAnsi="Arial"/>
          <w:sz w:val="36"/>
          <w:szCs w:val="36"/>
          <w:b w:val="1"/>
          <w:bCs w:val="1"/>
          <w:color w:val="auto"/>
        </w:rPr>
        <w:t>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-302895</wp:posOffset>
            </wp:positionV>
            <wp:extent cx="1311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172085</wp:posOffset>
            </wp:positionV>
            <wp:extent cx="1311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tbl>
      <w:tblPr>
        <w:tblLayout w:type="fixed"/>
        <w:tblInd w:w="1680" w:type="dxa"/>
        <w:tblCellMar>
          <w:top w:w="0" w:type="dxa"/>
          <w:left w:w="0" w:type="dxa"/>
          <w:bottom w:w="0" w:type="dxa"/>
          <w:right w:w="0" w:type="dxa"/>
        </w:tblCellMar>
      </w:tblPr>
      <w:tr>
        <w:trPr>
          <w:trHeight w:val="234"/>
        </w:trPr>
        <w:tc>
          <w:tcPr>
            <w:tcW w:w="2140" w:type="dxa"/>
            <w:vAlign w:val="bottom"/>
          </w:tcPr>
          <w:p>
            <w:pPr>
              <w:jc w:val="center"/>
              <w:ind w:right="182"/>
              <w:spacing w:after="0"/>
              <w:rPr>
                <w:sz w:val="20"/>
                <w:szCs w:val="20"/>
                <w:color w:val="auto"/>
              </w:rPr>
            </w:pPr>
            <w:r>
              <w:rPr>
                <w:rFonts w:ascii="Arial" w:cs="Arial" w:eastAsia="Arial" w:hAnsi="Arial"/>
                <w:sz w:val="18"/>
                <w:szCs w:val="18"/>
                <w:b w:val="1"/>
                <w:bCs w:val="1"/>
                <w:color w:val="auto"/>
                <w:w w:val="91"/>
              </w:rPr>
              <w:t>Delaware</w:t>
            </w:r>
          </w:p>
        </w:tc>
        <w:tc>
          <w:tcPr>
            <w:tcW w:w="5000" w:type="dxa"/>
            <w:vAlign w:val="bottom"/>
          </w:tcPr>
          <w:p>
            <w:pPr>
              <w:jc w:val="center"/>
              <w:ind w:left="3459"/>
              <w:spacing w:after="0"/>
              <w:rPr>
                <w:sz w:val="20"/>
                <w:szCs w:val="20"/>
                <w:color w:val="auto"/>
              </w:rPr>
            </w:pPr>
            <w:r>
              <w:rPr>
                <w:rFonts w:ascii="Arial" w:cs="Arial" w:eastAsia="Arial" w:hAnsi="Arial"/>
                <w:sz w:val="18"/>
                <w:szCs w:val="18"/>
                <w:b w:val="1"/>
                <w:bCs w:val="1"/>
                <w:color w:val="auto"/>
                <w:w w:val="89"/>
              </w:rPr>
              <w:t>01-0666114</w:t>
            </w:r>
          </w:p>
        </w:tc>
      </w:tr>
      <w:tr>
        <w:trPr>
          <w:trHeight w:val="180"/>
        </w:trPr>
        <w:tc>
          <w:tcPr>
            <w:tcW w:w="2140" w:type="dxa"/>
            <w:vAlign w:val="bottom"/>
          </w:tcPr>
          <w:p>
            <w:pPr>
              <w:jc w:val="center"/>
              <w:ind w:right="182"/>
              <w:spacing w:after="0"/>
              <w:rPr>
                <w:sz w:val="20"/>
                <w:szCs w:val="20"/>
                <w:color w:val="auto"/>
              </w:rPr>
            </w:pPr>
            <w:r>
              <w:rPr>
                <w:rFonts w:ascii="Arial" w:cs="Arial" w:eastAsia="Arial" w:hAnsi="Arial"/>
                <w:sz w:val="14"/>
                <w:szCs w:val="14"/>
                <w:b w:val="1"/>
                <w:bCs w:val="1"/>
                <w:color w:val="auto"/>
                <w:w w:val="93"/>
              </w:rPr>
              <w:t>(State or other jurisdiction of</w:t>
            </w:r>
          </w:p>
        </w:tc>
        <w:tc>
          <w:tcPr>
            <w:tcW w:w="5000" w:type="dxa"/>
            <w:vAlign w:val="bottom"/>
          </w:tcPr>
          <w:p>
            <w:pPr>
              <w:jc w:val="center"/>
              <w:ind w:left="3479"/>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2140" w:type="dxa"/>
            <w:vAlign w:val="bottom"/>
          </w:tcPr>
          <w:p>
            <w:pPr>
              <w:jc w:val="center"/>
              <w:ind w:right="182"/>
              <w:spacing w:after="0"/>
              <w:rPr>
                <w:sz w:val="20"/>
                <w:szCs w:val="20"/>
                <w:color w:val="auto"/>
              </w:rPr>
            </w:pPr>
            <w:r>
              <w:rPr>
                <w:rFonts w:ascii="Arial" w:cs="Arial" w:eastAsia="Arial" w:hAnsi="Arial"/>
                <w:sz w:val="14"/>
                <w:szCs w:val="14"/>
                <w:b w:val="1"/>
                <w:bCs w:val="1"/>
                <w:color w:val="auto"/>
                <w:w w:val="94"/>
              </w:rPr>
              <w:t>incorporation or organization)</w:t>
            </w:r>
          </w:p>
        </w:tc>
        <w:tc>
          <w:tcPr>
            <w:tcW w:w="5000" w:type="dxa"/>
            <w:vAlign w:val="bottom"/>
          </w:tcPr>
          <w:p>
            <w:pPr>
              <w:jc w:val="center"/>
              <w:ind w:left="3479"/>
              <w:spacing w:after="0"/>
              <w:rPr>
                <w:sz w:val="20"/>
                <w:szCs w:val="20"/>
                <w:color w:val="auto"/>
              </w:rPr>
            </w:pPr>
            <w:r>
              <w:rPr>
                <w:rFonts w:ascii="Arial" w:cs="Arial" w:eastAsia="Arial" w:hAnsi="Arial"/>
                <w:sz w:val="14"/>
                <w:szCs w:val="14"/>
                <w:b w:val="1"/>
                <w:bCs w:val="1"/>
                <w:color w:val="auto"/>
                <w:w w:val="96"/>
              </w:rPr>
              <w:t>Identification Number)</w:t>
            </w:r>
          </w:p>
        </w:tc>
      </w:tr>
      <w:tr>
        <w:trPr>
          <w:trHeight w:val="216"/>
        </w:trPr>
        <w:tc>
          <w:tcPr>
            <w:tcW w:w="2140" w:type="dxa"/>
            <w:vAlign w:val="bottom"/>
          </w:tcPr>
          <w:p>
            <w:pPr>
              <w:spacing w:after="0"/>
              <w:rPr>
                <w:sz w:val="18"/>
                <w:szCs w:val="18"/>
                <w:color w:val="auto"/>
              </w:rPr>
            </w:pPr>
          </w:p>
        </w:tc>
        <w:tc>
          <w:tcPr>
            <w:tcW w:w="5000" w:type="dxa"/>
            <w:vAlign w:val="bottom"/>
          </w:tcPr>
          <w:p>
            <w:pPr>
              <w:jc w:val="center"/>
              <w:ind w:right="1139"/>
              <w:spacing w:after="0"/>
              <w:rPr>
                <w:sz w:val="20"/>
                <w:szCs w:val="20"/>
                <w:color w:val="auto"/>
              </w:rPr>
            </w:pPr>
            <w:r>
              <w:rPr>
                <w:rFonts w:ascii="Arial" w:cs="Arial" w:eastAsia="Arial" w:hAnsi="Arial"/>
                <w:sz w:val="18"/>
                <w:szCs w:val="18"/>
                <w:b w:val="1"/>
                <w:bCs w:val="1"/>
                <w:color w:val="auto"/>
                <w:w w:val="89"/>
              </w:rPr>
              <w:t>550 West Van Buren Street</w:t>
            </w:r>
          </w:p>
        </w:tc>
      </w:tr>
      <w:tr>
        <w:trPr>
          <w:trHeight w:val="216"/>
        </w:trPr>
        <w:tc>
          <w:tcPr>
            <w:tcW w:w="2140" w:type="dxa"/>
            <w:vAlign w:val="bottom"/>
          </w:tcPr>
          <w:p>
            <w:pPr>
              <w:spacing w:after="0"/>
              <w:rPr>
                <w:sz w:val="18"/>
                <w:szCs w:val="18"/>
                <w:color w:val="auto"/>
              </w:rPr>
            </w:pPr>
          </w:p>
        </w:tc>
        <w:tc>
          <w:tcPr>
            <w:tcW w:w="5000" w:type="dxa"/>
            <w:vAlign w:val="bottom"/>
          </w:tcPr>
          <w:p>
            <w:pPr>
              <w:jc w:val="center"/>
              <w:ind w:right="1139"/>
              <w:spacing w:after="0"/>
              <w:rPr>
                <w:sz w:val="20"/>
                <w:szCs w:val="20"/>
                <w:color w:val="auto"/>
              </w:rPr>
            </w:pPr>
            <w:r>
              <w:rPr>
                <w:rFonts w:ascii="Arial" w:cs="Arial" w:eastAsia="Arial" w:hAnsi="Arial"/>
                <w:sz w:val="18"/>
                <w:szCs w:val="18"/>
                <w:b w:val="1"/>
                <w:bCs w:val="1"/>
                <w:color w:val="auto"/>
                <w:w w:val="91"/>
              </w:rPr>
              <w:t>Chicago, Illinois</w:t>
            </w:r>
          </w:p>
        </w:tc>
      </w:tr>
      <w:tr>
        <w:trPr>
          <w:trHeight w:val="212"/>
        </w:trPr>
        <w:tc>
          <w:tcPr>
            <w:tcW w:w="2140" w:type="dxa"/>
            <w:vAlign w:val="bottom"/>
          </w:tcPr>
          <w:p>
            <w:pPr>
              <w:spacing w:after="0"/>
              <w:rPr>
                <w:sz w:val="18"/>
                <w:szCs w:val="18"/>
                <w:color w:val="auto"/>
              </w:rPr>
            </w:pPr>
          </w:p>
        </w:tc>
        <w:tc>
          <w:tcPr>
            <w:tcW w:w="5000" w:type="dxa"/>
            <w:vAlign w:val="bottom"/>
          </w:tcPr>
          <w:p>
            <w:pPr>
              <w:jc w:val="right"/>
              <w:ind w:right="2799"/>
              <w:spacing w:after="0"/>
              <w:rPr>
                <w:sz w:val="20"/>
                <w:szCs w:val="20"/>
                <w:color w:val="auto"/>
              </w:rPr>
            </w:pPr>
            <w:r>
              <w:rPr>
                <w:rFonts w:ascii="Arial" w:cs="Arial" w:eastAsia="Arial" w:hAnsi="Arial"/>
                <w:sz w:val="18"/>
                <w:szCs w:val="18"/>
                <w:b w:val="1"/>
                <w:bCs w:val="1"/>
                <w:color w:val="auto"/>
              </w:rPr>
              <w:t>60607</w:t>
            </w:r>
          </w:p>
        </w:tc>
      </w:tr>
      <w:tr>
        <w:trPr>
          <w:trHeight w:val="162"/>
        </w:trPr>
        <w:tc>
          <w:tcPr>
            <w:tcW w:w="2140" w:type="dxa"/>
            <w:vAlign w:val="bottom"/>
          </w:tcPr>
          <w:p>
            <w:pPr>
              <w:spacing w:after="0"/>
              <w:rPr>
                <w:sz w:val="14"/>
                <w:szCs w:val="14"/>
                <w:color w:val="auto"/>
              </w:rPr>
            </w:pPr>
          </w:p>
        </w:tc>
        <w:tc>
          <w:tcPr>
            <w:tcW w:w="5000" w:type="dxa"/>
            <w:vAlign w:val="bottom"/>
          </w:tcPr>
          <w:p>
            <w:pPr>
              <w:jc w:val="center"/>
              <w:ind w:right="1139"/>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186"/>
        </w:trPr>
        <w:tc>
          <w:tcPr>
            <w:tcW w:w="2140" w:type="dxa"/>
            <w:vAlign w:val="bottom"/>
          </w:tcPr>
          <w:p>
            <w:pPr>
              <w:spacing w:after="0"/>
              <w:rPr>
                <w:sz w:val="16"/>
                <w:szCs w:val="16"/>
                <w:color w:val="auto"/>
              </w:rPr>
            </w:pPr>
          </w:p>
        </w:tc>
        <w:tc>
          <w:tcPr>
            <w:tcW w:w="5000" w:type="dxa"/>
            <w:vAlign w:val="bottom"/>
          </w:tcPr>
          <w:p>
            <w:pPr>
              <w:jc w:val="center"/>
              <w:ind w:right="1139"/>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2140" w:type="dxa"/>
            <w:vAlign w:val="bottom"/>
          </w:tcPr>
          <w:p>
            <w:pPr>
              <w:spacing w:after="0"/>
              <w:rPr>
                <w:sz w:val="24"/>
                <w:szCs w:val="24"/>
                <w:color w:val="auto"/>
              </w:rPr>
            </w:pPr>
          </w:p>
        </w:tc>
        <w:tc>
          <w:tcPr>
            <w:tcW w:w="5000" w:type="dxa"/>
            <w:vAlign w:val="bottom"/>
          </w:tcPr>
          <w:p>
            <w:pPr>
              <w:jc w:val="right"/>
              <w:ind w:right="2459"/>
              <w:spacing w:after="0"/>
              <w:rPr>
                <w:sz w:val="20"/>
                <w:szCs w:val="20"/>
                <w:color w:val="auto"/>
              </w:rPr>
            </w:pPr>
            <w:r>
              <w:rPr>
                <w:rFonts w:ascii="Arial" w:cs="Arial" w:eastAsia="Arial" w:hAnsi="Arial"/>
                <w:sz w:val="18"/>
                <w:szCs w:val="18"/>
                <w:b w:val="1"/>
                <w:bCs w:val="1"/>
                <w:color w:val="auto"/>
              </w:rPr>
              <w:t>(312) 583-8700</w:t>
            </w:r>
          </w:p>
        </w:tc>
      </w:tr>
      <w:tr>
        <w:trPr>
          <w:trHeight w:val="186"/>
        </w:trPr>
        <w:tc>
          <w:tcPr>
            <w:tcW w:w="2140" w:type="dxa"/>
            <w:vAlign w:val="bottom"/>
          </w:tcPr>
          <w:p>
            <w:pPr>
              <w:spacing w:after="0"/>
              <w:rPr>
                <w:sz w:val="16"/>
                <w:szCs w:val="16"/>
                <w:color w:val="auto"/>
              </w:rPr>
            </w:pPr>
          </w:p>
        </w:tc>
        <w:tc>
          <w:tcPr>
            <w:tcW w:w="5000" w:type="dxa"/>
            <w:vAlign w:val="bottom"/>
          </w:tcPr>
          <w:p>
            <w:pPr>
              <w:jc w:val="center"/>
              <w:ind w:right="113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161925</wp:posOffset>
            </wp:positionV>
            <wp:extent cx="1311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88"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2" w:lineRule="exact"/>
        <w:rPr>
          <w:sz w:val="24"/>
          <w:szCs w:val="24"/>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33" w:right="27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196" w:lineRule="exact"/>
        <w:rPr>
          <w:sz w:val="24"/>
          <w:szCs w:val="24"/>
          <w:color w:val="auto"/>
        </w:rPr>
      </w:pPr>
    </w:p>
    <w:p>
      <w:pPr>
        <w:sectPr>
          <w:pgSz w:w="11900" w:h="16838" w:orient="portrait"/>
          <w:cols w:equalWidth="0" w:num="4">
            <w:col w:w="1660" w:space="720"/>
            <w:col w:w="4300" w:space="720"/>
            <w:col w:w="2260" w:space="720"/>
            <w:col w:w="1000"/>
          </w:cols>
          <w:pgMar w:left="240" w:top="233"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7"/>
          <w:szCs w:val="17"/>
          <w:color w:val="auto"/>
        </w:rPr>
        <w:t>o</w:t>
      </w:r>
    </w:p>
    <w:p>
      <w:pPr>
        <w:spacing w:after="0" w:line="82" w:lineRule="exact"/>
        <w:rPr>
          <w:sz w:val="24"/>
          <w:szCs w:val="24"/>
          <w:color w:val="auto"/>
        </w:rPr>
      </w:pPr>
    </w:p>
    <w:p>
      <w:pPr>
        <w:sectPr>
          <w:pgSz w:w="11900" w:h="16838" w:orient="portrait"/>
          <w:cols w:equalWidth="0" w:num="4">
            <w:col w:w="1660" w:space="720"/>
            <w:col w:w="4300" w:space="720"/>
            <w:col w:w="2260" w:space="720"/>
            <w:col w:w="1000"/>
          </w:cols>
          <w:pgMar w:left="240" w:top="233" w:right="27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6" w:lineRule="exact"/>
        <w:rPr>
          <w:sz w:val="24"/>
          <w:szCs w:val="24"/>
          <w:color w:val="auto"/>
        </w:rPr>
      </w:pPr>
    </w:p>
    <w:p>
      <w:pPr>
        <w:sectPr>
          <w:pgSz w:w="11900" w:h="16838" w:orient="portrait"/>
          <w:cols w:equalWidth="0" w:num="4">
            <w:col w:w="8180" w:space="180"/>
            <w:col w:w="440" w:space="180"/>
            <w:col w:w="220" w:space="100"/>
            <w:col w:w="2080"/>
          </w:cols>
          <w:pgMar w:left="240" w:top="233" w:right="279" w:bottom="1440" w:gutter="0" w:footer="0" w:header="0"/>
          <w:type w:val="continuous"/>
        </w:sect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color w:val="auto"/>
        </w:rPr>
        <w:t>As of April 20, 2016, 21,739,265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201295</wp:posOffset>
            </wp:positionV>
            <wp:extent cx="67576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114935</wp:posOffset>
            </wp:positionV>
            <wp:extent cx="67576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34290</wp:posOffset>
            </wp:positionV>
            <wp:extent cx="6869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46"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HURON CONSULTING GROUP INC.</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2340" w:type="dxa"/>
            <w:vAlign w:val="bottom"/>
            <w:tcBorders>
              <w:bottom w:val="single" w:sz="8" w:color="0000EE"/>
            </w:tcBorders>
            <w:gridSpan w:val="5"/>
          </w:tcPr>
          <w:p>
            <w:pPr>
              <w:spacing w:after="0" w:line="189" w:lineRule="exact"/>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Part I – Financial Information</w:t>
              </w:r>
            </w:hyperlink>
          </w:p>
        </w:tc>
        <w:tc>
          <w:tcPr>
            <w:tcW w:w="7580" w:type="dxa"/>
            <w:vAlign w:val="bottom"/>
            <w:gridSpan w:val="12"/>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1.</w:t>
            </w:r>
          </w:p>
        </w:tc>
        <w:tc>
          <w:tcPr>
            <w:tcW w:w="34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Financial Statements (Unaudited)</w:t>
              </w:r>
            </w:hyperlink>
          </w:p>
        </w:tc>
        <w:tc>
          <w:tcPr>
            <w:tcW w:w="530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Earnings and Other Comprehensive Income</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 of Stockholders’ Equity</w:t>
              </w:r>
            </w:hyperlink>
          </w:p>
        </w:tc>
        <w:tc>
          <w:tcPr>
            <w:tcW w:w="1700" w:type="dxa"/>
            <w:vAlign w:val="bottom"/>
            <w:tcBorders>
              <w:top w:val="single" w:sz="8" w:color="0000EE"/>
            </w:tcBorders>
            <w:gridSpan w:val="2"/>
          </w:tcPr>
          <w:p>
            <w:pPr>
              <w:spacing w:after="0"/>
              <w:rPr>
                <w:sz w:val="21"/>
                <w:szCs w:val="21"/>
                <w:color w:val="auto"/>
              </w:rPr>
            </w:pPr>
          </w:p>
        </w:tc>
        <w:tc>
          <w:tcPr>
            <w:tcW w:w="3540" w:type="dxa"/>
            <w:vAlign w:val="bottom"/>
            <w:gridSpan w:val="2"/>
          </w:tcPr>
          <w:p>
            <w:pPr>
              <w:spacing w:after="0"/>
              <w:rPr>
                <w:sz w:val="21"/>
                <w:szCs w:val="21"/>
                <w:color w:val="auto"/>
              </w:rPr>
            </w:pPr>
          </w:p>
        </w:tc>
        <w:tc>
          <w:tcPr>
            <w:tcW w:w="74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6440" w:type="dxa"/>
            <w:vAlign w:val="bottom"/>
            <w:gridSpan w:val="14"/>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Management’s Discussion and Analysis of Financial Condition and Results of Operations</w:t>
              </w:r>
            </w:hyperlink>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Quantitative and Qualitative Disclosures About Market Risk</w:t>
              </w:r>
            </w:hyperlink>
          </w:p>
        </w:tc>
        <w:tc>
          <w:tcPr>
            <w:tcW w:w="2120" w:type="dxa"/>
            <w:vAlign w:val="bottom"/>
            <w:gridSpan w:val="2"/>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380" w:type="dxa"/>
            <w:vAlign w:val="bottom"/>
            <w:tcBorders>
              <w:left w:val="single" w:sz="8" w:color="0000EE"/>
            </w:tcBorders>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4.</w:t>
            </w:r>
          </w:p>
        </w:tc>
        <w:tc>
          <w:tcPr>
            <w:tcW w:w="4320" w:type="dxa"/>
            <w:vAlign w:val="bottom"/>
            <w:gridSpan w:val="1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4380" w:type="dxa"/>
            <w:vAlign w:val="bottom"/>
            <w:gridSpan w:val="3"/>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920" w:type="dxa"/>
            <w:vAlign w:val="bottom"/>
            <w:gridSpan w:val="17"/>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 – Other Information</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1.</w:t>
            </w:r>
          </w:p>
        </w:tc>
        <w:tc>
          <w:tcPr>
            <w:tcW w:w="1300" w:type="dxa"/>
            <w:vAlign w:val="bottom"/>
            <w:gridSpan w:val="4"/>
          </w:tcPr>
          <w:p>
            <w:pPr>
              <w:spacing w:after="0"/>
              <w:rPr>
                <w:rFonts w:ascii="Arial" w:cs="Arial" w:eastAsia="Arial" w:hAnsi="Arial"/>
                <w:sz w:val="18"/>
                <w:szCs w:val="18"/>
                <w:color w:val="0000EE"/>
                <w:w w:val="84"/>
              </w:rPr>
            </w:pPr>
            <w:hyperlink w:anchor="page42">
              <w:r>
                <w:rPr>
                  <w:rFonts w:ascii="Arial" w:cs="Arial" w:eastAsia="Arial" w:hAnsi="Arial"/>
                  <w:sz w:val="18"/>
                  <w:szCs w:val="18"/>
                  <w:color w:val="0000EE"/>
                  <w:w w:val="84"/>
                </w:rPr>
                <w:t>Legal Proceedings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1A.</w:t>
            </w:r>
          </w:p>
        </w:tc>
        <w:tc>
          <w:tcPr>
            <w:tcW w:w="1300" w:type="dxa"/>
            <w:vAlign w:val="bottom"/>
            <w:gridSpan w:val="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8700" w:type="dxa"/>
            <w:vAlign w:val="bottom"/>
            <w:gridSpan w:val="1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Unregistered Sales of Equity Securities and Use of Proceeds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Defaults Upon Senior Securities</w:t>
              </w:r>
            </w:hyperlink>
          </w:p>
        </w:tc>
        <w:tc>
          <w:tcPr>
            <w:tcW w:w="4380" w:type="dxa"/>
            <w:vAlign w:val="bottom"/>
            <w:gridSpan w:val="3"/>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40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4.</w:t>
            </w:r>
          </w:p>
        </w:tc>
        <w:tc>
          <w:tcPr>
            <w:tcW w:w="2300" w:type="dxa"/>
            <w:vAlign w:val="bottom"/>
            <w:gridSpan w:val="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Mine Safety Disclosures</w:t>
              </w:r>
            </w:hyperlink>
          </w:p>
        </w:tc>
        <w:tc>
          <w:tcPr>
            <w:tcW w:w="6400" w:type="dxa"/>
            <w:vAlign w:val="bottom"/>
            <w:gridSpan w:val="8"/>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96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5.</w:t>
            </w:r>
          </w:p>
        </w:tc>
        <w:tc>
          <w:tcPr>
            <w:tcW w:w="1300" w:type="dxa"/>
            <w:vAlign w:val="bottom"/>
            <w:gridSpan w:val="4"/>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Other Information</w:t>
              </w:r>
            </w:hyperlink>
          </w:p>
        </w:tc>
        <w:tc>
          <w:tcPr>
            <w:tcW w:w="440" w:type="dxa"/>
            <w:vAlign w:val="bottom"/>
          </w:tcPr>
          <w:p>
            <w:pPr>
              <w:spacing w:after="0"/>
              <w:rPr>
                <w:sz w:val="24"/>
                <w:szCs w:val="24"/>
                <w:color w:val="auto"/>
              </w:rPr>
            </w:pPr>
          </w:p>
        </w:tc>
        <w:tc>
          <w:tcPr>
            <w:tcW w:w="6960" w:type="dxa"/>
            <w:vAlign w:val="bottom"/>
            <w:gridSpan w:val="10"/>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40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6.</w:t>
            </w:r>
          </w:p>
        </w:tc>
        <w:tc>
          <w:tcPr>
            <w:tcW w:w="1300" w:type="dxa"/>
            <w:vAlign w:val="bottom"/>
            <w:gridSpan w:val="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1220" w:type="dxa"/>
            <w:vAlign w:val="bottom"/>
            <w:gridSpan w:val="2"/>
            <w:vMerge w:val="restart"/>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Signature</w:t>
              </w:r>
            </w:hyperlink>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20"/>
          </w:cols>
          <w:pgMar w:left="240" w:top="125" w:right="8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ind w:left="522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73"/>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58,437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Receivables from clients, net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71,314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85,297</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services,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56,527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Income tax receivable</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7,618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406</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27,720</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180,728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228,387</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28,888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investment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37,256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34,831</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21,045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94,256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94,992</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765,533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751,400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1,127,554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1,159,543</w:t>
            </w:r>
          </w:p>
        </w:tc>
      </w:tr>
      <w:tr>
        <w:trPr>
          <w:trHeight w:val="67"/>
        </w:trPr>
        <w:tc>
          <w:tcPr>
            <w:tcW w:w="83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22,237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24,276</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payroll and related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80,839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revenues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19,944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19,086</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131,421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 and 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23,768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350,013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307,376</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lease incentives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42,555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34,688</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non-current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431,152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375,797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4"/>
              </w:rPr>
              <w:t>Common stock; $0.01 par value; 500,000,000 shares authorized; 24,084,277 and 24,775,823 shares issued at</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March 31, 2016 and December 31, 2015, respectively</w:t>
            </w:r>
          </w:p>
        </w:tc>
        <w:tc>
          <w:tcPr>
            <w:tcW w:w="24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241</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Treasury stock, at cost, 2,344,975 and 2,249,630 shares at March 31, 2016 and December 31, 2015,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(103,734)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391,282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438,367</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319,868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313,866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4,964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3,585</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607,202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652,325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1,127,554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1,159,543</w:t>
            </w:r>
          </w:p>
        </w:tc>
      </w:tr>
      <w:tr>
        <w:trPr>
          <w:trHeight w:val="27"/>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 AND OTHER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 and reimbursable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180,489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154,426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16,308</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revenues and reimbursable expenses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197,050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170,734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7"/>
              </w:rPr>
              <w:t xml:space="preserve">Direct costs and reimbursable expenses </w:t>
            </w:r>
            <w:r>
              <w:rPr>
                <w:rFonts w:ascii="Arial" w:cs="Arial" w:eastAsia="Arial" w:hAnsi="Arial"/>
                <w:sz w:val="18"/>
                <w:szCs w:val="18"/>
                <w:color w:val="auto"/>
                <w:w w:val="97"/>
              </w:rPr>
              <w:t>(exclusive of depreciation and amortization shown in operating</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Direct costs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111,857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101,394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 and software development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Reimbursable expenses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16,627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16,407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direct costs and reimbursable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120,255</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Operating expenses and other operating gain:</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36,824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gain</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7,414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5,289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 and other operating gain</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42,543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14,376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expense, net of interest income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(4,393)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earnings per basic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earnings per diluted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shares used in calculating earnings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22,126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21,460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22,602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6,002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 (loss), net of tax</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Unrealized gain (loss) on investment, net of tax</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on cash flow hedging instruments,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right="280"/>
        <w:spacing w:after="0" w:line="339" w:lineRule="auto"/>
        <w:rPr>
          <w:sz w:val="20"/>
          <w:szCs w:val="20"/>
          <w:color w:val="auto"/>
        </w:rPr>
      </w:pPr>
      <w:r>
        <w:rPr>
          <w:rFonts w:ascii="Arial" w:cs="Arial" w:eastAsia="Arial" w:hAnsi="Arial"/>
          <w:sz w:val="14"/>
          <w:szCs w:val="14"/>
          <w:b w:val="1"/>
          <w:bCs w:val="1"/>
          <w:color w:val="auto"/>
        </w:rPr>
        <w:t xml:space="preserve">Balance at December 31, 2015 </w:t>
      </w:r>
      <w:r>
        <w:rPr>
          <w:rFonts w:ascii="Arial" w:cs="Arial" w:eastAsia="Arial" w:hAnsi="Arial"/>
          <w:sz w:val="14"/>
          <w:szCs w:val="14"/>
          <w:color w:val="auto"/>
        </w:rPr>
        <w:t>Comprehensive income</w:t>
      </w:r>
    </w:p>
    <w:p>
      <w:pPr>
        <w:spacing w:after="0" w:line="22" w:lineRule="exact"/>
        <w:rPr>
          <w:sz w:val="20"/>
          <w:szCs w:val="20"/>
          <w:color w:val="auto"/>
        </w:rPr>
      </w:pPr>
    </w:p>
    <w:p>
      <w:pPr>
        <w:ind w:left="40" w:right="440"/>
        <w:spacing w:after="0" w:line="253" w:lineRule="auto"/>
        <w:rPr>
          <w:sz w:val="20"/>
          <w:szCs w:val="20"/>
          <w:color w:val="auto"/>
        </w:rPr>
      </w:pPr>
      <w:r>
        <w:rPr>
          <w:rFonts w:ascii="Arial" w:cs="Arial" w:eastAsia="Arial" w:hAnsi="Arial"/>
          <w:sz w:val="14"/>
          <w:szCs w:val="14"/>
          <w:color w:val="auto"/>
        </w:rPr>
        <w:t>Issuance of common stock in connection with:</w:t>
      </w:r>
    </w:p>
    <w:p>
      <w:pPr>
        <w:spacing w:after="0" w:line="12" w:lineRule="exact"/>
        <w:rPr>
          <w:sz w:val="20"/>
          <w:szCs w:val="20"/>
          <w:color w:val="auto"/>
        </w:rPr>
      </w:pPr>
    </w:p>
    <w:p>
      <w:pPr>
        <w:ind w:left="380"/>
        <w:spacing w:after="0" w:line="253" w:lineRule="auto"/>
        <w:rPr>
          <w:sz w:val="20"/>
          <w:szCs w:val="20"/>
          <w:color w:val="auto"/>
        </w:rPr>
      </w:pPr>
      <w:r>
        <w:rPr>
          <w:rFonts w:ascii="Arial" w:cs="Arial" w:eastAsia="Arial" w:hAnsi="Arial"/>
          <w:sz w:val="14"/>
          <w:szCs w:val="14"/>
          <w:color w:val="auto"/>
        </w:rPr>
        <w:t>Restricted stock awards, net of cancellations</w:t>
      </w:r>
    </w:p>
    <w:p>
      <w:pPr>
        <w:spacing w:after="0" w:line="12" w:lineRule="exact"/>
        <w:rPr>
          <w:sz w:val="20"/>
          <w:szCs w:val="20"/>
          <w:color w:val="auto"/>
        </w:rPr>
      </w:pPr>
    </w:p>
    <w:p>
      <w:pPr>
        <w:ind w:left="40" w:right="320" w:firstLine="351"/>
        <w:spacing w:after="0" w:line="433" w:lineRule="auto"/>
        <w:rPr>
          <w:sz w:val="20"/>
          <w:szCs w:val="20"/>
          <w:color w:val="auto"/>
        </w:rPr>
      </w:pPr>
      <w:r>
        <w:rPr>
          <w:rFonts w:ascii="Arial" w:cs="Arial" w:eastAsia="Arial" w:hAnsi="Arial"/>
          <w:sz w:val="13"/>
          <w:szCs w:val="13"/>
          <w:color w:val="auto"/>
        </w:rPr>
        <w:t>Exercise of stock options Share-based compensation</w:t>
      </w:r>
    </w:p>
    <w:p>
      <w:pPr>
        <w:spacing w:after="0" w:line="1" w:lineRule="exact"/>
        <w:rPr>
          <w:sz w:val="20"/>
          <w:szCs w:val="20"/>
          <w:color w:val="auto"/>
        </w:rPr>
      </w:pPr>
    </w:p>
    <w:p>
      <w:pPr>
        <w:ind w:left="40" w:right="140"/>
        <w:spacing w:after="0" w:line="253" w:lineRule="auto"/>
        <w:rPr>
          <w:sz w:val="20"/>
          <w:szCs w:val="20"/>
          <w:color w:val="auto"/>
        </w:rPr>
      </w:pPr>
      <w:r>
        <w:rPr>
          <w:rFonts w:ascii="Arial" w:cs="Arial" w:eastAsia="Arial" w:hAnsi="Arial"/>
          <w:sz w:val="14"/>
          <w:szCs w:val="14"/>
          <w:color w:val="auto"/>
        </w:rPr>
        <w:t>Shares redeemed for employee tax withholdings</w:t>
      </w:r>
    </w:p>
    <w:p>
      <w:pPr>
        <w:spacing w:after="0" w:line="12" w:lineRule="exact"/>
        <w:rPr>
          <w:sz w:val="20"/>
          <w:szCs w:val="20"/>
          <w:color w:val="auto"/>
        </w:rPr>
      </w:pPr>
    </w:p>
    <w:p>
      <w:pPr>
        <w:ind w:left="40" w:right="160"/>
        <w:spacing w:after="0" w:line="253" w:lineRule="auto"/>
        <w:rPr>
          <w:sz w:val="20"/>
          <w:szCs w:val="20"/>
          <w:color w:val="auto"/>
        </w:rPr>
      </w:pPr>
      <w:r>
        <w:rPr>
          <w:rFonts w:ascii="Arial" w:cs="Arial" w:eastAsia="Arial" w:hAnsi="Arial"/>
          <w:sz w:val="14"/>
          <w:szCs w:val="14"/>
          <w:color w:val="auto"/>
        </w:rPr>
        <w:t>Income tax benefit on share-based compensation</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 repurchases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March 31, 2016</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20" w:type="dxa"/>
            <w:vAlign w:val="bottom"/>
            <w:gridSpan w:val="5"/>
          </w:tcPr>
          <w:p>
            <w:pPr>
              <w:ind w:left="600"/>
              <w:spacing w:after="0"/>
              <w:rPr>
                <w:sz w:val="20"/>
                <w:szCs w:val="20"/>
                <w:color w:val="auto"/>
              </w:rPr>
            </w:pPr>
            <w:r>
              <w:rPr>
                <w:rFonts w:ascii="Arial" w:cs="Arial" w:eastAsia="Arial" w:hAnsi="Arial"/>
                <w:sz w:val="14"/>
                <w:szCs w:val="14"/>
                <w:b w:val="1"/>
                <w:bCs w:val="1"/>
                <w:color w:val="auto"/>
              </w:rPr>
              <w:t>Common Stock</w:t>
            </w:r>
          </w:p>
        </w:tc>
        <w:tc>
          <w:tcPr>
            <w:tcW w:w="2100" w:type="dxa"/>
            <w:vAlign w:val="bottom"/>
            <w:gridSpan w:val="5"/>
          </w:tcPr>
          <w:p>
            <w:pPr>
              <w:ind w:left="54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4"/>
                <w:szCs w:val="4"/>
                <w:color w:val="auto"/>
              </w:rPr>
            </w:pPr>
          </w:p>
        </w:tc>
        <w:tc>
          <w:tcPr>
            <w:tcW w:w="88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4"/>
                <w:szCs w:val="4"/>
                <w:color w:val="auto"/>
              </w:rPr>
            </w:pPr>
          </w:p>
        </w:tc>
        <w:tc>
          <w:tcPr>
            <w:tcW w:w="154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4"/>
                <w:szCs w:val="4"/>
                <w:color w:val="auto"/>
              </w:rPr>
            </w:pPr>
          </w:p>
        </w:tc>
        <w:tc>
          <w:tcPr>
            <w:tcW w:w="1000" w:type="dxa"/>
            <w:vAlign w:val="bottom"/>
            <w:vMerge w:val="restart"/>
          </w:tcPr>
          <w:p>
            <w:pPr>
              <w:jc w:val="right"/>
              <w:ind w:right="68"/>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1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6"/>
                <w:szCs w:val="16"/>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4"/>
        </w:trPr>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24,065,154</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1"/>
                <w:szCs w:val="21"/>
                <w:color w:val="auto"/>
              </w:rPr>
            </w:pP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(2,262,080)</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(103,734)</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438,367</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313,866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3,585</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652,325</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6,002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1,379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7,381</w:t>
            </w:r>
          </w:p>
        </w:tc>
        <w:tc>
          <w:tcPr>
            <w:tcW w:w="0" w:type="dxa"/>
            <w:vAlign w:val="bottom"/>
          </w:tcPr>
          <w:p>
            <w:pPr>
              <w:spacing w:after="0"/>
              <w:rPr>
                <w:sz w:val="1"/>
                <w:szCs w:val="1"/>
                <w:color w:val="auto"/>
              </w:rPr>
            </w:pPr>
          </w:p>
        </w:tc>
      </w:tr>
      <w:tr>
        <w:trPr>
          <w:trHeight w:val="702"/>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295,122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(15,857)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(1,035)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1,032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4,706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6,802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6,802</w:t>
            </w:r>
          </w:p>
        </w:tc>
        <w:tc>
          <w:tcPr>
            <w:tcW w:w="0" w:type="dxa"/>
            <w:vAlign w:val="bottom"/>
          </w:tcPr>
          <w:p>
            <w:pPr>
              <w:spacing w:after="0"/>
              <w:rPr>
                <w:sz w:val="1"/>
                <w:szCs w:val="1"/>
                <w:color w:val="auto"/>
              </w:rPr>
            </w:pPr>
          </w:p>
        </w:tc>
      </w:tr>
      <w:tr>
        <w:trPr>
          <w:trHeight w:val="35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(78,652)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(4,377)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(4,377)</w:t>
            </w:r>
          </w:p>
        </w:tc>
        <w:tc>
          <w:tcPr>
            <w:tcW w:w="0" w:type="dxa"/>
            <w:vAlign w:val="bottom"/>
          </w:tcPr>
          <w:p>
            <w:pPr>
              <w:spacing w:after="0"/>
              <w:rPr>
                <w:sz w:val="1"/>
                <w:szCs w:val="1"/>
                <w:color w:val="auto"/>
              </w:rPr>
            </w:pPr>
          </w:p>
        </w:tc>
      </w:tr>
      <w:tr>
        <w:trPr>
          <w:trHeight w:val="35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76"/>
        </w:trPr>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(982,192)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(55,255)</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(55,265)</w:t>
            </w:r>
          </w:p>
        </w:tc>
        <w:tc>
          <w:tcPr>
            <w:tcW w:w="0" w:type="dxa"/>
            <w:vAlign w:val="bottom"/>
          </w:tcPr>
          <w:p>
            <w:pPr>
              <w:spacing w:after="0"/>
              <w:rPr>
                <w:sz w:val="1"/>
                <w:szCs w:val="1"/>
                <w:color w:val="auto"/>
              </w:rPr>
            </w:pPr>
          </w:p>
        </w:tc>
      </w:tr>
      <w:tr>
        <w:trPr>
          <w:trHeight w:val="237"/>
        </w:trPr>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23,382,790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(2,356,589)</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(109,146)</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391,282</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319,868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4,964</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607,202</w:t>
            </w: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-1937385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-1594485</wp:posOffset>
            </wp:positionV>
            <wp:extent cx="7246620"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-1148715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-805180</wp:posOffset>
            </wp:positionV>
            <wp:extent cx="724662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-359410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2160" w:space="140"/>
            <w:col w:w="91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33020</wp:posOffset>
            </wp:positionV>
            <wp:extent cx="19551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2" w:lineRule="exact"/>
        <w:rPr>
          <w:sz w:val="20"/>
          <w:szCs w:val="20"/>
          <w:color w:val="auto"/>
        </w:rPr>
      </w:pPr>
    </w:p>
    <w:p>
      <w:pPr>
        <w:jc w:val="both"/>
        <w:ind w:left="8920"/>
        <w:spacing w:after="0"/>
        <w:tabs>
          <w:tab w:leader="none" w:pos="10500" w:val="left"/>
        </w:tabs>
        <w:rPr>
          <w:sz w:val="20"/>
          <w:szCs w:val="20"/>
          <w:color w:val="auto"/>
        </w:rPr>
      </w:pP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operating activities:</w:t>
      </w:r>
    </w:p>
    <w:p>
      <w:pPr>
        <w:sectPr>
          <w:pgSz w:w="11900" w:h="16838" w:orient="portrait"/>
          <w:cols w:equalWidth="0" w:num="1">
            <w:col w:w="11420"/>
          </w:cols>
          <w:pgMar w:left="240" w:top="125" w:right="239" w:bottom="1111" w:gutter="0" w:footer="0" w:header="0"/>
        </w:sectPr>
      </w:pP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Adjustments to reconcile net income to net cash used in operating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Share-based compensation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debt discount and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Allowances for doubtful accounts and unbilled services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Changes in operating assets and liabilities, net of acquisitions: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(Increase) decrease in receivables from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(Increase) decrease in unbilled services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(Increase) decrease in current income tax receivable / payable,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(Increase) decrease in other assets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Increase (decrease) in 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Increase (decrease) in accrued payroll and related benefits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Increase (decrease) in deferred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Net cash used in operating activities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6,002</w:t>
            </w:r>
          </w:p>
        </w:tc>
        <w:tc>
          <w:tcPr>
            <w:tcW w:w="12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1,502</w:t>
            </w:r>
          </w:p>
        </w:tc>
      </w:tr>
      <w:tr>
        <w:trPr>
          <w:trHeight w:val="540"/>
        </w:trPr>
        <w:tc>
          <w:tcPr>
            <w:tcW w:w="50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10,799</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10,289</w:t>
            </w:r>
          </w:p>
        </w:tc>
      </w:tr>
      <w:tr>
        <w:trPr>
          <w:trHeight w:val="270"/>
        </w:trPr>
        <w:tc>
          <w:tcPr>
            <w:tcW w:w="50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5,208</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5,280</w:t>
            </w:r>
          </w:p>
        </w:tc>
      </w:tr>
      <w:tr>
        <w:trPr>
          <w:trHeight w:val="270"/>
        </w:trPr>
        <w:tc>
          <w:tcPr>
            <w:tcW w:w="50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2,367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2,365</w:t>
            </w:r>
          </w:p>
        </w:tc>
      </w:tr>
      <w:tr>
        <w:trPr>
          <w:trHeight w:val="270"/>
        </w:trPr>
        <w:tc>
          <w:tcPr>
            <w:tcW w:w="50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2,418</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(1,904)</w:t>
            </w:r>
          </w:p>
        </w:tc>
      </w:tr>
      <w:tr>
        <w:trPr>
          <w:trHeight w:val="270"/>
        </w:trPr>
        <w:tc>
          <w:tcPr>
            <w:tcW w:w="50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6,332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2,716</w:t>
            </w:r>
          </w:p>
        </w:tc>
      </w:tr>
      <w:tr>
        <w:trPr>
          <w:trHeight w:val="540"/>
        </w:trPr>
        <w:tc>
          <w:tcPr>
            <w:tcW w:w="50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14,834</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(6,547)</w:t>
            </w:r>
          </w:p>
        </w:tc>
      </w:tr>
      <w:tr>
        <w:trPr>
          <w:trHeight w:val="270"/>
        </w:trPr>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(19,363)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(7,984)</w:t>
            </w:r>
          </w:p>
        </w:tc>
      </w:tr>
      <w:tr>
        <w:trPr>
          <w:trHeight w:val="270"/>
        </w:trPr>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(8,247)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(359)</w:t>
            </w:r>
          </w:p>
        </w:tc>
      </w:tr>
      <w:tr>
        <w:trPr>
          <w:trHeight w:val="270"/>
        </w:trPr>
        <w:tc>
          <w:tcPr>
            <w:tcW w:w="50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10,983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1,816</w:t>
            </w:r>
          </w:p>
        </w:tc>
      </w:tr>
      <w:tr>
        <w:trPr>
          <w:trHeight w:val="270"/>
        </w:trPr>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(3,960)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9,886</w:t>
            </w:r>
          </w:p>
        </w:tc>
      </w:tr>
      <w:tr>
        <w:trPr>
          <w:trHeight w:val="270"/>
        </w:trPr>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(37,451)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(62,450)</w:t>
            </w:r>
          </w:p>
        </w:tc>
      </w:tr>
      <w:tr>
        <w:trPr>
          <w:trHeight w:val="270"/>
        </w:trPr>
        <w:tc>
          <w:tcPr>
            <w:tcW w:w="50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3,236</w:t>
            </w:r>
          </w:p>
        </w:tc>
      </w:tr>
      <w:tr>
        <w:trPr>
          <w:trHeight w:val="33"/>
        </w:trPr>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(9,880)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(42,154)</w:t>
            </w:r>
          </w:p>
        </w:tc>
      </w:tr>
      <w:tr>
        <w:trPr>
          <w:trHeight w:val="33"/>
        </w:trPr>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sectPr>
          <w:pgSz w:w="11900" w:h="16838" w:orient="portrait"/>
          <w:cols w:equalWidth="0" w:num="2">
            <w:col w:w="7620" w:space="720"/>
            <w:col w:w="3080"/>
          </w:cols>
          <w:pgMar w:left="240" w:top="125" w:right="239" w:bottom="1111"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Purchases of property and equipment, net</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(6,482)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Investment in life insurance policies</w:t>
            </w: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(4,941)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Purchases of businesses, net of cash acquired</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(331,807)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Purchase of convertible debt investment</w:t>
            </w:r>
          </w:p>
        </w:tc>
        <w:tc>
          <w:tcPr>
            <w:tcW w:w="5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Capitalization of internally developed software costs</w:t>
            </w: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Net cash used in investing activities</w:t>
            </w:r>
          </w:p>
        </w:tc>
        <w:tc>
          <w:tcPr>
            <w:tcW w:w="5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(17,098)</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(345,730)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Proceeds from exercise of stock options</w:t>
            </w:r>
          </w:p>
        </w:tc>
        <w:tc>
          <w:tcPr>
            <w:tcW w:w="50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redeemed for employee tax withholdings</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Tax benefit from share-based compensation</w:t>
            </w:r>
          </w:p>
        </w:tc>
        <w:tc>
          <w:tcPr>
            <w:tcW w:w="50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859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2,734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 repurchases</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(55,265)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Proceeds from borrowings under credit facility</w:t>
            </w:r>
          </w:p>
        </w:tc>
        <w:tc>
          <w:tcPr>
            <w:tcW w:w="50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70,500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197,500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on credit facility</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(57,500)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Payments for capital lease obligations</w:t>
            </w:r>
          </w:p>
        </w:tc>
        <w:tc>
          <w:tcPr>
            <w:tcW w:w="5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(used in) financing activities</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(18,160)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138,229</w:t>
            </w: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5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(44,980)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(249,689)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the period</w:t>
            </w:r>
          </w:p>
        </w:tc>
        <w:tc>
          <w:tcPr>
            <w:tcW w:w="50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58,437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256,872</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the period</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13,457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7,183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Property and equipment expenditures included in accounts payable and accrued expenses</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1,461</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1,860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Contingent consideration related to business acquisitions</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Common stock issued related to business acquisition</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2,204</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1111"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111"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Huron is a global professional services firm focused on assisting clients with their most complex business issues by delivering high-value, quality solutions to support their long-term strategic objectives. We specialize in serving clients in the healthcare, higher education, life sciences, and commercial sectors as these organizations face significant transformational change and regulatory or economic pressures in dynamic market environments. With our deep industry and technical expertise, we provide advisory, consulting, technology, and analytic solutions to deliver sustainable and measurable results. We provide consulting services to a wide variety of both financially sound and distressed organizations, including healthcare organizations, leading academic institutions, Fortune 500 companies, and governmental entities.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7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accompanying unaudited consolidated financial statements reflect the financial position, results of operations, and cash flows as of and for the three months ended March 31, 2016 and 2015.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our consolidated financial statements and notes thereto for the year ended December 31, 2015 included in our Annual Report on Form 10-K. Our results for any interim period are not necessarily indicative of results for a full year or any other interim period.</w:t>
      </w:r>
    </w:p>
    <w:p>
      <w:pPr>
        <w:spacing w:after="0" w:line="1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10, 2015, we entered into an agreement to sell our Huron Legal segment to a third party. The sale closed on December 31, 2015. The operations of our Huron Legal segment have been classified as discontinued operations in our consolidated statements of earnings for all periods presented. As of March 31, 2016 and December 31, 2015, no assets or liabilities of the disposed business remained on our consolidated balance sheet. See Note 4 "Discontinued Operations" for additional information on the divestiture of our Huron Legal segment.</w:t>
      </w:r>
    </w:p>
    <w:p>
      <w:pPr>
        <w:spacing w:after="0" w:line="133" w:lineRule="exact"/>
        <w:rPr>
          <w:sz w:val="20"/>
          <w:szCs w:val="20"/>
          <w:color w:val="auto"/>
        </w:rPr>
      </w:pPr>
    </w:p>
    <w:p>
      <w:pPr>
        <w:ind w:right="1220"/>
        <w:spacing w:after="0" w:line="342" w:lineRule="auto"/>
        <w:rPr>
          <w:sz w:val="20"/>
          <w:szCs w:val="20"/>
          <w:color w:val="auto"/>
        </w:rPr>
      </w:pPr>
      <w:r>
        <w:rPr>
          <w:rFonts w:ascii="Arial" w:cs="Arial" w:eastAsia="Arial" w:hAnsi="Arial"/>
          <w:sz w:val="16"/>
          <w:szCs w:val="16"/>
          <w:color w:val="auto"/>
        </w:rPr>
        <w:t>Certain other amounts reported in the previous year have been reclassified to conform to the 2016 presentation. See Note 3 "New Accounting Pronouncements" for information on the balance sheet reclassification of our debt issuance costs related to our convertible notes.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New Accounting Pronouncements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March 2016, the Financial Accounting Standards Board (“FASB”) issued Accounting Standards Update (“ASU”) 2016-09: </w:t>
      </w:r>
      <w:r>
        <w:rPr>
          <w:rFonts w:ascii="Arial" w:cs="Arial" w:eastAsia="Arial" w:hAnsi="Arial"/>
          <w:sz w:val="18"/>
          <w:szCs w:val="18"/>
          <w:i w:val="1"/>
          <w:iCs w:val="1"/>
          <w:color w:val="auto"/>
        </w:rPr>
        <w:t>Improvements to 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Share-Based Payment Accounting</w:t>
      </w:r>
      <w:r>
        <w:rPr>
          <w:rFonts w:ascii="Arial" w:cs="Arial" w:eastAsia="Arial" w:hAnsi="Arial"/>
          <w:sz w:val="18"/>
          <w:szCs w:val="18"/>
          <w:color w:val="auto"/>
        </w:rPr>
        <w:t>. ASU 2016-09 simplifies several aspects related to the accounting for share-based payment transactions,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income taxes, forfeitures, statutory tax withholding requirements, and classification on the statement of cash flows. The updated guidance is effective for us beginning January 1, 2017. Early adoption is permitted in any interim or annual period. If early adopted in an interim period, any adjustments will be reflected as of the beginning of the fiscal year that includes that interim period. We are currently evaluating the potential effect this guidance will have on our consolidated financial statements.</w:t>
      </w:r>
    </w:p>
    <w:p>
      <w:pPr>
        <w:spacing w:after="0" w:line="13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In March 2016, the FASB issued ASU 2016-06: </w:t>
      </w:r>
      <w:r>
        <w:rPr>
          <w:rFonts w:ascii="Arial" w:cs="Arial" w:eastAsia="Arial" w:hAnsi="Arial"/>
          <w:sz w:val="17"/>
          <w:szCs w:val="17"/>
          <w:i w:val="1"/>
          <w:iCs w:val="1"/>
          <w:color w:val="auto"/>
        </w:rPr>
        <w:t>Derivatives and Hedging: Contingent Put and Call Options in Debt Instruments</w:t>
      </w:r>
      <w:r>
        <w:rPr>
          <w:rFonts w:ascii="Arial" w:cs="Arial" w:eastAsia="Arial" w:hAnsi="Arial"/>
          <w:sz w:val="17"/>
          <w:szCs w:val="17"/>
          <w:color w:val="auto"/>
        </w:rPr>
        <w:t>. ASU 2016-06 clarifies that in assessing whether an embedded contingent put or call option is clearly and closely related to the debt host, an entity is required to perform only the four-step decision sequence in ASC 815-15-25-42 (as amended by the ASU). The entity does not have to separately assess whether the event that triggers its ability to exercise the contingent option is itself indexed only to interest rates or credit risk. The updated guidance is effective for us beginning January 1, 2017. We do not expect the adoption of this guidance to have any impact on our consolidated financial statements.</w:t>
      </w:r>
    </w:p>
    <w:p>
      <w:pPr>
        <w:spacing w:after="0" w:line="11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 xml:space="preserve">In March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which supersedes ASC Topic 840, Leases, and sets the principles for the recognition, measurement, presentation and disclosure of leases for both lessees and lessors. ASU 2016-02 requires lessees to classify leases as either finance or operating leases and to record on the balance sheet a right-of-use asset and a lease liability, equal to the present value of the remaining lease payments, for all leases with a term greater than 12 months regardless of the lease classification. The lease classification will determine whether the lease expense is recognized based on an effective interest rate method or on a straight-line basis over the term of the lease. ASU 2016-02 will be effective for us beginning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January 1, 2019, with early adoption permitted. Entities are required to use a modified retrospective transition method for existing leases. We are currently evaluating the impact this guidance will have on our consolidated financial statements.</w:t>
      </w:r>
    </w:p>
    <w:p>
      <w:pPr>
        <w:spacing w:after="0" w:line="1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(Subtopic 825-10): Recognition and Measurement of Financial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Liabilities</w:t>
      </w:r>
      <w:r>
        <w:rPr>
          <w:rFonts w:ascii="Arial" w:cs="Arial" w:eastAsia="Arial" w:hAnsi="Arial"/>
          <w:sz w:val="18"/>
          <w:szCs w:val="18"/>
          <w:color w:val="auto"/>
        </w:rPr>
        <w:t>. The amendments to the guidance enhance the reporting model for financial instruments, which includes amendments to address aspects</w:t>
      </w:r>
      <w:r>
        <w:rPr>
          <w:rFonts w:ascii="Arial" w:cs="Arial" w:eastAsia="Arial" w:hAnsi="Arial"/>
          <w:sz w:val="18"/>
          <w:szCs w:val="18"/>
          <w:i w:val="1"/>
          <w:iCs w:val="1"/>
          <w:color w:val="auto"/>
        </w:rPr>
        <w:t xml:space="preserve"> </w:t>
      </w:r>
      <w:r>
        <w:rPr>
          <w:rFonts w:ascii="Arial" w:cs="Arial" w:eastAsia="Arial" w:hAnsi="Arial"/>
          <w:sz w:val="18"/>
          <w:szCs w:val="18"/>
          <w:color w:val="auto"/>
        </w:rPr>
        <w:t>of recognition, measurement, presentation and disclosure. The updated guidance is effective for us beginning January 1, 2018. We are currently evaluating the potential effect this guidance will have on our consolidated financial statements.</w:t>
      </w:r>
    </w:p>
    <w:p>
      <w:pPr>
        <w:spacing w:after="0" w:line="13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April 2015, the FASB issued ASU 2015-05, </w:t>
      </w:r>
      <w:r>
        <w:rPr>
          <w:rFonts w:ascii="Arial" w:cs="Arial" w:eastAsia="Arial" w:hAnsi="Arial"/>
          <w:sz w:val="17"/>
          <w:szCs w:val="17"/>
          <w:i w:val="1"/>
          <w:iCs w:val="1"/>
          <w:color w:val="auto"/>
        </w:rPr>
        <w:t>Intangibles-Goodwill and Other-Internal-Use Software (Subtopic 350-40): Customer's Accounting for Fees</w:t>
      </w:r>
      <w:r>
        <w:rPr>
          <w:rFonts w:ascii="Arial" w:cs="Arial" w:eastAsia="Arial" w:hAnsi="Arial"/>
          <w:sz w:val="17"/>
          <w:szCs w:val="17"/>
          <w:color w:val="auto"/>
        </w:rPr>
        <w:t xml:space="preserve"> </w:t>
      </w:r>
      <w:r>
        <w:rPr>
          <w:rFonts w:ascii="Arial" w:cs="Arial" w:eastAsia="Arial" w:hAnsi="Arial"/>
          <w:sz w:val="17"/>
          <w:szCs w:val="17"/>
          <w:i w:val="1"/>
          <w:iCs w:val="1"/>
          <w:color w:val="auto"/>
        </w:rPr>
        <w:t>Paid in a Cloud Computing Arrangement</w:t>
      </w:r>
      <w:r>
        <w:rPr>
          <w:rFonts w:ascii="Arial" w:cs="Arial" w:eastAsia="Arial" w:hAnsi="Arial"/>
          <w:sz w:val="17"/>
          <w:szCs w:val="17"/>
          <w:color w:val="auto"/>
        </w:rPr>
        <w:t>. The amendments in ASU 2015-05 provide guidance to customers about whether a cloud computing arrangement</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a software license. If a cloud computing arrangement includes a software license, the customer should account for the software license element of the arrangement consistent with other software licenses. If a cloud computing arrangement does not include a software license, the customer should account for the arrangement as a service contract. We adopted these amendments in the first quarter of 2016 on a prospective basis. The adoption of these amendments did not have any impact on our consolidated financial statements.</w:t>
      </w:r>
    </w:p>
    <w:p>
      <w:pPr>
        <w:spacing w:after="0" w:line="12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In April 2015, the FASB issued ASU 2015-03,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xml:space="preserve">. The amendments to the guidance require the presentation of debt issuance costs in the balance sheet as a deduction from the carrying amount of the related debt liability, consistent with debt discounts. In August 2015, the FASB issued ASU 2015-15, </w:t>
      </w:r>
      <w:r>
        <w:rPr>
          <w:rFonts w:ascii="Arial" w:cs="Arial" w:eastAsia="Arial" w:hAnsi="Arial"/>
          <w:sz w:val="16"/>
          <w:szCs w:val="16"/>
          <w:i w:val="1"/>
          <w:iCs w:val="1"/>
          <w:color w:val="auto"/>
        </w:rPr>
        <w:t>Presentation and Subsequent Measurement of Debt Issuance Costs Associated with Line-of-Credit Arrangements:</w:t>
      </w:r>
      <w:r>
        <w:rPr>
          <w:rFonts w:ascii="Arial" w:cs="Arial" w:eastAsia="Arial" w:hAnsi="Arial"/>
          <w:sz w:val="16"/>
          <w:szCs w:val="16"/>
          <w:color w:val="auto"/>
        </w:rPr>
        <w:t xml:space="preserve"> </w:t>
      </w:r>
      <w:r>
        <w:rPr>
          <w:rFonts w:ascii="Arial" w:cs="Arial" w:eastAsia="Arial" w:hAnsi="Arial"/>
          <w:sz w:val="16"/>
          <w:szCs w:val="16"/>
          <w:i w:val="1"/>
          <w:iCs w:val="1"/>
          <w:color w:val="auto"/>
        </w:rPr>
        <w:t>Amendments to SEC Paragraphs Pursuant to Staff Announcement at June 18, 2015 EITF Meeting</w:t>
      </w:r>
      <w:r>
        <w:rPr>
          <w:rFonts w:ascii="Arial" w:cs="Arial" w:eastAsia="Arial" w:hAnsi="Arial"/>
          <w:sz w:val="16"/>
          <w:szCs w:val="16"/>
          <w:color w:val="auto"/>
        </w:rPr>
        <w:t>, which clarifies the treatment of debt issuance costs from</w:t>
      </w:r>
      <w:r>
        <w:rPr>
          <w:rFonts w:ascii="Arial" w:cs="Arial" w:eastAsia="Arial" w:hAnsi="Arial"/>
          <w:sz w:val="16"/>
          <w:szCs w:val="16"/>
          <w:i w:val="1"/>
          <w:iCs w:val="1"/>
          <w:color w:val="auto"/>
        </w:rPr>
        <w:t xml:space="preserve"> </w:t>
      </w:r>
      <w:r>
        <w:rPr>
          <w:rFonts w:ascii="Arial" w:cs="Arial" w:eastAsia="Arial" w:hAnsi="Arial"/>
          <w:sz w:val="16"/>
          <w:szCs w:val="16"/>
          <w:color w:val="auto"/>
        </w:rPr>
        <w:t>line-of-credit arrangements after the adoption of ASU 2015-03. ASU 2015-15 clarifies that the SEC staff would not object to an entity deferring and presenting debt issuance costs related to a line-of-credit arrangement as an asset and subsequently amortizing the deferred debt issuance costs ratably over the term of such arrangement, regardless of whether there are any outstanding borrowings on the line-of-credit arrangement. We adopted these amendments in the first quarter of 2016 on a retrospective basis. As a result, we reclassified debt issuance costs related to our convertible notes of $1.2 million included in prepaid expenses and other current assets and $3.4 million included in other non-current assets to long-term debt on our previously reported consolidated balance sheet as of December 31, 2015. See Note 8 "Financing Arrangements" for information on our convertible notes.</w:t>
      </w:r>
    </w:p>
    <w:p>
      <w:pPr>
        <w:spacing w:after="0" w:line="115"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 xml:space="preserve">In February 2015, the FASB issued ASU 2015-02, </w:t>
      </w:r>
      <w:r>
        <w:rPr>
          <w:rFonts w:ascii="Arial" w:cs="Arial" w:eastAsia="Arial" w:hAnsi="Arial"/>
          <w:sz w:val="17"/>
          <w:szCs w:val="17"/>
          <w:i w:val="1"/>
          <w:iCs w:val="1"/>
          <w:color w:val="auto"/>
        </w:rPr>
        <w:t>Amendments to the Consolidation Analysis</w:t>
      </w:r>
      <w:r>
        <w:rPr>
          <w:rFonts w:ascii="Arial" w:cs="Arial" w:eastAsia="Arial" w:hAnsi="Arial"/>
          <w:sz w:val="17"/>
          <w:szCs w:val="17"/>
          <w:color w:val="auto"/>
        </w:rPr>
        <w:t>, which amends the consolidation requirements in ASC 810, Consolidation. ASU 2015-02 requires management to reevaluate all legal entities under a revised consolidation model, specifically (i) modify the evaluation of whether limited partnership and similar legal entities are variable interest entities (VIEs) or voting interest entities, (ii) eliminate the presumption that a general partner should consolidate a limited partnership, (iii) affect the consolidation analysis of reporting entities that are involved with VIEs, particularly those that have fee arrangements and related party relationships, and (iv) provide a scope exception from consolidation guidance for reporting entities with interests in legal entities that are required to comply with or operate in accordance with requirements that are similar to those in Rule 2a-7 of the Investment Act of 1940 for registered money market funds. We adopted these amendments in the first quarter of 2016. The adoption of these amendments did not have any impact on our consolidated financial statements.</w:t>
      </w:r>
    </w:p>
    <w:p>
      <w:pPr>
        <w:spacing w:after="0" w:line="1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 a new Topic, ASC 606. The new revenue recognition standard provides a five-step analysis of transactions to determine when and how revenue is recognized. The core principle is that a company should recognize revenue to depict the transfer of promised goods or services to customers in an amount that reflects the consideration to which the entity expects to be entitled in exchange for those goods or services. In August 2015, the FASB issued ASU 2015-14, </w:t>
      </w:r>
      <w:r>
        <w:rPr>
          <w:rFonts w:ascii="Arial" w:cs="Arial" w:eastAsia="Arial" w:hAnsi="Arial"/>
          <w:sz w:val="16"/>
          <w:szCs w:val="16"/>
          <w:i w:val="1"/>
          <w:iCs w:val="1"/>
          <w:color w:val="auto"/>
        </w:rPr>
        <w:t>Revenue from Contracts with Customers (Topic 606): Deferral of the</w:t>
      </w:r>
      <w:r>
        <w:rPr>
          <w:rFonts w:ascii="Arial" w:cs="Arial" w:eastAsia="Arial" w:hAnsi="Arial"/>
          <w:sz w:val="16"/>
          <w:szCs w:val="16"/>
          <w:color w:val="auto"/>
        </w:rPr>
        <w:t xml:space="preserve"> </w:t>
      </w:r>
      <w:r>
        <w:rPr>
          <w:rFonts w:ascii="Arial" w:cs="Arial" w:eastAsia="Arial" w:hAnsi="Arial"/>
          <w:sz w:val="16"/>
          <w:szCs w:val="16"/>
          <w:i w:val="1"/>
          <w:iCs w:val="1"/>
          <w:color w:val="auto"/>
        </w:rPr>
        <w:t>Effective Date</w:t>
      </w:r>
      <w:r>
        <w:rPr>
          <w:rFonts w:ascii="Arial" w:cs="Arial" w:eastAsia="Arial" w:hAnsi="Arial"/>
          <w:sz w:val="16"/>
          <w:szCs w:val="16"/>
          <w:color w:val="auto"/>
        </w:rPr>
        <w:t>, which delays the effective date of ASU 2014-09 by one year. As a result, ASU 2014-09, as amended, is effective for us beginning in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2018 and is to be applied retrospectively to each period presented or as a cumulative-effect adjustment as of the date of adoption. Early adoption will be permitted as of the original effective date in ASU 2014-09 (i.e., annual reporting periods beginning after December 15, 2016). We are currently evaluating the potential effect of adopting this guidance on our consolidated financial statements, as well as the transition methods.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Discontinued Operations</w:t>
      </w:r>
    </w:p>
    <w:p>
      <w:pPr>
        <w:spacing w:after="0" w:line="17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During 2015, we began evaluating strategic alternatives related to our Huron Legal segment, including the potential divestiture of the practice. On December 10, 2015, we entered into an agreement to sell Huron Legal to Consilio, Inc. ("Consilio"). Pursuant to the agreement, Consilio acquired substantially all of the assets and assumed certain liabilities of Huron Legal, and acquired all issued and outstanding equity interests in certain entities wholly owned by the Company. Huron Legal provided eDiscovery services, consulting services and contract management services related to law department management, information governance and compliance, legal discovery, litigation management, and legal analytics.</w:t>
      </w:r>
    </w:p>
    <w:p>
      <w:pPr>
        <w:spacing w:after="0" w:line="11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The sale closed on December 31, 2015, at which time we received net proceeds of $110.1 million and recognized a pretax disposal loss of $2.3 million. The divestiture of the Huron Legal segment represented a strategic shift that had a major effect on our operations and financial results as contemplated under ASC 205-20, </w:t>
      </w:r>
      <w:r>
        <w:rPr>
          <w:rFonts w:ascii="Arial" w:cs="Arial" w:eastAsia="Arial" w:hAnsi="Arial"/>
          <w:sz w:val="18"/>
          <w:szCs w:val="18"/>
          <w:i w:val="1"/>
          <w:iCs w:val="1"/>
          <w:color w:val="auto"/>
        </w:rPr>
        <w:t>Presentation of Financial Statements - Discontinued Operations</w:t>
      </w:r>
      <w:r>
        <w:rPr>
          <w:rFonts w:ascii="Arial" w:cs="Arial" w:eastAsia="Arial" w:hAnsi="Arial"/>
          <w:sz w:val="18"/>
          <w:szCs w:val="18"/>
          <w:color w:val="auto"/>
        </w:rPr>
        <w:t>. As such, the operations of our Huron Legal segment have been classified as discontinued operations in our consolidated statements of earnings for all periods presented. As of March 31, 2016 and December 31, 2015, no assets or liabilities of the disposed business remained on our consolidated balance sheet.</w:t>
      </w:r>
    </w:p>
    <w:p>
      <w:pPr>
        <w:spacing w:after="0" w:line="13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three months ended March 31, 2016, we recognized a $0.9 million loss from discontinued operations, net of tax primarily related to employee benefit obligations and legal fees directly related to the sale of the Huron Legal segment.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operating results of Huron Legal for the three months ended March 31, 2015.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Three Months Ended</w:t>
            </w:r>
          </w:p>
        </w:tc>
        <w:tc>
          <w:tcPr>
            <w:tcW w:w="0" w:type="dxa"/>
            <w:vAlign w:val="bottom"/>
          </w:tcPr>
          <w:p>
            <w:pPr>
              <w:spacing w:after="0"/>
              <w:rPr>
                <w:sz w:val="1"/>
                <w:szCs w:val="1"/>
                <w:color w:val="auto"/>
              </w:rPr>
            </w:pPr>
          </w:p>
        </w:tc>
      </w:tr>
      <w:tr>
        <w:trPr>
          <w:trHeight w:val="234"/>
        </w:trPr>
        <w:tc>
          <w:tcPr>
            <w:tcW w:w="9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jc w:val="right"/>
              <w:ind w:right="390"/>
              <w:spacing w:after="0"/>
              <w:rPr>
                <w:sz w:val="20"/>
                <w:szCs w:val="20"/>
                <w:color w:val="auto"/>
              </w:rPr>
            </w:pPr>
            <w:r>
              <w:rPr>
                <w:rFonts w:ascii="Arial" w:cs="Arial" w:eastAsia="Arial" w:hAnsi="Arial"/>
                <w:sz w:val="18"/>
                <w:szCs w:val="18"/>
                <w:b w:val="1"/>
                <w:bCs w:val="1"/>
                <w:color w:val="auto"/>
              </w:rPr>
              <w:t>March 31, 2015</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 and reimbursable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33,427</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37"/>
        </w:trPr>
        <w:tc>
          <w:tcPr>
            <w:tcW w:w="9260" w:type="dxa"/>
            <w:vAlign w:val="bottom"/>
          </w:tcPr>
          <w:p>
            <w:pPr>
              <w:ind w:left="380"/>
              <w:spacing w:after="0"/>
              <w:rPr>
                <w:sz w:val="20"/>
                <w:szCs w:val="20"/>
                <w:color w:val="auto"/>
              </w:rPr>
            </w:pPr>
            <w:r>
              <w:rPr>
                <w:rFonts w:ascii="Arial" w:cs="Arial" w:eastAsia="Arial" w:hAnsi="Arial"/>
                <w:sz w:val="18"/>
                <w:szCs w:val="18"/>
                <w:color w:val="auto"/>
              </w:rPr>
              <w:t>Total revenues and reimbursable expenses</w:t>
            </w:r>
          </w:p>
        </w:tc>
        <w:tc>
          <w:tcPr>
            <w:tcW w:w="1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34,274</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7"/>
              </w:rPr>
              <w:t xml:space="preserve">Direct costs and reimbursable expenses </w:t>
            </w:r>
            <w:r>
              <w:rPr>
                <w:rFonts w:ascii="Arial" w:cs="Arial" w:eastAsia="Arial" w:hAnsi="Arial"/>
                <w:sz w:val="18"/>
                <w:szCs w:val="18"/>
                <w:color w:val="auto"/>
                <w:w w:val="97"/>
              </w:rPr>
              <w:t>(exclusive of depreciation and amortization shown in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Direct costs</w:t>
            </w:r>
          </w:p>
        </w:tc>
        <w:tc>
          <w:tcPr>
            <w:tcW w:w="1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23,608</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 and software development costs</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Reimbursable expenses</w:t>
            </w:r>
          </w:p>
        </w:tc>
        <w:tc>
          <w:tcPr>
            <w:tcW w:w="1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direct costs and reimbursable expenses</w:t>
            </w:r>
          </w:p>
        </w:tc>
        <w:tc>
          <w:tcPr>
            <w:tcW w:w="18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24,511</w:t>
            </w:r>
          </w:p>
        </w:tc>
        <w:tc>
          <w:tcPr>
            <w:tcW w:w="0" w:type="dxa"/>
            <w:vAlign w:val="bottom"/>
          </w:tcPr>
          <w:p>
            <w:pPr>
              <w:spacing w:after="0"/>
              <w:rPr>
                <w:sz w:val="1"/>
                <w:szCs w:val="1"/>
                <w:color w:val="auto"/>
              </w:rPr>
            </w:pPr>
          </w:p>
        </w:tc>
      </w:tr>
      <w:tr>
        <w:trPr>
          <w:trHeight w:val="223"/>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9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5,508</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2,489</w:t>
            </w:r>
          </w:p>
        </w:tc>
        <w:tc>
          <w:tcPr>
            <w:tcW w:w="0" w:type="dxa"/>
            <w:vAlign w:val="bottom"/>
          </w:tcPr>
          <w:p>
            <w:pPr>
              <w:spacing w:after="0"/>
              <w:rPr>
                <w:sz w:val="1"/>
                <w:szCs w:val="1"/>
                <w:color w:val="auto"/>
              </w:rPr>
            </w:pPr>
          </w:p>
        </w:tc>
      </w:tr>
      <w:tr>
        <w:trPr>
          <w:trHeight w:val="237"/>
        </w:trPr>
        <w:tc>
          <w:tcPr>
            <w:tcW w:w="92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8,931</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before income tax expense</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bottom w:val="single" w:sz="8" w:color="CCEEFF"/>
            </w:tcBorders>
            <w:vMerge w:val="restart"/>
          </w:tcPr>
          <w:p>
            <w:pPr>
              <w:ind w:left="5660"/>
              <w:spacing w:after="0"/>
              <w:rPr>
                <w:sz w:val="20"/>
                <w:szCs w:val="20"/>
                <w:color w:val="auto"/>
              </w:rPr>
            </w:pPr>
            <w:r>
              <w:rPr>
                <w:rFonts w:ascii="Arial" w:cs="Arial" w:eastAsia="Arial" w:hAnsi="Arial"/>
                <w:sz w:val="18"/>
                <w:szCs w:val="18"/>
                <w:color w:val="auto"/>
              </w:rPr>
              <w:t>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9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summarizes the amounts reflected in our consolidated statements of cash flows that relate to the discontinued operation for the three months ended March 31, 2015.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Three Months Ended</w:t>
            </w:r>
          </w:p>
        </w:tc>
      </w:tr>
      <w:tr>
        <w:trPr>
          <w:trHeight w:val="234"/>
        </w:trPr>
        <w:tc>
          <w:tcPr>
            <w:tcW w:w="9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tcPr>
          <w:p>
            <w:pPr>
              <w:jc w:val="right"/>
              <w:ind w:right="510"/>
              <w:spacing w:after="0"/>
              <w:rPr>
                <w:sz w:val="20"/>
                <w:szCs w:val="20"/>
                <w:color w:val="auto"/>
              </w:rPr>
            </w:pPr>
            <w:r>
              <w:rPr>
                <w:rFonts w:ascii="Arial" w:cs="Arial" w:eastAsia="Arial" w:hAnsi="Arial"/>
                <w:sz w:val="18"/>
                <w:szCs w:val="18"/>
                <w:b w:val="1"/>
                <w:bCs w:val="1"/>
                <w:color w:val="auto"/>
              </w:rPr>
              <w:t>March 31, 2015</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273</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Significant non-cash investing items of discontinued operations:</w:t>
            </w:r>
          </w:p>
        </w:tc>
        <w:tc>
          <w:tcPr>
            <w:tcW w:w="26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43"/>
        </w:trPr>
        <w:tc>
          <w:tcPr>
            <w:tcW w:w="9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 related to business acquisitions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r>
      <w:tr>
        <w:trPr>
          <w:trHeight w:val="27"/>
        </w:trPr>
        <w:tc>
          <w:tcPr>
            <w:tcW w:w="9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connection with the sale of Huron Legal, we entered into a transition services agreement ("TSA") with Consilio, under which we are providing certain post-closing services, support, and facilities to Consilio to facilitate an orderly transfer of the Huron Legal business operations. Billings under the TSA, which we do not consider to be significant, are recorded as a reduction of the costs to provide the respective service, primarily in selling, general and administrative expenses in the consolidated statements of earnings. We expect to provide services under the TSA through December 31, 2016 with the scope of services decreasing over the term of the agreement. Other than the TSA, we have no continuing involvement with the Huron Legal segment.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My Rounding Solutions, LLC</w:t>
      </w:r>
    </w:p>
    <w:p>
      <w:pPr>
        <w:spacing w:after="0" w:line="17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Effective February 1, 2016, we completed the acquisition of My Rounding Solutions, LLC ("MyRounding"), a Denver, Colorado-based firm specializing in digital health solutions to improve patient care. The MyRounding application is designed to standardize, automate and track rounding activity, allowing nurses and staff to improve the care and experience of patients in real time. The addition of MyRounding expands the integration of our software and consulting solutions and strengthens our transformation services for healthcare providers. This acquisition was not significant to our consolidated financial statements. MyRounding's results of operations have been included in our consolidated financial statements and the results of operations of our Huron Healthcare segment from the date of acquisition.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Studer Holdings, Inc.</w:t>
      </w:r>
    </w:p>
    <w:p>
      <w:pPr>
        <w:spacing w:after="0" w:line="17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On February 12, 2015, we acquired 100% of the outstanding stock of Studer Holdings, Inc. (“Studer Group”) from the existing shareholders in accordance with an Agreement and Plan of Merger dated January 26, 2015 (the “Merger Agreement”). Studer Group is a professional services firm that assists healthcare providers achieve cultural transformation to deliver and sustain improvement in clinical outcomes and financial results. The acquisition combines Huron Healthcare’s performance improvement and clinical transformation capabilities with Studer Group’s Evidence-Based Leadership</w:t>
      </w:r>
      <w:r>
        <w:rPr>
          <w:rFonts w:ascii="Arial" w:cs="Arial" w:eastAsia="Arial" w:hAnsi="Arial"/>
          <w:sz w:val="21"/>
          <w:szCs w:val="21"/>
          <w:color w:val="auto"/>
          <w:vertAlign w:val="superscript"/>
        </w:rPr>
        <w:t>SM</w:t>
      </w:r>
      <w:r>
        <w:rPr>
          <w:rFonts w:ascii="Arial" w:cs="Arial" w:eastAsia="Arial" w:hAnsi="Arial"/>
          <w:sz w:val="18"/>
          <w:szCs w:val="18"/>
          <w:color w:val="auto"/>
        </w:rPr>
        <w:t xml:space="preserve"> framework to provide leadership and cultural transformation expertise for healthcare provider clients.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date fair value of the consideration transferred for Studer Group was $325.2 million, which consisted of the following:</w:t>
      </w: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Fair value of consideration transferred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740" w:type="dxa"/>
            <w:vAlign w:val="bottom"/>
            <w:tcBorders>
              <w:top w:val="single" w:sz="8" w:color="auto"/>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323,237</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2,204</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working capital adjustment</w:t>
            </w:r>
          </w:p>
        </w:tc>
        <w:tc>
          <w:tcPr>
            <w:tcW w:w="7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37"/>
        </w:trPr>
        <w:tc>
          <w:tcPr>
            <w:tcW w:w="9360" w:type="dxa"/>
            <w:vAlign w:val="bottom"/>
          </w:tcPr>
          <w:p>
            <w:pPr>
              <w:ind w:left="380"/>
              <w:spacing w:after="0"/>
              <w:rPr>
                <w:sz w:val="20"/>
                <w:szCs w:val="20"/>
                <w:color w:val="auto"/>
              </w:rPr>
            </w:pPr>
            <w:r>
              <w:rPr>
                <w:rFonts w:ascii="Arial" w:cs="Arial" w:eastAsia="Arial" w:hAnsi="Arial"/>
                <w:sz w:val="18"/>
                <w:szCs w:val="18"/>
                <w:color w:val="auto"/>
              </w:rPr>
              <w:t>Total consideration transferred</w:t>
            </w: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325,186</w:t>
            </w:r>
          </w:p>
        </w:tc>
      </w:tr>
      <w:tr>
        <w:trPr>
          <w:trHeight w:val="27"/>
        </w:trPr>
        <w:tc>
          <w:tcPr>
            <w:tcW w:w="93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9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funded the cash component of the purchase price with cash on hand and borrowings of $102.0 million under our senior secured credit facility. We issued 28,486 shares of our common stock as part of the consideration transferred, with an acquisition date fair value of $2.2 million based on the closing price of $77.35 on the date of acquisition.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acquisition was accounted for using the acquisition method of accounting. Tangible and identifiable intangible assets acquired and liabilities assumed are recorded at fair value as of the acquisition date. The following table summarizes the allocation of the purchase price to the fair value of assets acquired and liabilities assumed as of the acquisition date.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tcPr>
          <w:p>
            <w:pPr>
              <w:jc w:val="right"/>
              <w:ind w:right="630"/>
              <w:spacing w:after="0"/>
              <w:rPr>
                <w:sz w:val="20"/>
                <w:szCs w:val="20"/>
                <w:color w:val="auto"/>
              </w:rPr>
            </w:pPr>
            <w:r>
              <w:rPr>
                <w:rFonts w:ascii="Arial" w:cs="Arial" w:eastAsia="Arial" w:hAnsi="Arial"/>
                <w:sz w:val="18"/>
                <w:szCs w:val="18"/>
                <w:b w:val="1"/>
                <w:bCs w:val="1"/>
                <w:color w:val="auto"/>
              </w:rPr>
              <w:t>Amount</w:t>
            </w:r>
          </w:p>
        </w:tc>
      </w:tr>
      <w:tr>
        <w:trPr>
          <w:trHeight w:val="27"/>
        </w:trPr>
        <w:tc>
          <w:tcPr>
            <w:tcW w:w="9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 acquired:</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14,906</w:t>
            </w:r>
          </w:p>
        </w:tc>
      </w:tr>
      <w:tr>
        <w:trPr>
          <w:trHeight w:val="27"/>
        </w:trPr>
        <w:tc>
          <w:tcPr>
            <w:tcW w:w="9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Deferred income tax asset</w:t>
            </w:r>
          </w:p>
        </w:tc>
        <w:tc>
          <w:tcPr>
            <w:tcW w:w="4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4,335</w:t>
            </w:r>
          </w:p>
        </w:tc>
      </w:tr>
      <w:tr>
        <w:trPr>
          <w:trHeight w:val="27"/>
        </w:trPr>
        <w:tc>
          <w:tcPr>
            <w:tcW w:w="9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4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97,500</w:t>
            </w:r>
          </w:p>
        </w:tc>
      </w:tr>
      <w:tr>
        <w:trPr>
          <w:trHeight w:val="27"/>
        </w:trPr>
        <w:tc>
          <w:tcPr>
            <w:tcW w:w="9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760</w:t>
            </w:r>
          </w:p>
        </w:tc>
      </w:tr>
      <w:tr>
        <w:trPr>
          <w:trHeight w:val="27"/>
        </w:trPr>
        <w:tc>
          <w:tcPr>
            <w:tcW w:w="9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Accrued payroll and related benefits</w:t>
            </w:r>
          </w:p>
        </w:tc>
        <w:tc>
          <w:tcPr>
            <w:tcW w:w="4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1,574</w:t>
            </w:r>
          </w:p>
        </w:tc>
      </w:tr>
      <w:tr>
        <w:trPr>
          <w:trHeight w:val="27"/>
        </w:trPr>
        <w:tc>
          <w:tcPr>
            <w:tcW w:w="9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revenues</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Deferred income tax liability</w:t>
            </w:r>
          </w:p>
        </w:tc>
        <w:tc>
          <w:tcPr>
            <w:tcW w:w="4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21,263</w:t>
            </w:r>
          </w:p>
        </w:tc>
      </w:tr>
      <w:tr>
        <w:trPr>
          <w:trHeight w:val="27"/>
        </w:trPr>
        <w:tc>
          <w:tcPr>
            <w:tcW w:w="9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w:t>
            </w:r>
          </w:p>
        </w:tc>
      </w:tr>
      <w:tr>
        <w:trPr>
          <w:trHeight w:val="237"/>
        </w:trPr>
        <w:tc>
          <w:tcPr>
            <w:tcW w:w="9360" w:type="dxa"/>
            <w:vAlign w:val="bottom"/>
          </w:tcPr>
          <w:p>
            <w:pPr>
              <w:ind w:left="380"/>
              <w:spacing w:after="0"/>
              <w:rPr>
                <w:sz w:val="20"/>
                <w:szCs w:val="20"/>
                <w:color w:val="auto"/>
              </w:rPr>
            </w:pPr>
            <w:r>
              <w:rPr>
                <w:rFonts w:ascii="Arial" w:cs="Arial" w:eastAsia="Arial" w:hAnsi="Arial"/>
                <w:sz w:val="18"/>
                <w:szCs w:val="18"/>
                <w:color w:val="auto"/>
              </w:rPr>
              <w:t>Total identifiable net assets</w:t>
            </w:r>
          </w:p>
        </w:tc>
        <w:tc>
          <w:tcPr>
            <w:tcW w:w="4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92,510</w:t>
            </w:r>
          </w:p>
        </w:tc>
      </w:tr>
      <w:tr>
        <w:trPr>
          <w:trHeight w:val="27"/>
        </w:trPr>
        <w:tc>
          <w:tcPr>
            <w:tcW w:w="9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232,676</w:t>
            </w:r>
          </w:p>
        </w:tc>
      </w:tr>
      <w:tr>
        <w:trPr>
          <w:trHeight w:val="237"/>
        </w:trPr>
        <w:tc>
          <w:tcPr>
            <w:tcW w:w="9360" w:type="dxa"/>
            <w:vAlign w:val="bottom"/>
          </w:tcPr>
          <w:p>
            <w:pPr>
              <w:ind w:left="380"/>
              <w:spacing w:after="0"/>
              <w:rPr>
                <w:sz w:val="20"/>
                <w:szCs w:val="20"/>
                <w:color w:val="auto"/>
              </w:rPr>
            </w:pPr>
            <w:r>
              <w:rPr>
                <w:rFonts w:ascii="Arial" w:cs="Arial" w:eastAsia="Arial" w:hAnsi="Arial"/>
                <w:sz w:val="18"/>
                <w:szCs w:val="18"/>
                <w:color w:val="auto"/>
              </w:rPr>
              <w:t>Total purchase price</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325,186</w:t>
            </w:r>
          </w:p>
        </w:tc>
      </w:tr>
      <w:tr>
        <w:trPr>
          <w:trHeight w:val="27"/>
        </w:trPr>
        <w:tc>
          <w:tcPr>
            <w:tcW w:w="93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9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identifiable intangible assets acquired and their estimated useful lives as of the acquisition date.</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 in</w:t>
            </w:r>
          </w:p>
        </w:tc>
      </w:tr>
      <w:tr>
        <w:trPr>
          <w:trHeight w:val="234"/>
        </w:trPr>
        <w:tc>
          <w:tcPr>
            <w:tcW w:w="7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49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5"/>
              </w:rPr>
              <w:t>Years</w:t>
            </w:r>
          </w:p>
        </w:tc>
      </w:tr>
      <w:tr>
        <w:trPr>
          <w:trHeight w:val="27"/>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Customer contracts</w:t>
            </w: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25,100</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4</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Technology and software</w:t>
            </w: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3,900</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Publishing content</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3</w:t>
            </w: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 intangible assets subject to amortization</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97,500</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weighted average amortization period for the identifiable intangible assets shown above is 6.3 years. Customer relationships and customer contracts represent the fair values of the underlying relationships and agreements with Studer Group customers. The trade name represents the fair value of the brand and name recognition associated with the marketing of Studer Group’s service offerings. Technology and software and publishing content represent the estimated fair values of Studer Group’s software and books that are sold to customers. Goodwill is recognized for the excess of purchase price over the net fair value of assets acquired and liabilities assumed, and largely reflects the expanded market opportunities expected from combining the service offerings of Huron and Studer Group, as well as the assembled workforce of Studer Group. Goodwill recognized in conjunction with the acquisition of Studer Group was recorded in the Huron Healthcare segment. Goodwill of $119.5 million is expected to be deductible for income tax purposes.</w:t>
      </w:r>
    </w:p>
    <w:p>
      <w:pPr>
        <w:spacing w:after="0" w:line="11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Studer Group’s results of operations have been included in our unaudited consolidated statements of earnings and other comprehensive income and results of operations of our Huron Healthcare segment from the date of acquisition. For the three months ended March 31, 2016, revenues from Studer Group were $23.4 million and operating income was $1.6 million, which included $5.7 million of amortization expense for intangible assets acquired. For the three months ended March 31, 2015, revenues from Studer Group were $11.4 million and operating income was $1.2 million, which included $2.8 million of amortization expense for intangible assets acquired. In connection with the acquisition of Studer Group, we incurred $2.1 million of transaction and acquisition-related expenses, $0.9 million of which were incurred in the fourth quarter of 2014, $1.0</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million of which were incurred in the first quarter of 2015, and the remaining $0.2 million were incurred in the second quarter of 2015. These costs are recorded in selling, general and administrative expenses in the period in which they were incurred.</w:t>
      </w:r>
    </w:p>
    <w:p>
      <w:pPr>
        <w:spacing w:after="0" w:line="1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supplemental pro forma information summarizes the combined results of operations for Huron and Studer Group for the three months ended March 31, 2015 as though the companies were combined on January 1, 2014.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Three Months Ended</w:t>
            </w:r>
          </w:p>
        </w:tc>
      </w:tr>
      <w:tr>
        <w:trPr>
          <w:trHeight w:val="234"/>
        </w:trPr>
        <w:tc>
          <w:tcPr>
            <w:tcW w:w="9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jc w:val="right"/>
              <w:ind w:right="390"/>
              <w:spacing w:after="0"/>
              <w:rPr>
                <w:sz w:val="20"/>
                <w:szCs w:val="20"/>
                <w:color w:val="auto"/>
              </w:rPr>
            </w:pPr>
            <w:r>
              <w:rPr>
                <w:rFonts w:ascii="Arial" w:cs="Arial" w:eastAsia="Arial" w:hAnsi="Arial"/>
                <w:sz w:val="18"/>
                <w:szCs w:val="18"/>
                <w:b w:val="1"/>
                <w:bCs w:val="1"/>
                <w:color w:val="auto"/>
              </w:rPr>
              <w:t>March 31, 2015</w:t>
            </w:r>
          </w:p>
        </w:tc>
      </w:tr>
      <w:tr>
        <w:trPr>
          <w:trHeight w:val="27"/>
        </w:trPr>
        <w:tc>
          <w:tcPr>
            <w:tcW w:w="9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165,248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1,544</w:t>
            </w: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 per share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Net income from continuing operations per share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0.07</w:t>
            </w:r>
          </w:p>
        </w:tc>
      </w:tr>
    </w:tbl>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historical financial information has been adjusted to give effect to pro forma adjustments, which consist of intangible assets amortization expense, transaction and acquisition-related costs, interest expense, the related income tax effects, and shares issued as consideration. These adjustments are based upon currently available information and certain assumptions. Therefore, the pro forma consolidated results are not necessarily indicative of what the Company’s consolidated results of operations actually would have been had it completed the acquisition on January 1, 2014. The historical results included in the pro forma consolidated results do not purport to project future results of operations of the combined companies nor do they reflect the expected realization of any cost savings or revenue synergies associated with the acquisition.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carrying amount of goodwill by reportable segment for the three months ended March 31, 2016.</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Huron</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Education</w:t>
            </w: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Huron</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Huron</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and Life</w:t>
            </w: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Business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Healthcare</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Sciences</w:t>
            </w:r>
          </w:p>
        </w:tc>
        <w:tc>
          <w:tcPr>
            <w:tcW w:w="22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Advisory</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610,264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102,906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181,213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894,383</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impairment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(142,983)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(142,983)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Goodwill, net as of December 31, 2015</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610,264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102,906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38,230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751,400</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recorded in connection with business acquisition</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13,885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248</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 as of March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624,149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102,906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38,478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765,533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Refer to Note 5 “Acquisitions” for additional information on our recent acquisition.</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March 31, 2016 and December 31, 2015 consisted of the following: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720"/>
              <w:spacing w:after="0"/>
              <w:rPr>
                <w:sz w:val="20"/>
                <w:szCs w:val="20"/>
                <w:color w:val="auto"/>
              </w:rPr>
            </w:pPr>
            <w:r>
              <w:rPr>
                <w:rFonts w:ascii="Arial" w:cs="Arial" w:eastAsia="Arial" w:hAnsi="Arial"/>
                <w:sz w:val="18"/>
                <w:szCs w:val="18"/>
                <w:b w:val="1"/>
                <w:bCs w:val="1"/>
                <w:color w:val="auto"/>
              </w:rPr>
              <w:t>March 31, 2016</w:t>
            </w:r>
          </w:p>
        </w:tc>
        <w:tc>
          <w:tcPr>
            <w:tcW w:w="260" w:type="dxa"/>
            <w:vAlign w:val="bottom"/>
          </w:tcPr>
          <w:p>
            <w:pPr>
              <w:spacing w:after="0"/>
              <w:rPr>
                <w:sz w:val="20"/>
                <w:szCs w:val="20"/>
                <w:color w:val="auto"/>
              </w:rPr>
            </w:pPr>
          </w:p>
        </w:tc>
        <w:tc>
          <w:tcPr>
            <w:tcW w:w="28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2015</w:t>
            </w:r>
          </w:p>
        </w:tc>
      </w:tr>
      <w:tr>
        <w:trPr>
          <w:trHeight w:val="27"/>
        </w:trPr>
        <w:tc>
          <w:tcPr>
            <w:tcW w:w="36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366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Useful</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Life in</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Accumulated</w:t>
            </w:r>
          </w:p>
        </w:tc>
      </w:tr>
      <w:tr>
        <w:trPr>
          <w:trHeight w:val="234"/>
        </w:trPr>
        <w:tc>
          <w:tcPr>
            <w:tcW w:w="366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Years</w:t>
            </w:r>
          </w:p>
        </w:tc>
        <w:tc>
          <w:tcPr>
            <w:tcW w:w="26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Amortization</w:t>
            </w:r>
          </w:p>
        </w:tc>
      </w:tr>
      <w:tr>
        <w:trPr>
          <w:trHeight w:val="27"/>
        </w:trPr>
        <w:tc>
          <w:tcPr>
            <w:tcW w:w="36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w:t>
            </w: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 to 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11,943</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5 to 13</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79,780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25,080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79,449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22,360</w:t>
            </w: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Non-competition agreements</w:t>
            </w: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2 to 5</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1,498</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3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22,930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22,800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5,396</w:t>
            </w: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software</w:t>
            </w: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3 to 5</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1,324</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Publishing content</w:t>
            </w:r>
          </w:p>
        </w:tc>
        <w:tc>
          <w:tcPr>
            <w:tcW w:w="13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963</w:t>
            </w: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 contract</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In-process technology</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Indefinite</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138,476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43,484</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40"/>
        <w:spacing w:after="0" w:line="297" w:lineRule="auto"/>
        <w:rPr>
          <w:sz w:val="20"/>
          <w:szCs w:val="20"/>
          <w:color w:val="auto"/>
        </w:rPr>
      </w:pPr>
      <w:r>
        <w:rPr>
          <w:rFonts w:ascii="Arial" w:cs="Arial" w:eastAsia="Arial" w:hAnsi="Arial"/>
          <w:sz w:val="16"/>
          <w:szCs w:val="16"/>
          <w:color w:val="auto"/>
        </w:rPr>
        <w:t>Identifiable intangible assets with finite lives are amortized over their estimated useful lives. The majority of customer relationships and certain customer contracts, trade names, and technology and software are amortized on an accelerated basis to correspond to the cash flows expected to be derived from the assets. All other intangible assets with finite lives are amortized on a straight-line basis. In connection with the acquisition of MyRounding, we acquired in-process technology which is accounted for as an indefinite-lived intangible asset until the development of the technology is complete, at which point we will determine the useful life and amortize it accordingly. Refer to Note 5 "Acquisitions" for additional information on the acquisition of MyRounding.</w:t>
      </w:r>
    </w:p>
    <w:p>
      <w:pPr>
        <w:spacing w:after="0" w:line="10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Intangible assets amortization expense was $7.4 million and $4.6 million for the three months ended March 31, 2016 and 2015, respectively. The table below sets forth the estimated annual amortization expense for the year ending December 31, 2016 and each of the five succeeding years for the intangible assets recorded as of March 31, 2016.</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gridSpan w:val="2"/>
          </w:tcPr>
          <w:p>
            <w:pPr>
              <w:ind w:left="3600"/>
              <w:spacing w:after="0"/>
              <w:rPr>
                <w:sz w:val="20"/>
                <w:szCs w:val="20"/>
                <w:color w:val="auto"/>
              </w:rPr>
            </w:pPr>
            <w:r>
              <w:rPr>
                <w:rFonts w:ascii="Arial" w:cs="Arial" w:eastAsia="Arial" w:hAnsi="Arial"/>
                <w:sz w:val="18"/>
                <w:szCs w:val="18"/>
                <w:b w:val="1"/>
                <w:bCs w:val="1"/>
                <w:color w:val="auto"/>
              </w:rPr>
              <w:t>Year Ending December 31,</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Estimated Amount</w:t>
            </w:r>
          </w:p>
        </w:tc>
      </w:tr>
      <w:tr>
        <w:trPr>
          <w:trHeight w:val="27"/>
        </w:trPr>
        <w:tc>
          <w:tcPr>
            <w:tcW w:w="9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jc w:val="right"/>
              <w:ind w:right="8770"/>
              <w:spacing w:after="0"/>
              <w:rPr>
                <w:sz w:val="20"/>
                <w:szCs w:val="20"/>
                <w:color w:val="auto"/>
              </w:rPr>
            </w:pPr>
            <w:r>
              <w:rPr>
                <w:rFonts w:ascii="Arial" w:cs="Arial" w:eastAsia="Arial" w:hAnsi="Arial"/>
                <w:sz w:val="18"/>
                <w:szCs w:val="18"/>
                <w:color w:val="auto"/>
                <w:w w:val="94"/>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29,576</w:t>
            </w:r>
          </w:p>
        </w:tc>
      </w:tr>
      <w:tr>
        <w:trPr>
          <w:trHeight w:val="243"/>
        </w:trPr>
        <w:tc>
          <w:tcPr>
            <w:tcW w:w="9260" w:type="dxa"/>
            <w:vAlign w:val="bottom"/>
          </w:tcPr>
          <w:p>
            <w:pPr>
              <w:jc w:val="right"/>
              <w:ind w:right="8770"/>
              <w:spacing w:after="0"/>
              <w:rPr>
                <w:sz w:val="20"/>
                <w:szCs w:val="20"/>
                <w:color w:val="auto"/>
              </w:rPr>
            </w:pPr>
            <w:r>
              <w:rPr>
                <w:rFonts w:ascii="Arial" w:cs="Arial" w:eastAsia="Arial" w:hAnsi="Arial"/>
                <w:sz w:val="18"/>
                <w:szCs w:val="18"/>
                <w:color w:val="auto"/>
                <w:w w:val="94"/>
              </w:rPr>
              <w:t>2017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26,448</w:t>
            </w: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jc w:val="right"/>
              <w:ind w:right="8770"/>
              <w:spacing w:after="0"/>
              <w:rPr>
                <w:sz w:val="20"/>
                <w:szCs w:val="20"/>
                <w:color w:val="auto"/>
              </w:rPr>
            </w:pPr>
            <w:r>
              <w:rPr>
                <w:rFonts w:ascii="Arial" w:cs="Arial" w:eastAsia="Arial" w:hAnsi="Arial"/>
                <w:sz w:val="18"/>
                <w:szCs w:val="18"/>
                <w:color w:val="auto"/>
                <w:w w:val="94"/>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16,648</w:t>
            </w:r>
          </w:p>
        </w:tc>
      </w:tr>
      <w:tr>
        <w:trPr>
          <w:trHeight w:val="243"/>
        </w:trPr>
        <w:tc>
          <w:tcPr>
            <w:tcW w:w="9260" w:type="dxa"/>
            <w:vAlign w:val="bottom"/>
          </w:tcPr>
          <w:p>
            <w:pPr>
              <w:jc w:val="right"/>
              <w:ind w:right="8770"/>
              <w:spacing w:after="0"/>
              <w:rPr>
                <w:sz w:val="20"/>
                <w:szCs w:val="20"/>
                <w:color w:val="auto"/>
              </w:rPr>
            </w:pPr>
            <w:r>
              <w:rPr>
                <w:rFonts w:ascii="Arial" w:cs="Arial" w:eastAsia="Arial" w:hAnsi="Arial"/>
                <w:sz w:val="18"/>
                <w:szCs w:val="18"/>
                <w:color w:val="auto"/>
                <w:w w:val="94"/>
              </w:rPr>
              <w:t>2019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10,911</w:t>
            </w: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jc w:val="right"/>
              <w:ind w:right="8770"/>
              <w:spacing w:after="0"/>
              <w:rPr>
                <w:sz w:val="20"/>
                <w:szCs w:val="20"/>
                <w:color w:val="auto"/>
              </w:rPr>
            </w:pPr>
            <w:r>
              <w:rPr>
                <w:rFonts w:ascii="Arial" w:cs="Arial" w:eastAsia="Arial" w:hAnsi="Arial"/>
                <w:sz w:val="18"/>
                <w:szCs w:val="18"/>
                <w:color w:val="auto"/>
                <w:w w:val="94"/>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6,973</w:t>
            </w:r>
          </w:p>
        </w:tc>
      </w:tr>
      <w:tr>
        <w:trPr>
          <w:trHeight w:val="243"/>
        </w:trPr>
        <w:tc>
          <w:tcPr>
            <w:tcW w:w="9260" w:type="dxa"/>
            <w:vAlign w:val="bottom"/>
          </w:tcPr>
          <w:p>
            <w:pPr>
              <w:jc w:val="right"/>
              <w:ind w:right="8770"/>
              <w:spacing w:after="0"/>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4,343</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Actual future amortization expense could differ from these estimated amounts as a result of future acquisitions, dispositions, and other factors.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17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outstanding common stock options, convertible senior notes, and outstanding warrants, to the extent dilutive. Earnings per share under the basic and diluted computations are as follows:</w:t>
      </w:r>
    </w:p>
    <w:p>
      <w:pPr>
        <w:spacing w:after="0" w:line="277"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22860</wp:posOffset>
            </wp:positionV>
            <wp:extent cx="1663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534</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8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22,126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Weighted average common stock equivalents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476</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22,602</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8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per basic share: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0.07</w:t>
            </w:r>
          </w:p>
        </w:tc>
      </w:tr>
      <w:tr>
        <w:trPr>
          <w:trHeight w:val="67"/>
        </w:trPr>
        <w:tc>
          <w:tcPr>
            <w:tcW w:w="88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64"/>
        </w:trPr>
        <w:tc>
          <w:tcPr>
            <w:tcW w:w="88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earnings per diluted share: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0.03</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number of anti-dilutive securities excluded from the computation of the weighted average common stock equivalents presented above is shown in the following table.</w:t>
      </w:r>
    </w:p>
    <w:p>
      <w:pPr>
        <w:spacing w:after="0" w:line="275"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34290</wp:posOffset>
            </wp:positionV>
            <wp:extent cx="23837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gridSpan w:val="2"/>
          </w:tcPr>
          <w:p>
            <w:pPr>
              <w:ind w:left="8400"/>
              <w:spacing w:after="0"/>
              <w:rPr>
                <w:sz w:val="20"/>
                <w:szCs w:val="20"/>
                <w:color w:val="auto"/>
              </w:rPr>
            </w:pPr>
            <w:r>
              <w:rPr>
                <w:rFonts w:ascii="Arial" w:cs="Arial" w:eastAsia="Arial" w:hAnsi="Arial"/>
                <w:sz w:val="18"/>
                <w:szCs w:val="18"/>
                <w:b w:val="1"/>
                <w:bCs w:val="1"/>
                <w:color w:val="auto"/>
              </w:rPr>
              <w:t>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r>
      <w:tr>
        <w:trPr>
          <w:trHeight w:val="27"/>
        </w:trPr>
        <w:tc>
          <w:tcPr>
            <w:tcW w:w="7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w:t>
            </w: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60" w:type="dxa"/>
            <w:vAlign w:val="bottom"/>
            <w:gridSpan w:val="2"/>
          </w:tcPr>
          <w:p>
            <w:pPr>
              <w:ind w:left="40"/>
              <w:spacing w:after="0"/>
              <w:rPr>
                <w:sz w:val="20"/>
                <w:szCs w:val="20"/>
                <w:color w:val="auto"/>
              </w:rPr>
            </w:pPr>
            <w:r>
              <w:rPr>
                <w:rFonts w:ascii="Arial" w:cs="Arial" w:eastAsia="Arial" w:hAnsi="Arial"/>
                <w:sz w:val="18"/>
                <w:szCs w:val="18"/>
                <w:color w:val="auto"/>
              </w:rPr>
              <w:t>Convertible senior notes</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3,129</w:t>
            </w:r>
          </w:p>
        </w:tc>
        <w:tc>
          <w:tcPr>
            <w:tcW w:w="1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3,129</w:t>
            </w: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8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Warrants related to the issuance of convertible senior notes</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3,129</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3,129</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anti-dilutive securities</w:t>
            </w:r>
          </w:p>
        </w:tc>
        <w:tc>
          <w:tcPr>
            <w:tcW w:w="1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6,304</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6,258</w:t>
            </w:r>
          </w:p>
        </w:tc>
      </w:tr>
      <w:tr>
        <w:trPr>
          <w:trHeight w:val="27"/>
        </w:trPr>
        <w:tc>
          <w:tcPr>
            <w:tcW w:w="7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See Note 8 “Financing Arrangements” for further information on the convertible senior notes and warrants related to the issuance of convertible notes.</w:t>
      </w:r>
    </w:p>
    <w:p>
      <w:pPr>
        <w:spacing w:after="0" w:line="1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October 2014, our board of directors authorized a share repurchase program pursuant to which we could, from time to time, repurchase up to $50 million of our common stock through October 31, 2015 (the “October 2014 Share Repurchase Program”). In the fourth quarter of 2015, our board of directors authorized an extension of the October 2014 Share Repurchase Program through October 31, 2016, and authorized an increase to the October 2014 Share Repurchase Program to $125 million. The amount and timing of the repurchases will be determined by management and will depend on a variety of factors, including the trading price of our common stock, general market and business conditions, and applicable legal requirements. In the first quarter of 2016, 982,192 shares were repurchased and retired for $55.3 million under the October 2014 Share Repurchase Program. No shares were repurchased in the first quarter of 2015. As of March 31, 2016, $35.1 million remains available for share repurchases under the October 2014 Share Repurchase Program.</w:t>
      </w:r>
    </w:p>
    <w:p>
      <w:pPr>
        <w:sectPr>
          <w:pgSz w:w="11900" w:h="16838" w:orient="portrait"/>
          <w:cols w:equalWidth="0" w:num="1">
            <w:col w:w="11420"/>
          </w:cols>
          <w:pgMar w:left="240" w:top="125"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8. Financing Arrangements</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660" w:type="dxa"/>
            <w:vAlign w:val="bottom"/>
          </w:tcPr>
          <w:p>
            <w:pPr>
              <w:spacing w:after="0"/>
              <w:rPr>
                <w:sz w:val="20"/>
                <w:szCs w:val="20"/>
                <w:color w:val="auto"/>
              </w:rPr>
            </w:pPr>
            <w:r>
              <w:rPr>
                <w:rFonts w:ascii="Arial" w:cs="Arial" w:eastAsia="Arial" w:hAnsi="Arial"/>
                <w:sz w:val="18"/>
                <w:szCs w:val="18"/>
                <w:color w:val="auto"/>
              </w:rPr>
              <w:t>A summary of the carrying amounts of our debt is as follows: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March 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1.25% convertible senior notes due 2019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217,513</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215,376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Senior secured credit facility</w:t>
            </w:r>
          </w:p>
        </w:tc>
        <w:tc>
          <w:tcPr>
            <w:tcW w:w="320" w:type="dxa"/>
            <w:vAlign w:val="bottom"/>
          </w:tcPr>
          <w:p>
            <w:pPr>
              <w:spacing w:after="0"/>
              <w:rPr>
                <w:sz w:val="21"/>
                <w:szCs w:val="21"/>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132,500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92,000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long-term debt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350,013</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307,376</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 summary of the scheduled maturities of our debt follows: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7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Scheduled Maturities of</w:t>
            </w: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7"/>
              </w:rPr>
              <w:t>Long-Term Debt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2017</w:t>
            </w:r>
          </w:p>
        </w:tc>
        <w:tc>
          <w:tcPr>
            <w:tcW w:w="320" w:type="dxa"/>
            <w:vAlign w:val="bottom"/>
          </w:tcPr>
          <w:p>
            <w:pPr>
              <w:spacing w:after="0"/>
              <w:rPr>
                <w:sz w:val="21"/>
                <w:szCs w:val="21"/>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1"/>
                <w:szCs w:val="21"/>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132,500</w:t>
            </w:r>
          </w:p>
        </w:tc>
        <w:tc>
          <w:tcPr>
            <w:tcW w:w="0" w:type="dxa"/>
            <w:vAlign w:val="bottom"/>
          </w:tcPr>
          <w:p>
            <w:pPr>
              <w:spacing w:after="0"/>
              <w:rPr>
                <w:sz w:val="1"/>
                <w:szCs w:val="1"/>
                <w:color w:val="auto"/>
              </w:rPr>
            </w:pPr>
          </w:p>
        </w:tc>
      </w:tr>
      <w:tr>
        <w:trPr>
          <w:trHeight w:val="27"/>
        </w:trPr>
        <w:tc>
          <w:tcPr>
            <w:tcW w:w="76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September 2014, the Company issued $250.0 million principal amount of 1.25% convertible senior notes due 2019 (the “Convertible Notes”) in a private offering. The Convertible Notes are governed by the terms of an indenture between the Company and U.S. Bank National Association, as Trustee (the “Indenture”).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13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1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initial conversion rate for the Convertible Notes is 12.5170 shares of our common stock per $1,000 principal amount of the Convertible Notes, which is equal to an initial conversion price of approximately $79.89 per share of our common stock. The conversion rate will be subject to adjustment upon the occurrence of certain specified events but will not be adjusted for accrued and unpaid interest, except in certain limited circumstances described in the Indenture. Upon the occurrence of a “make-whole fundamental change” (as defined in the Indenture) the Company will, in certain circumstances, increase the conversion rate by a number of additional shares for a holder that elects to convert its Convertible Notes in connection with such make-whole fundamental change. Additionally, if the Company undergoes a “fundamental change” (as defined in the Indenture), a holder will have the option to require the Company to repurchase all or a portion of its Convertible Notes for cash at a price equal to 100% of the principal amount of the Convertible Notes being repurchased plus any accrued and unpaid interest. As discussed below, the convertible note hedge transactions and warrants, which were entered into in connection with the Convertible Notes, effectively raise the price at which economic dilution would occur from the initial conversion price of approximately $79.89 to approximately $97.12 per share.</w:t>
      </w:r>
    </w:p>
    <w:p>
      <w:pPr>
        <w:spacing w:after="0" w:line="124"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Holders of the Convertible Notes may convert their Convertible Notes at their option at any time prior to July 1, 2019, only under the following circumstances:</w:t>
      </w:r>
    </w:p>
    <w:p>
      <w:pPr>
        <w:spacing w:after="0" w:line="143" w:lineRule="exact"/>
        <w:rPr>
          <w:sz w:val="20"/>
          <w:szCs w:val="20"/>
          <w:color w:val="auto"/>
        </w:rPr>
      </w:pPr>
    </w:p>
    <w:p>
      <w:pPr>
        <w:ind w:left="740" w:right="80" w:hanging="732"/>
        <w:spacing w:after="0" w:line="259"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any calendar quarter (and only during such calendar quarter) commencing after December 31, 2014 if, for each of at least 20 trading days (whether or not consecutive) during the 30 consecutive trading day period ending on, and including, the last trading day of the immediately preceding calendar quarter, the last reported sale price of the Company’s common stock for such trading day is equal to or greater than 130% of the applicable conversion price on such trading day;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left="740" w:right="180" w:hanging="732"/>
        <w:spacing w:after="0" w:line="279"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the five consecutive business day period immediately following any five consecutive trading day period (such five consecutive trading day period, the “measurement period”) in which, for each trading day of the measurement period, the “trading price” (as defined in the Indenture) per $1,000 principal amount of the Convertible Notes for such trading day was less than 98% of the product of the last reported sale price of the Company’s common stock for such trading day and the applicable conversion rate on such trading day; or</w:t>
      </w:r>
    </w:p>
    <w:p>
      <w:pPr>
        <w:spacing w:after="0" w:line="117" w:lineRule="exact"/>
        <w:rPr>
          <w:rFonts w:ascii="Arial" w:cs="Arial" w:eastAsia="Arial" w:hAnsi="Arial"/>
          <w:sz w:val="17"/>
          <w:szCs w:val="17"/>
          <w:color w:val="auto"/>
        </w:rPr>
      </w:pPr>
    </w:p>
    <w:p>
      <w:pPr>
        <w:ind w:left="740" w:hanging="73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the occurrence of specified corporate transactions described in the Indenture.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or after July 1, 2019 until the close of business on the second scheduled trading day immediately preceding the maturity date, a holder may convert all or a portion of its Convertible Notes, regardless of the foregoing circumstances.</w:t>
      </w:r>
    </w:p>
    <w:p>
      <w:pPr>
        <w:spacing w:after="0" w:line="11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In accordance with ASC 470, </w:t>
      </w:r>
      <w:r>
        <w:rPr>
          <w:rFonts w:ascii="Arial" w:cs="Arial" w:eastAsia="Arial" w:hAnsi="Arial"/>
          <w:sz w:val="16"/>
          <w:szCs w:val="16"/>
          <w:i w:val="1"/>
          <w:iCs w:val="1"/>
          <w:color w:val="auto"/>
        </w:rPr>
        <w:t>Debt</w:t>
      </w:r>
      <w:r>
        <w:rPr>
          <w:rFonts w:ascii="Arial" w:cs="Arial" w:eastAsia="Arial" w:hAnsi="Arial"/>
          <w:sz w:val="16"/>
          <w:szCs w:val="16"/>
          <w:color w:val="auto"/>
        </w:rPr>
        <w:t>, we have separated the Convertible Notes into liability and equity components. The carrying amount of the liability component was determined by measuring the fair value of a similar liability that does not have an associated convertible feature, assuming our non-convertible debt borrowing rate. The carrying value of the equity component representing the conversion option, which is recognized as a debt discount, was determined by deducting the fair value of the liability component from the proceeds of the Convertible Notes. The debt discount is amortized to interest expense using an effective interest rate of 4.751% over the term of the Convertible Notes. As of March 31, 2016, the remaining life of the Convertible Notes is 3.5 years. The equity component will not be remeasured as long as it continues to meet the conditions for equity classification.</w:t>
      </w:r>
    </w:p>
    <w:p>
      <w:pPr>
        <w:spacing w:after="0" w:line="1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transaction costs related to the issuance of the Convertible Notes were separated into liability and equity components based on their relative values, as determined above. Transaction costs attributable to the liability component are recorded as a deduction to the carrying amount of the liability and amortized to interest expense over the term of the Convertible Notes; and transaction costs attributable to the equity component are netted with the equity component of the Convertible Notes in stockholders’ equity. Total debt issuance costs were approximately $7.3 million, of which $6.2 million was allocated to liability issuance costs and $1.1 million was allocated to equity issuance costs.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2016 and December 31, 2015, the Convertible Notes consisted of the following: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8"/>
                <w:szCs w:val="18"/>
                <w:color w:val="auto"/>
              </w:rPr>
            </w:pP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7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component: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Proceeds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250,000</w:t>
            </w: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debt discount, net of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(30,007)</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Less: debt issuance costs, net of amortization</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(4,319)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(4,617)</w:t>
            </w: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carrying amount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217,513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215,376</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7660" w:type="dxa"/>
            <w:vAlign w:val="bottom"/>
          </w:tcPr>
          <w:p>
            <w:pPr>
              <w:ind w:left="40"/>
              <w:spacing w:after="0"/>
              <w:rPr>
                <w:sz w:val="20"/>
                <w:szCs w:val="20"/>
                <w:color w:val="auto"/>
              </w:rPr>
            </w:pPr>
            <w:r>
              <w:rPr>
                <w:rFonts w:ascii="Arial" w:cs="Arial" w:eastAsia="Arial" w:hAnsi="Arial"/>
                <w:sz w:val="18"/>
                <w:szCs w:val="18"/>
                <w:color w:val="auto"/>
              </w:rPr>
              <w:t>Equity component</w:t>
            </w:r>
            <w:r>
              <w:rPr>
                <w:rFonts w:ascii="Arial" w:cs="Arial" w:eastAsia="Arial" w:hAnsi="Arial"/>
                <w:sz w:val="21"/>
                <w:szCs w:val="21"/>
                <w:color w:val="auto"/>
                <w:vertAlign w:val="superscript"/>
              </w:rPr>
              <w:t>(1)</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39,287</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39,287</w:t>
            </w: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065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44"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Additional paid-in capital on the consolidated balance sheet.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 of interest expense recognized related to the Convertible Notes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7"/>
        </w:trPr>
        <w:tc>
          <w:tcPr>
            <w:tcW w:w="8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coupon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Amortization of debt discount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1,754</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interest expense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2,918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2,828</w:t>
            </w:r>
          </w:p>
        </w:tc>
      </w:tr>
      <w:tr>
        <w:trPr>
          <w:trHeight w:val="27"/>
        </w:trPr>
        <w:tc>
          <w:tcPr>
            <w:tcW w:w="8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connection with the issuance of the Convertible Notes, we entered into convertible note hedge transactions and warrant transactions. The convertible note hedge transactions are intended to reduce the potential future economic dilution associated with the conversion of the Convertible Notes and, combined with the warrants, effectively raise the price at which economic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dilution would occur from the initial conversion price of approximately $79.89 to approximately $97.12 per share. For purposes of the computation of diluted earnings per share in accordance with GAAP, dilution will occur when the average share price of our common stock for a given period exceeds the conversion price of the Convertible Notes, which initially is equal to approximately $79.89 per share. The convertible note hedge transactions and warrant transactions are discussed separately below.</w:t>
      </w:r>
    </w:p>
    <w:p>
      <w:pPr>
        <w:spacing w:after="0" w:line="160" w:lineRule="exact"/>
        <w:rPr>
          <w:sz w:val="20"/>
          <w:szCs w:val="20"/>
          <w:color w:val="auto"/>
        </w:rPr>
      </w:pPr>
    </w:p>
    <w:p>
      <w:pPr>
        <w:ind w:left="660" w:right="120" w:hanging="652"/>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Convertible Note Hedge Transactions</w:t>
      </w:r>
      <w:r>
        <w:rPr>
          <w:rFonts w:ascii="Arial" w:cs="Arial" w:eastAsia="Arial" w:hAnsi="Arial"/>
          <w:sz w:val="18"/>
          <w:szCs w:val="18"/>
          <w:color w:val="auto"/>
        </w:rPr>
        <w:t>. In connection with the issuance of the Convertible Notes, the Company entered into convertible note hedge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whereby the Company has call options to purchase a total of approximately 3.1 million shares of the Company’s common stock, which is the number of shares initially issuable upon conversion of the Convertible Notes in full, at a price of approximately $79.89, which corresponds to the initial conversion price of the Convertible Notes, subject to customary anti-dilution adjustments substantially similar to those in the Convertible Notes. The convertible note hedge transactions are exercisable upon conversion of the Convertible Notes and will expire in 2019 if not earlier exercised. We paid an aggregate amount of $42.1 million for the convertible note hedge transactions, which was recorded as additional paid-in capital in the consolidated balance sheets. The convertible note hedge transactions are separate transactions and are not part of the terms of the Convertible Notes.</w:t>
      </w:r>
    </w:p>
    <w:p>
      <w:pPr>
        <w:spacing w:after="0" w:line="138" w:lineRule="exact"/>
        <w:rPr>
          <w:rFonts w:ascii="Arial" w:cs="Arial" w:eastAsia="Arial" w:hAnsi="Arial"/>
          <w:sz w:val="18"/>
          <w:szCs w:val="18"/>
          <w:color w:val="auto"/>
        </w:rPr>
      </w:pPr>
    </w:p>
    <w:p>
      <w:pPr>
        <w:ind w:left="660" w:right="20" w:hanging="652"/>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In connection with the issuance of the Convertible Notes, the Company sold warrants whereby the holders of the warrants have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to purchase a total of approximately 3.1 million shares of the Company’s common stock at a strike price of approximately $97.12. The warrants will expire incrementally on 100 different dates from January 6, 2020 to May 28, 2020 and are exercisable at each such expiry date. If the average market value per share of our common stock for the reporting period exceeds the strike price of the warrants, the warrants will have a dilutive effect on our earnings per share. We received aggregate proceeds of $23.6 million from the sale of the warrants, which was recorded as additional paid-in capital in the consolidated balance sheets. The warrants are separate transactions and are not part of the terms of the Convertible Notes or the convertible note hedge transactions.</w:t>
      </w:r>
    </w:p>
    <w:p>
      <w:pPr>
        <w:spacing w:after="0" w:line="13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recorded an initial deferred tax liability of $15.4 million in connection with the debt discount associated with the Convertible Notes and recorded an initial deferred tax asset of $16.5 million in connection with the convertible note hedge transactions. The deferred tax liability and deferred tax asset are included in non-current deferred tax liabilities on the consolidated balance sheets.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has a $500 million five-year senior secured revolving credit facility, subject to the terms of a Second Amended and Restated Credit Agreement dated as of March 31, 2015 (the "Amended Credit Agreement"), that becomes due and payable in full upon maturity on March 31, 2020. The Amended Credit Agreement provides the option to increase the revolving credit facility or establish term loan facilities in an aggregate amount of up to $100 million, subject to customary conditions and the approval of any lender whose commitment would be increased, resulting in a maximum available principal amount under the Amended Credit Agreement of $600 million. The initial borrowings under the Amended Credit Agreement were used to refinance borrowings outstanding under a prior credit agreement, and future borrowings under the Amended Credit Agreement may be used for working capital, capital expenditures, share repurchases, and general corporate purposes.</w:t>
      </w:r>
    </w:p>
    <w:p>
      <w:pPr>
        <w:spacing w:after="0" w:line="12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1.75% per annum, in the case of LIBOR borrowings, or between 0.25% per annum and 0.75% per annum, in the case of base rate loans, based upon our Consolidated Leverage Ratio at such time.</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under the Amended Credit Agreement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permanently reduce or terminate the unused portion of the commitments provided under the Amended Credit Agreement at any time.</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loans and obligations under the Amended Credit Agreement are secured pursuant to a Second Amended and Restated Security Agreement and a Second Amended and Restated Pledge Agreement (the “Amended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Amended Pledge Agreement).</w:t>
      </w:r>
    </w:p>
    <w:p>
      <w:pPr>
        <w:spacing w:after="0" w:line="13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either 3.25 to 1.00 or 3.50 to 1.00, depending on the measurement period, and (ii) a minimum Consolidated Interest Coverage Ratio (defined as the ratio of consolidated EBITDA to interest) of 3.50 to 1.00. Consolidated EBITDA for purposes of the financial covenants is calculated on a continuing operations basis and includes adjustments to add back share-based compensation costs, certain non-cash restructuring charges, and pro forma historical EBITDA for businesses acquired. At March 31, 2016, we were in compliance with these financial covenants with a Consolidated Leverage Ratio of 2.25 to 1.00 and a Consolidated Interest Coverage Ratio of 18.07 to 1.00.</w:t>
      </w:r>
    </w:p>
    <w:p>
      <w:pPr>
        <w:spacing w:after="0" w:line="11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Borrowings outstanding under the Amended Credit Agreement at March 31, 2016 totaled $132.5 million. These borrowings carried a weighted average interest rate of 2.4%, including the effect of the interest rate swaps described below in Note 10 “Derivative Instruments and Hedging Activity." Borrowings outstanding under the Amended Credit Agreement at December 31, 2015 were $92.0 million and carried a weighted average interest rate of 2.4%. The borrowing capacity under the revolving credit facility is reduced by any outstanding borrowings under the revolving credit facility and outstanding letters of credit. At March 31, 2016, we had outstanding letters of credit totaling $4.8 million, which are primarily used as security deposits for our office facilities. As of March 31, 2016, the unused borrowing capacity under the revolving credit facility was $362.7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 Charges</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first quarter of 2016, we incurred a $1.3 million pretax restructuring charge. The $1.3 million charge primarily consisted of $0.8 million related to workforce reductions in our corporate operations as we adjust our infrastructure to align with our Huron Legal divestiture, $0.2 million related to updated assumptions for the lease accrual of the Washington, D.C. space vacated in the fourth quarter of 2014, and $0.2 million related to the wind down of our foreign consulting operations based in the Middle East.</w:t>
      </w:r>
    </w:p>
    <w:p>
      <w:pPr>
        <w:spacing w:after="0" w:line="13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first quarter of 2015, we incurred a $0.7 million pretax restructuring charge related to workforce reductions to better align our resources with market demand, primarily in our All Other segment.</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table below sets forth the changes in the carrying amount of our restructuring charge liability by restructuring type for the three months ended March 31, 2016.</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Office Space</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Employee Costs</w:t>
            </w:r>
          </w:p>
        </w:tc>
        <w:tc>
          <w:tcPr>
            <w:tcW w:w="20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Reductions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8,702</w:t>
            </w:r>
          </w:p>
        </w:tc>
      </w:tr>
      <w:tr>
        <w:trPr>
          <w:trHeight w:val="270"/>
        </w:trPr>
        <w:tc>
          <w:tcPr>
            <w:tcW w:w="51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5"/>
                <w:szCs w:val="25"/>
                <w:color w:val="auto"/>
                <w:vertAlign w:val="superscript"/>
              </w:rPr>
              <w:t>(1)</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1,740</w:t>
            </w: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(2,450)</w:t>
            </w:r>
          </w:p>
        </w:tc>
      </w:tr>
      <w:tr>
        <w:trPr>
          <w:trHeight w:val="270"/>
        </w:trPr>
        <w:tc>
          <w:tcPr>
            <w:tcW w:w="51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64"/>
        </w:trPr>
        <w:tc>
          <w:tcPr>
            <w:tcW w:w="5160" w:type="dxa"/>
            <w:vAlign w:val="bottom"/>
            <w:tcBorders>
              <w:top w:val="single" w:sz="8" w:color="CCEEFF"/>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Balance as of March 31, 2016 </w:t>
            </w:r>
            <w:r>
              <w:rPr>
                <w:rFonts w:ascii="Arial" w:cs="Arial" w:eastAsia="Arial" w:hAnsi="Arial"/>
                <w:sz w:val="25"/>
                <w:szCs w:val="25"/>
                <w:color w:val="auto"/>
                <w:vertAlign w:val="superscript"/>
              </w:rPr>
              <w:t>(2)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7,978</w:t>
            </w: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820" w:right="100" w:hanging="488"/>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Additions and adjustments for the three months ended March 31, 2016 includes a total of $0.5 million related to discontinued operations. Refer to Note 4 "Discontinued Operations" for additional information.</w:t>
      </w:r>
    </w:p>
    <w:p>
      <w:pPr>
        <w:spacing w:after="0" w:line="8" w:lineRule="exact"/>
        <w:rPr>
          <w:rFonts w:ascii="Arial" w:cs="Arial" w:eastAsia="Arial" w:hAnsi="Arial"/>
          <w:sz w:val="18"/>
          <w:szCs w:val="18"/>
          <w:color w:val="auto"/>
        </w:rPr>
      </w:pPr>
    </w:p>
    <w:p>
      <w:pPr>
        <w:ind w:left="820" w:right="1040" w:hanging="488"/>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total restructuring charge liability as of March 31, 2016 includes $6.8 million related to discontinued operations. Refer to Note 4 "Discontinued Operations" for additional information on our discontinued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As of March 31, 2016, our restructuring charge liability related to office space reductions of $6.4 million represented the present value of remaining lease payments, net of estimated sublease income, for our vacated office spaces in Washington, D.C., New York, and Houston. The $1.4 million restructuring charge liability related to employee costs and $0.2 million of other restructuring liabilities are expected to be paid in the next 12 months. The restructuring charge liabilities are included as a component of accrued expenses and deferred compensation and other liabilities.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Instruments and Hedging Activity</w:t>
      </w:r>
    </w:p>
    <w:p>
      <w:pPr>
        <w:spacing w:after="0" w:line="175"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On December 8, 2011, we entered into a forward amortizing interest rate swap agreement effective on February 29, 2012 and ending on April 14, 2016. We entered into this derivative instrument to hedge against the interest rate risks of our variable-rate borrowings described in Note 8 “Financing Arrangements.” The swap had an initial notional amount of $56.6 million and amortizes throughout the term. Under the terms of the interest rate swap agreement, we receive from the counterparty interest on the notional amount based on one-month LIBOR and we pay to the counterparty a fixed rate of 0.9875%.</w:t>
      </w:r>
    </w:p>
    <w:p>
      <w:pPr>
        <w:spacing w:after="0" w:line="10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May 30, 2012, we entered into an amortizing interest rate swap agreement effective on May 31, 2012 and ending on April 14, 2016. We entered into this derivative instrument to further hedge against the interest rate risks of our variable-rate borrowings. The swap had an initial notional amount of $37.0 million and amortizes throughout the term. Under the terms of the interest rate swap agreement, we receive from the counterparty interest on the notional amount based on one-month LIBOR and we pay to the counterparty a fixed rate of 0.70%.</w:t>
      </w:r>
    </w:p>
    <w:p>
      <w:pPr>
        <w:spacing w:after="0" w:line="1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April 4, 2013, we entered into a forward amortizing interest rate swap agreement effective on March 31, 2014 and ending on August 31, 2017. We entered into this derivative instrument to further hedge against the interest rate risks of our variable-rate borrowings. The swap had an initial notional amount of $60.0 million and amortizes quarterly until April 2016. Upon expiration of the two interest rate swaps in April 2016 described above, the notional amount of this interest rate swap will increase to $86.0 million and continue to amortize quarterly throughout the remaining term. Under the terms of the interest rate swap agreement, we receive from the counterparty interest on the notional amount based on one-month LIBOR and we pay to the counterparty a fixed rate of 0.985%.</w:t>
      </w:r>
    </w:p>
    <w:p>
      <w:pPr>
        <w:spacing w:after="0" w:line="13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requires companies to recognize all derivative instruments as either assets or liabilities at fair value on the balance sheet. In accordance with ASC 815, we have designated these derivative instruments as cash flow hedges. As such, changes in the fair value of the derivative instruments are recorded as a component of other comprehensive income (“OCI”) to the extent of effectiveness and reclassified into interest expense upon settlement. The ineffective portion of the change in fair value of the derivative instruments is recognized in interest expense. As of March 31, 2016, it was anticipated that $0.2 million of the losses, net of tax, currently recorded in accumulated other comprehensive income will be reclassified into earnings within the next 12 months. Our interest rate swap agreements were effective during the three months ended March 31, 2016.</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table below sets forth additional information relating to these interest rate swaps designated as cash flow hedging instruments as of March 31, 2016 and December 31, 2015.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Fair Value (Derivative Asset and Liability)</w:t>
            </w:r>
          </w:p>
        </w:tc>
        <w:tc>
          <w:tcPr>
            <w:tcW w:w="48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18"/>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b w:val="1"/>
                <w:bCs w:val="1"/>
                <w:color w:val="auto"/>
              </w:rPr>
              <w:t>March 31,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480" w:type="dxa"/>
            <w:vAlign w:val="bottom"/>
          </w:tcPr>
          <w:p>
            <w:pPr>
              <w:spacing w:after="0"/>
              <w:rPr>
                <w:sz w:val="18"/>
                <w:szCs w:val="18"/>
                <w:color w:val="auto"/>
              </w:rPr>
            </w:pPr>
          </w:p>
        </w:tc>
      </w:tr>
      <w:tr>
        <w:trPr>
          <w:trHeight w:val="234"/>
        </w:trPr>
        <w:tc>
          <w:tcPr>
            <w:tcW w:w="70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Sheet Location</w:t>
            </w:r>
          </w:p>
        </w:tc>
        <w:tc>
          <w:tcPr>
            <w:tcW w:w="16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480" w:type="dxa"/>
            <w:vAlign w:val="bottom"/>
          </w:tcPr>
          <w:p>
            <w:pPr>
              <w:spacing w:after="0"/>
              <w:rPr>
                <w:sz w:val="20"/>
                <w:szCs w:val="20"/>
                <w:color w:val="auto"/>
              </w:rPr>
            </w:pP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620" w:type="dxa"/>
            <w:vAlign w:val="bottom"/>
            <w:tcBorders>
              <w:bottom w:val="single" w:sz="8" w:color="CCEEFF"/>
            </w:tcBorders>
            <w:shd w:val="clear" w:color="auto" w:fill="CCEEFF"/>
          </w:tcPr>
          <w:p>
            <w:pPr>
              <w:jc w:val="right"/>
              <w:ind w:right="14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4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Accrued expenses</w:t>
            </w:r>
          </w:p>
        </w:tc>
        <w:tc>
          <w:tcPr>
            <w:tcW w:w="1620" w:type="dxa"/>
            <w:vAlign w:val="bottom"/>
          </w:tcPr>
          <w:p>
            <w:pPr>
              <w:jc w:val="right"/>
              <w:ind w:right="143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1680" w:type="dxa"/>
            <w:vAlign w:val="bottom"/>
          </w:tcPr>
          <w:p>
            <w:pPr>
              <w:jc w:val="right"/>
              <w:ind w:right="147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242</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3"/>
        </w:trPr>
        <w:tc>
          <w:tcPr>
            <w:tcW w:w="7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and other liabilities</w:t>
            </w:r>
          </w:p>
        </w:tc>
        <w:tc>
          <w:tcPr>
            <w:tcW w:w="1620" w:type="dxa"/>
            <w:vAlign w:val="bottom"/>
            <w:shd w:val="clear" w:color="auto" w:fill="CCEEFF"/>
          </w:tcPr>
          <w:p>
            <w:pPr>
              <w:jc w:val="right"/>
              <w:ind w:right="14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47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All of the Company’s derivative instruments are transacted under the International Swaps and Derivatives Association (ISDA) master agreements. These agreements permit the net settlement of amounts owed in the event of default and certain other termination events. Although netting is permitted, it is the Company’s policy to record all derivative assets and liabilities on a gross basis on our consolidated balance sheet. All of the Company’s derivative instruments as of March 31, 2016 and December 31, 2015 were held with the same counterparty.</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do not use derivative instruments for trading or other speculative purposes. Refer to Note 12 “Other Comprehensive Income (Loss)” for additional information on our derivative instruments.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of Financial Instruments</w:t>
      </w:r>
    </w:p>
    <w:p>
      <w:pPr>
        <w:spacing w:after="0" w:line="17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Certain of our assets and liabilities are measured at fair value.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defines fair value as the price that would be received to sell an asset or the price that would be paid to transfer a liability in an orderly transaction between market participants at the measurement date. ASC 820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1 Inputs</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13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25" w:lineRule="exact"/>
        <w:rPr>
          <w:sz w:val="20"/>
          <w:szCs w:val="20"/>
          <w:color w:val="auto"/>
        </w:rPr>
      </w:pPr>
    </w:p>
    <w:p>
      <w:pPr>
        <w:sectPr>
          <w:pgSz w:w="11900" w:h="16838" w:orient="portrait"/>
          <w:cols w:equalWidth="0" w:num="2">
            <w:col w:w="1820" w:space="720"/>
            <w:col w:w="8880"/>
          </w:cols>
          <w:pgMar w:left="240" w:top="125" w:right="239" w:bottom="1440" w:gutter="0" w:footer="0" w:header="0"/>
          <w:type w:val="continuous"/>
        </w:sectPr>
      </w:pPr>
    </w:p>
    <w:p>
      <w:pPr>
        <w:ind w:left="40"/>
        <w:spacing w:after="0"/>
        <w:tabs>
          <w:tab w:leader="none" w:pos="2520" w:val="left"/>
        </w:tabs>
        <w:rPr>
          <w:sz w:val="20"/>
          <w:szCs w:val="20"/>
          <w:color w:val="auto"/>
        </w:rPr>
      </w:pPr>
      <w:r>
        <w:rPr>
          <w:rFonts w:ascii="Arial" w:cs="Arial" w:eastAsia="Arial" w:hAnsi="Arial"/>
          <w:sz w:val="18"/>
          <w:szCs w:val="18"/>
          <w:color w:val="auto"/>
        </w:rPr>
        <w:t>Level 3 Inputs</w:t>
      </w:r>
      <w:r>
        <w:rPr>
          <w:sz w:val="20"/>
          <w:szCs w:val="20"/>
          <w:color w:val="auto"/>
        </w:rPr>
        <w:tab/>
      </w:r>
      <w:r>
        <w:rPr>
          <w:rFonts w:ascii="Arial" w:cs="Arial" w:eastAsia="Arial" w:hAnsi="Arial"/>
          <w:sz w:val="16"/>
          <w:szCs w:val="16"/>
          <w:color w:val="auto"/>
        </w:rPr>
        <w:t>Unobservable inputs for the asset or liability, and include situations in which there is little, if any, market activity for the</w:t>
      </w:r>
    </w:p>
    <w:p>
      <w:pPr>
        <w:spacing w:after="0" w:line="2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asset or liability.</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March 31, 2016 and December 31, 2015.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8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2016</w:t>
            </w: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Promissory note</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2,285</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Convertible debt investment</w:t>
            </w: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37,256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37,256</w:t>
            </w:r>
          </w:p>
        </w:tc>
      </w:tr>
      <w:tr>
        <w:trPr>
          <w:trHeight w:val="27"/>
        </w:trPr>
        <w:tc>
          <w:tcPr>
            <w:tcW w:w="48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39,541</w:t>
            </w:r>
          </w:p>
        </w:tc>
      </w:tr>
      <w:tr>
        <w:trPr>
          <w:trHeight w:val="22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2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48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Contingent consideration for business acquisitions</w:t>
            </w: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8,563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8,563</w:t>
            </w:r>
          </w:p>
        </w:tc>
      </w:tr>
      <w:tr>
        <w:trPr>
          <w:trHeight w:val="27"/>
        </w:trPr>
        <w:tc>
          <w:tcPr>
            <w:tcW w:w="48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8,906</w:t>
            </w:r>
          </w:p>
        </w:tc>
      </w:tr>
      <w:tr>
        <w:trPr>
          <w:trHeight w:val="22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December 31, 2015</w:t>
            </w:r>
          </w:p>
        </w:tc>
        <w:tc>
          <w:tcPr>
            <w:tcW w:w="12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48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Promissory note</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2,309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2,309</w:t>
            </w:r>
          </w:p>
        </w:tc>
      </w:tr>
      <w:tr>
        <w:trPr>
          <w:trHeight w:val="27"/>
        </w:trPr>
        <w:tc>
          <w:tcPr>
            <w:tcW w:w="4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debt investment</w:t>
            </w:r>
          </w:p>
        </w:tc>
        <w:tc>
          <w:tcPr>
            <w:tcW w:w="1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34,831</w:t>
            </w:r>
          </w:p>
        </w:tc>
      </w:tr>
      <w:tr>
        <w:trPr>
          <w:trHeight w:val="237"/>
        </w:trPr>
        <w:tc>
          <w:tcPr>
            <w:tcW w:w="480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122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37,140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37,140</w:t>
            </w:r>
          </w:p>
        </w:tc>
      </w:tr>
      <w:tr>
        <w:trPr>
          <w:trHeight w:val="27"/>
        </w:trPr>
        <w:tc>
          <w:tcPr>
            <w:tcW w:w="48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156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4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for business acquisition</w:t>
            </w:r>
          </w:p>
        </w:tc>
        <w:tc>
          <w:tcPr>
            <w:tcW w:w="1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2,063</w:t>
            </w:r>
          </w:p>
        </w:tc>
      </w:tr>
      <w:tr>
        <w:trPr>
          <w:trHeight w:val="237"/>
        </w:trPr>
        <w:tc>
          <w:tcPr>
            <w:tcW w:w="480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22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156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2,219</w:t>
            </w:r>
          </w:p>
        </w:tc>
      </w:tr>
      <w:tr>
        <w:trPr>
          <w:trHeight w:val="27"/>
        </w:trPr>
        <w:tc>
          <w:tcPr>
            <w:tcW w:w="48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Promissory note</w:t>
      </w:r>
      <w:r>
        <w:rPr>
          <w:rFonts w:ascii="Arial" w:cs="Arial" w:eastAsia="Arial" w:hAnsi="Arial"/>
          <w:sz w:val="17"/>
          <w:szCs w:val="17"/>
          <w:color w:val="auto"/>
        </w:rPr>
        <w:t>: As part of the consideration received for the sale of our Accounting Advisory practice on December 30, 2011, the Company received a $3.5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promissory note payable over four years. During the second quarter of 2014, we agreed to amend and restate the note such that principal payments will be paid to us annually based on the amount of excess cash flows earned each year by the maker of the note until the maturity date of December 31, 2018, at which time the remaining principal balance and any accrued interest is due. The fair value of the note is based on the net present value of the projected cash flows using a discount rate of 17%, which accounts for the risks associated with the note. The decrease in the fair value of the note during the first three months of 2016 reflects updated cash flow assumptions partially offset by the accretion of interest income in excess of interest payments received. As of March 31, 2016, the present value of the payments expected to be received in the next 12 months of $0.7 million is recorded in prepaid expenses and other current assets, and the remaining $1.6 million is recorded in other non-current assets.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i w:val="1"/>
          <w:iCs w:val="1"/>
          <w:color w:val="auto"/>
        </w:rPr>
        <w:t xml:space="preserve">Interest rate swaps: </w:t>
      </w:r>
      <w:r>
        <w:rPr>
          <w:rFonts w:ascii="Arial" w:cs="Arial" w:eastAsia="Arial" w:hAnsi="Arial"/>
          <w:sz w:val="16"/>
          <w:szCs w:val="16"/>
          <w:color w:val="auto"/>
        </w:rPr>
        <w:t>The fair value of the interest rate swaps was derived using estimates to settle the interest rate swap agreements, which are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net present value of expected future cash flows on each leg of the swaps utilizing market-based inputs and discount rates reflecting the risks involved.</w:t>
      </w:r>
    </w:p>
    <w:p>
      <w:pPr>
        <w:spacing w:after="0" w:line="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Convertible debt investment: </w:t>
      </w:r>
      <w:r>
        <w:rPr>
          <w:rFonts w:ascii="Arial" w:cs="Arial" w:eastAsia="Arial" w:hAnsi="Arial"/>
          <w:sz w:val="18"/>
          <w:szCs w:val="18"/>
          <w:color w:val="auto"/>
        </w:rPr>
        <w:t>In 2014 and 2015, we invested $27.9 million, in the form of zero coupon convertible debt, in Shorelight Holdings, LLC</w:t>
      </w:r>
      <w:r>
        <w:rPr>
          <w:rFonts w:ascii="Arial" w:cs="Arial" w:eastAsia="Arial" w:hAnsi="Arial"/>
          <w:sz w:val="18"/>
          <w:szCs w:val="18"/>
          <w:i w:val="1"/>
          <w:iCs w:val="1"/>
          <w:color w:val="auto"/>
        </w:rPr>
        <w:t xml:space="preserve"> </w:t>
      </w:r>
      <w:r>
        <w:rPr>
          <w:rFonts w:ascii="Arial" w:cs="Arial" w:eastAsia="Arial" w:hAnsi="Arial"/>
          <w:sz w:val="18"/>
          <w:szCs w:val="18"/>
          <w:color w:val="auto"/>
        </w:rPr>
        <w:t>(“Shorelight”), the parent company of Shorelight Education, a U.S.-based company that partners with leading nonprofit universities to increase access to and retention of international students, boost institutional growth, and enhance an institution’s global footprint. The notes will mature on July 1, 2020, unless converted earlier.</w:t>
      </w:r>
    </w:p>
    <w:p>
      <w:pPr>
        <w:spacing w:after="0" w:line="13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security in accordance with ASC 320, </w:t>
      </w:r>
      <w:r>
        <w:rPr>
          <w:rFonts w:ascii="Arial" w:cs="Arial" w:eastAsia="Arial" w:hAnsi="Arial"/>
          <w:sz w:val="17"/>
          <w:szCs w:val="17"/>
          <w:i w:val="1"/>
          <w:iCs w:val="1"/>
          <w:color w:val="auto"/>
        </w:rPr>
        <w:t>Investments – Debt and Equity Securities</w:t>
      </w:r>
      <w:r>
        <w:rPr>
          <w:rFonts w:ascii="Arial" w:cs="Arial" w:eastAsia="Arial" w:hAnsi="Arial"/>
          <w:sz w:val="17"/>
          <w:szCs w:val="17"/>
          <w:color w:val="auto"/>
        </w:rPr>
        <w:t>.</w:t>
      </w:r>
    </w:p>
    <w:p>
      <w:pPr>
        <w:spacing w:after="0" w:line="11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investment is carried at fair value with unrealized holding gains and losses excluded from earnings and reported in other comprehensive income. We estimated the fair value of our investment using a Monte Carlo simulation model, cash flow projections discounted at a risk-adjusted rate, and certain assumptions related to equity volatility, default probability, and recovery rate,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 An unrealized pretax gain of $2.4 million was recorded in other comprehensive income for the first quarter of 2016. The fair value of the convertible debt investment is recorded in long-term investment.</w:t>
      </w:r>
    </w:p>
    <w:p>
      <w:pPr>
        <w:spacing w:after="0" w:line="12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 xml:space="preserve">Contingent consideration for business acquisitions: </w:t>
      </w:r>
      <w:r>
        <w:rPr>
          <w:rFonts w:ascii="Arial" w:cs="Arial" w:eastAsia="Arial" w:hAnsi="Arial"/>
          <w:sz w:val="18"/>
          <w:szCs w:val="18"/>
          <w:color w:val="auto"/>
        </w:rPr>
        <w:t>We estimate the fair value of acquisition-related contingent consideration using either a probability-weighted discounted cash flow model or a Monte Carlo simulation model, as appropriate. These fair value measurements are based on significant inputs not observable in the market and thus represent Level 3 measurements. The significant unobservable inputs used in the fair value measurements of our contingent consideration are our measures of the estimated payouts based on internally generated financial projections and discount rates. The fair value of the contingent consideration is reassessed quarterly based on assumptions used in our latest projections and input provided by our practice leaders and management. Any change in the fair value estimate is recorded in the earnings of that period. During the first quarter of 2016, we recorded a $6.5 million contingent consideration liability for one acquisition completed during the quarter. There was no change to the fair value of the outstanding contingent consideration liability. Refer to Note 5 “Acquisitions” for information on the acquisition completed in the first quarter of 2016. At March 31, 2016, the current portion of the contingent consideration liability is recorded in accrued expenses and the long-term portion is recorded in deferred compensation and other liabilities.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not recorded at fair value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carrying value of borrowings outstanding under our senior secured credit facility is stated at cost. Our carrying value approximates fair value, using Level 2 inputs, as the senior secured credit facility bears interest at variable rates based on market rates as set forth in the Amended Credit Agreement. Refer to Note 8 “Financing Arrangements.”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and estimated fair value of the Convertible Notes are as follows (in thousands):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700"/>
              <w:spacing w:after="0"/>
              <w:rPr>
                <w:sz w:val="20"/>
                <w:szCs w:val="20"/>
                <w:color w:val="auto"/>
              </w:rPr>
            </w:pPr>
            <w:r>
              <w:rPr>
                <w:rFonts w:ascii="Arial" w:cs="Arial" w:eastAsia="Arial" w:hAnsi="Arial"/>
                <w:sz w:val="18"/>
                <w:szCs w:val="18"/>
                <w:b w:val="1"/>
                <w:bCs w:val="1"/>
                <w:color w:val="auto"/>
              </w:rPr>
              <w:t>March 31, 2016</w:t>
            </w:r>
          </w:p>
        </w:tc>
        <w:tc>
          <w:tcPr>
            <w:tcW w:w="260" w:type="dxa"/>
            <w:vAlign w:val="bottom"/>
          </w:tcPr>
          <w:p>
            <w:pPr>
              <w:spacing w:after="0"/>
              <w:rPr>
                <w:sz w:val="20"/>
                <w:szCs w:val="20"/>
                <w:color w:val="auto"/>
              </w:rPr>
            </w:pPr>
          </w:p>
        </w:tc>
        <w:tc>
          <w:tcPr>
            <w:tcW w:w="28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2015</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Carrying</w:t>
            </w: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Estimated</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240" w:type="dxa"/>
            <w:vAlign w:val="bottom"/>
          </w:tcPr>
          <w:p>
            <w:pPr>
              <w:spacing w:after="0"/>
              <w:rPr>
                <w:sz w:val="18"/>
                <w:szCs w:val="18"/>
                <w:color w:val="auto"/>
              </w:rPr>
            </w:pPr>
          </w:p>
        </w:tc>
        <w:tc>
          <w:tcPr>
            <w:tcW w:w="1240" w:type="dxa"/>
            <w:vAlign w:val="bottom"/>
          </w:tcPr>
          <w:p>
            <w:pPr>
              <w:ind w:left="12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240" w:type="dxa"/>
            <w:vAlign w:val="bottom"/>
          </w:tcPr>
          <w:p>
            <w:pPr>
              <w:spacing w:after="0"/>
              <w:rPr>
                <w:sz w:val="20"/>
                <w:szCs w:val="20"/>
                <w:color w:val="auto"/>
              </w:rPr>
            </w:pPr>
          </w:p>
        </w:tc>
        <w:tc>
          <w:tcPr>
            <w:tcW w:w="1240" w:type="dxa"/>
            <w:vAlign w:val="bottom"/>
          </w:tcPr>
          <w:p>
            <w:pPr>
              <w:ind w:left="10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1.25% convertible senior notes due 2019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217,513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243,490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215,376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248,010</w:t>
            </w:r>
          </w:p>
        </w:tc>
      </w:tr>
      <w:tr>
        <w:trPr>
          <w:trHeight w:val="27"/>
        </w:trPr>
        <w:tc>
          <w:tcPr>
            <w:tcW w:w="5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differences between the $250.0 million principal amount of the Convertible Notes and the carrying amounts shown above represent the unamortized debt discount and issuance costs. As of March 31, 2016 and December 31, 2015, the carrying value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of the equity component of $39.3 million was unchanged from the date of issuance. Refer to Note 8 “Financing Arrangements” for additional details of our Convertible Notes. The estimated fair value of the Convertible Notes was determined based on the quoted bid price of the Convertible Notes in an over-the-counter market, which is a Level 2 input, on the last day of trading for the quarters ended March 31, 2016 and December 31, 2015.</w:t>
      </w:r>
    </w:p>
    <w:p>
      <w:pPr>
        <w:spacing w:after="0" w:line="1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Based on the closing price of our common stock of $58.19 on March 31, 2016, the if-converted value of the Convertible Notes was less than the principal amount.</w:t>
      </w:r>
    </w:p>
    <w:p>
      <w:pPr>
        <w:spacing w:after="0" w:line="11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Cash and cash equivalents are stated at cost, which approximates fair market value. The carrying values for receivables from clients, unbilled services, accounts payable, deferred revenues and other accrued liabilities reasonably approximate fair market value due to the nature of the financial instrument and the short-term maturity of these items.</w:t>
      </w:r>
    </w:p>
    <w:p>
      <w:pPr>
        <w:spacing w:after="0" w:line="12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hold our cash in accounts at multiple third-party financial institutions. These deposits, at times, may exceed federally insured limits. We review the credit ratings of these financial institutions, regularly monitor the cash balances in these accounts, and adjust the balances as appropriate. However, these cash balances could be impacted if the underlying financial institutions fail or are subject to other adverse conditions in the financial markets.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Comprehensive Income (Loss)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the components of other comprehensive income (loss), net of tax, for the three months ended March 31, 2016 and 2015.</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center"/>
              <w:ind w:left="590"/>
              <w:spacing w:after="0"/>
              <w:rPr>
                <w:sz w:val="20"/>
                <w:szCs w:val="20"/>
                <w:color w:val="auto"/>
              </w:rPr>
            </w:pPr>
            <w:r>
              <w:rPr>
                <w:rFonts w:ascii="Arial" w:cs="Arial" w:eastAsia="Arial" w:hAnsi="Arial"/>
                <w:sz w:val="18"/>
                <w:szCs w:val="18"/>
                <w:b w:val="1"/>
                <w:bCs w:val="1"/>
                <w:color w:val="auto"/>
                <w:w w:val="92"/>
              </w:rPr>
              <w:t>Three Months Ended</w:t>
            </w:r>
          </w:p>
        </w:tc>
        <w:tc>
          <w:tcPr>
            <w:tcW w:w="88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3"/>
              </w:rPr>
              <w:t>March 31, 2016</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March 31, 2015</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Tax</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Tax</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Before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(Expense)</w:t>
            </w:r>
          </w:p>
        </w:tc>
        <w:tc>
          <w:tcPr>
            <w:tcW w:w="22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Net of</w:t>
            </w:r>
          </w:p>
        </w:tc>
        <w:tc>
          <w:tcPr>
            <w:tcW w:w="220" w:type="dxa"/>
            <w:vAlign w:val="bottom"/>
          </w:tcPr>
          <w:p>
            <w:pPr>
              <w:spacing w:after="0"/>
              <w:rPr>
                <w:sz w:val="18"/>
                <w:szCs w:val="18"/>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Before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(Expense)</w:t>
            </w:r>
          </w:p>
        </w:tc>
        <w:tc>
          <w:tcPr>
            <w:tcW w:w="260" w:type="dxa"/>
            <w:vAlign w:val="bottom"/>
          </w:tcPr>
          <w:p>
            <w:pPr>
              <w:spacing w:after="0"/>
              <w:rPr>
                <w:sz w:val="18"/>
                <w:szCs w:val="18"/>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Net of</w:t>
            </w:r>
          </w:p>
        </w:tc>
      </w:tr>
      <w:tr>
        <w:trPr>
          <w:trHeight w:val="234"/>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Taxes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Benefit</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Taxes</w:t>
            </w:r>
          </w:p>
        </w:tc>
        <w:tc>
          <w:tcPr>
            <w:tcW w:w="22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Taxes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Benefit</w:t>
            </w:r>
          </w:p>
        </w:tc>
        <w:tc>
          <w:tcPr>
            <w:tcW w:w="26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Taxes</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(436)</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investment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Unrealized gain (loss) on cash flow hedges: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fair value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43"/>
        </w:trPr>
        <w:tc>
          <w:tcPr>
            <w:tcW w:w="4000" w:type="dxa"/>
            <w:vAlign w:val="bottom"/>
          </w:tcPr>
          <w:p>
            <w:pPr>
              <w:ind w:left="720"/>
              <w:spacing w:after="0"/>
              <w:rPr>
                <w:sz w:val="20"/>
                <w:szCs w:val="20"/>
                <w:color w:val="auto"/>
              </w:rPr>
            </w:pPr>
            <w:r>
              <w:rPr>
                <w:rFonts w:ascii="Arial" w:cs="Arial" w:eastAsia="Arial" w:hAnsi="Arial"/>
                <w:sz w:val="18"/>
                <w:szCs w:val="18"/>
                <w:color w:val="auto"/>
                <w:w w:val="97"/>
              </w:rPr>
              <w:t>Reclassification adjustments into earnings</w:t>
            </w: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unrealized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2,259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w:t>
            </w:r>
          </w:p>
        </w:tc>
      </w:tr>
      <w:tr>
        <w:trPr>
          <w:trHeight w:val="27"/>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before tax amounts reclassified from accumulated other comprehensive income related to our cash flow hedges are recorded to interest expense, net of interest income.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net of tax, includes the following components: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Foreign Currency</w:t>
            </w:r>
          </w:p>
        </w:tc>
        <w:tc>
          <w:tcPr>
            <w:tcW w:w="280" w:type="dxa"/>
            <w:vAlign w:val="bottom"/>
          </w:tcPr>
          <w:p>
            <w:pPr>
              <w:spacing w:after="0"/>
              <w:rPr>
                <w:sz w:val="18"/>
                <w:szCs w:val="18"/>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Net Unrealized</w:t>
            </w:r>
          </w:p>
        </w:tc>
        <w:tc>
          <w:tcPr>
            <w:tcW w:w="300" w:type="dxa"/>
            <w:vAlign w:val="bottom"/>
          </w:tcPr>
          <w:p>
            <w:pPr>
              <w:spacing w:after="0"/>
              <w:rPr>
                <w:sz w:val="18"/>
                <w:szCs w:val="18"/>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Net Unrealized</w:t>
            </w:r>
          </w:p>
        </w:tc>
        <w:tc>
          <w:tcPr>
            <w:tcW w:w="200" w:type="dxa"/>
            <w:vAlign w:val="bottom"/>
          </w:tcPr>
          <w:p>
            <w:pPr>
              <w:spacing w:after="0"/>
              <w:rPr>
                <w:sz w:val="18"/>
                <w:szCs w:val="18"/>
                <w:color w:val="auto"/>
              </w:rPr>
            </w:pPr>
          </w:p>
        </w:tc>
        <w:tc>
          <w:tcPr>
            <w:tcW w:w="18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Accumulated Other</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280" w:type="dxa"/>
            <w:vAlign w:val="bottom"/>
          </w:tcPr>
          <w:p>
            <w:pPr>
              <w:spacing w:after="0"/>
              <w:rPr>
                <w:sz w:val="18"/>
                <w:szCs w:val="18"/>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Gain on</w:t>
            </w:r>
          </w:p>
        </w:tc>
        <w:tc>
          <w:tcPr>
            <w:tcW w:w="300" w:type="dxa"/>
            <w:vAlign w:val="bottom"/>
          </w:tcPr>
          <w:p>
            <w:pPr>
              <w:spacing w:after="0"/>
              <w:rPr>
                <w:sz w:val="18"/>
                <w:szCs w:val="18"/>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3"/>
              </w:rPr>
              <w:t>Loss on</w:t>
            </w:r>
          </w:p>
        </w:tc>
        <w:tc>
          <w:tcPr>
            <w:tcW w:w="200" w:type="dxa"/>
            <w:vAlign w:val="bottom"/>
          </w:tcPr>
          <w:p>
            <w:pPr>
              <w:spacing w:after="0"/>
              <w:rPr>
                <w:sz w:val="18"/>
                <w:szCs w:val="18"/>
                <w:color w:val="auto"/>
              </w:rPr>
            </w:pPr>
          </w:p>
        </w:tc>
        <w:tc>
          <w:tcPr>
            <w:tcW w:w="186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Comprehensive</w:t>
            </w:r>
          </w:p>
        </w:tc>
      </w:tr>
      <w:tr>
        <w:trPr>
          <w:trHeight w:val="234"/>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Adjustments</w:t>
            </w:r>
          </w:p>
        </w:tc>
        <w:tc>
          <w:tcPr>
            <w:tcW w:w="280" w:type="dxa"/>
            <w:vAlign w:val="bottom"/>
          </w:tcPr>
          <w:p>
            <w:pPr>
              <w:spacing w:after="0"/>
              <w:rPr>
                <w:sz w:val="20"/>
                <w:szCs w:val="20"/>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Investment</w:t>
            </w:r>
          </w:p>
        </w:tc>
        <w:tc>
          <w:tcPr>
            <w:tcW w:w="300" w:type="dxa"/>
            <w:vAlign w:val="bottom"/>
          </w:tcPr>
          <w:p>
            <w:pPr>
              <w:spacing w:after="0"/>
              <w:rPr>
                <w:sz w:val="20"/>
                <w:szCs w:val="20"/>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Derivatives</w:t>
            </w:r>
          </w:p>
        </w:tc>
        <w:tc>
          <w:tcPr>
            <w:tcW w:w="200" w:type="dxa"/>
            <w:vAlign w:val="bottom"/>
          </w:tcPr>
          <w:p>
            <w:pPr>
              <w:spacing w:after="0"/>
              <w:rPr>
                <w:sz w:val="20"/>
                <w:szCs w:val="20"/>
                <w:color w:val="auto"/>
              </w:rPr>
            </w:pPr>
          </w:p>
        </w:tc>
        <w:tc>
          <w:tcPr>
            <w:tcW w:w="18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Income</w:t>
            </w: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3,585</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Current period change</w:t>
            </w:r>
          </w:p>
        </w:tc>
        <w:tc>
          <w:tcPr>
            <w:tcW w:w="2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1,379</w:t>
            </w: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2016</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4,964</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jc w:val="right"/>
              <w:ind w:right="12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7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Company’s effective tax rates for the three months ended March 31, 2016 and 2015 were 36.9% and 66.2%, respectively. The effective tax rate for the three months ended March 31, 2016 was lower than the statutory tax rate, inclusive of state income taxes, primarily due to certain credits and deductions, partially offset by non-deductible business expenses. The effective tax rate for the first quarter of 2015 was higher than the statutory tax rate, inclusive of state income taxes, primarily due to foreign losses with no tax benefit and certain non-deductible expenses as a percentage of pretax income.</w:t>
      </w:r>
    </w:p>
    <w:p>
      <w:pPr>
        <w:spacing w:after="0" w:line="96" w:lineRule="exact"/>
        <w:rPr>
          <w:sz w:val="20"/>
          <w:szCs w:val="20"/>
          <w:color w:val="auto"/>
        </w:rPr>
      </w:pPr>
    </w:p>
    <w:p>
      <w:pPr>
        <w:ind w:right="7620" w:firstLine="8"/>
        <w:spacing w:after="0" w:line="440" w:lineRule="auto"/>
        <w:tabs>
          <w:tab w:leader="none" w:pos="27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 Litigation</w:t>
      </w:r>
    </w:p>
    <w:p>
      <w:pPr>
        <w:spacing w:after="0" w:line="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Guarantees in the form of letters of credit totaling $4.8 million were outstanding at both March 31, 2016 and December 31, 2015, primarily to support certain office lease obligations.</w:t>
      </w:r>
    </w:p>
    <w:p>
      <w:pPr>
        <w:spacing w:after="0" w:line="116" w:lineRule="exact"/>
        <w:rPr>
          <w:sz w:val="20"/>
          <w:szCs w:val="20"/>
          <w:color w:val="auto"/>
        </w:rPr>
      </w:pPr>
    </w:p>
    <w:p>
      <w:pPr>
        <w:ind w:left="60"/>
        <w:spacing w:after="0" w:line="264" w:lineRule="auto"/>
        <w:rPr>
          <w:sz w:val="20"/>
          <w:szCs w:val="20"/>
          <w:color w:val="auto"/>
        </w:rPr>
      </w:pPr>
      <w:r>
        <w:rPr>
          <w:rFonts w:ascii="Arial" w:cs="Arial" w:eastAsia="Arial" w:hAnsi="Arial"/>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agreements. As of March 31, 2016 and December 31, 2015, the estimated fair value of our contingent consideration liability was $8.6 million and $2.1 million, respectively.</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17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 xml:space="preserve">Segments are defined by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manages the business under four operating segments, which are our reportable segments: Huron Healthcare, Huron Education and Life Sciences, Huron Business Advisory, and All Other.</w:t>
      </w:r>
    </w:p>
    <w:p>
      <w:pPr>
        <w:spacing w:after="0" w:line="123" w:lineRule="exact"/>
        <w:rPr>
          <w:sz w:val="20"/>
          <w:szCs w:val="20"/>
          <w:color w:val="auto"/>
        </w:rPr>
      </w:pPr>
    </w:p>
    <w:p>
      <w:pPr>
        <w:ind w:left="720" w:hanging="712"/>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Huron Healthcare</w:t>
      </w:r>
    </w:p>
    <w:p>
      <w:pPr>
        <w:spacing w:after="0" w:line="189"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Our Huron Healthcare segment provides strategic advisory, consulting, and technology solutions to national and regional hospitals and integrated health systems, academic medical centers, community hospitals, and physician practices. We deliver solutions to address challenges in the rapidly evolving healthcare environment to improve quality and patient outcomes, increase revenue, reduce expenses, and enhance physician, patient, and employee satisfaction across the healthcare enterprise. By partnering with healthcare organizations, we design solutions that teach providers how to achieve cultural transformation and deliver and sustain improvement in clinical outcomes and financial results. Our people provide a depth of expertise across the healthcare industry, and our culture of collaboration extends to our client engagements, enabling teams to effectively implement successful client projects.</w:t>
      </w:r>
    </w:p>
    <w:p>
      <w:pPr>
        <w:spacing w:after="0" w:line="158" w:lineRule="exact"/>
        <w:rPr>
          <w:sz w:val="20"/>
          <w:szCs w:val="20"/>
          <w:color w:val="auto"/>
        </w:rPr>
      </w:pPr>
    </w:p>
    <w:p>
      <w:pPr>
        <w:ind w:left="720" w:hanging="712"/>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Huron Education and Life Sciences</w:t>
      </w:r>
    </w:p>
    <w:p>
      <w:pPr>
        <w:spacing w:after="0" w:line="189" w:lineRule="exact"/>
        <w:rPr>
          <w:sz w:val="20"/>
          <w:szCs w:val="20"/>
          <w:color w:val="auto"/>
        </w:rPr>
      </w:pPr>
    </w:p>
    <w:p>
      <w:pPr>
        <w:ind w:left="660" w:right="40"/>
        <w:spacing w:after="0" w:line="279" w:lineRule="auto"/>
        <w:rPr>
          <w:sz w:val="20"/>
          <w:szCs w:val="20"/>
          <w:color w:val="auto"/>
        </w:rPr>
      </w:pPr>
      <w:r>
        <w:rPr>
          <w:rFonts w:ascii="Arial" w:cs="Arial" w:eastAsia="Arial" w:hAnsi="Arial"/>
          <w:sz w:val="17"/>
          <w:szCs w:val="17"/>
          <w:color w:val="auto"/>
        </w:rPr>
        <w:t>Our Huron Education and Life Sciences segment provides management consulting services and technology solutions to the higher education, academic medical center, pharmaceutical and medical device, and research industries. We work with our clients to develop and implement strategic priorities, performance improvement, technology, and research enterprise solutions to help them address challenges relating to financial management, strategy, operational and organizational effectiveness, research administration, and regulatory compliance.</w:t>
      </w:r>
    </w:p>
    <w:p>
      <w:pPr>
        <w:spacing w:after="0" w:line="167" w:lineRule="exact"/>
        <w:rPr>
          <w:sz w:val="20"/>
          <w:szCs w:val="20"/>
          <w:color w:val="auto"/>
        </w:rPr>
      </w:pPr>
    </w:p>
    <w:p>
      <w:pPr>
        <w:ind w:left="720" w:hanging="712"/>
        <w:spacing w:after="0"/>
        <w:tabs>
          <w:tab w:leader="none" w:pos="7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Huron Business Advisory</w:t>
      </w:r>
    </w:p>
    <w:p>
      <w:pPr>
        <w:spacing w:after="0" w:line="189" w:lineRule="exact"/>
        <w:rPr>
          <w:sz w:val="20"/>
          <w:szCs w:val="20"/>
          <w:color w:val="auto"/>
        </w:rPr>
      </w:pPr>
    </w:p>
    <w:p>
      <w:pPr>
        <w:ind w:left="660" w:right="80"/>
        <w:spacing w:after="0" w:line="290" w:lineRule="auto"/>
        <w:rPr>
          <w:sz w:val="20"/>
          <w:szCs w:val="20"/>
          <w:color w:val="auto"/>
        </w:rPr>
      </w:pPr>
      <w:r>
        <w:rPr>
          <w:rFonts w:ascii="Arial" w:cs="Arial" w:eastAsia="Arial" w:hAnsi="Arial"/>
          <w:sz w:val="16"/>
          <w:szCs w:val="16"/>
          <w:color w:val="auto"/>
        </w:rPr>
        <w:t>Our Huron Business Advisory segment provides services to the C-suite of middle market and large organizations, lending institutions, law firms, investment banks, and private equity firms. We assist clients in a broad range of industries and across the spectrum from healthy, well-capitalized companies to organizations in transition, and to creditors, owners, and other key constituents. Our Business Advisory practice resolves complex business issues and enhances client enterprise value through a suite of services including capital advisory, transaction advisory, operational improvement, restructuring and turnaround, valuation, and dispute advisory. Our Enterprise Performance Management and Analytics practice delivers solutions that enable organizations to manage and optimize their financial performance, operational efficiency, and client experience. With expertise in full-service enterprise performance management (EPM), business analytics, customer relationship management (CRM), and big data professional services, Huron's global presence and remote delivery capabilities help clients drive results and gain a competitive advantage.</w:t>
      </w:r>
    </w:p>
    <w:p>
      <w:pPr>
        <w:spacing w:after="0" w:line="13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All Other</w:t>
      </w:r>
    </w:p>
    <w:p>
      <w:pPr>
        <w:spacing w:after="0" w:line="175" w:lineRule="exact"/>
        <w:rPr>
          <w:sz w:val="20"/>
          <w:szCs w:val="20"/>
          <w:color w:val="auto"/>
        </w:rPr>
      </w:pPr>
    </w:p>
    <w:p>
      <w:pPr>
        <w:ind w:left="660" w:right="160"/>
        <w:spacing w:after="0" w:line="308" w:lineRule="auto"/>
        <w:rPr>
          <w:sz w:val="20"/>
          <w:szCs w:val="20"/>
          <w:color w:val="auto"/>
        </w:rPr>
      </w:pPr>
      <w:r>
        <w:rPr>
          <w:rFonts w:ascii="Arial" w:cs="Arial" w:eastAsia="Arial" w:hAnsi="Arial"/>
          <w:sz w:val="17"/>
          <w:szCs w:val="17"/>
          <w:color w:val="auto"/>
        </w:rPr>
        <w:t>Our All Other segment consists of any line of business not managed by our other operating segments. These businesses included our public sector consulting practice and our foreign consulting operations based in the Middle East, both of which we wound down in 2015.</w:t>
      </w:r>
    </w:p>
    <w:p>
      <w:pPr>
        <w:spacing w:after="0" w:line="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costs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table below sets forth information about our operating segments for the three months ended March 31, 2016 and 2015, along with the items necessary to reconcile the segment information to the totals reported in the accompanying consolidated financial statements. Refer to Note 4 "Discontinued Operations" for information on the divestiture of the Huron Legal segment in 2015.</w:t>
      </w:r>
    </w:p>
    <w:p>
      <w:pPr>
        <w:spacing w:after="0" w:line="123" w:lineRule="exact"/>
        <w:rPr>
          <w:sz w:val="20"/>
          <w:szCs w:val="20"/>
          <w:color w:val="auto"/>
        </w:rPr>
      </w:pPr>
    </w:p>
    <w:p>
      <w:pPr>
        <w:jc w:val="center"/>
        <w:ind w:left="86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6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22860</wp:posOffset>
            </wp:positionV>
            <wp:extent cx="17665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r>
      <w:tr>
        <w:trPr>
          <w:trHeight w:val="27"/>
        </w:trPr>
        <w:tc>
          <w:tcPr>
            <w:tcW w:w="8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Huron Healthcare: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114,018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98,004</w:t>
            </w: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39,006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28,980</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Huron Education and Life Sciences: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43,238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39,897</w:t>
            </w: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10,208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11,780</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Huron Business Advisory:</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23,233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15,738</w:t>
            </w: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1,599</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 Other:</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787</w:t>
            </w: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(992)</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Segment operating loss as a percentage of segment revenues</w:t>
            </w:r>
          </w:p>
        </w:tc>
        <w:tc>
          <w:tcPr>
            <w:tcW w:w="300" w:type="dxa"/>
            <w:vAlign w:val="bottom"/>
          </w:tcPr>
          <w:p>
            <w:pPr>
              <w:spacing w:after="0"/>
              <w:rPr>
                <w:sz w:val="21"/>
                <w:szCs w:val="21"/>
                <w:color w:val="auto"/>
              </w:rPr>
            </w:pP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N/M</w:t>
            </w: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180,489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154,426</w:t>
            </w: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16,561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16,308</w:t>
            </w:r>
          </w:p>
        </w:tc>
      </w:tr>
      <w:tr>
        <w:trPr>
          <w:trHeight w:val="237"/>
        </w:trPr>
        <w:tc>
          <w:tcPr>
            <w:tcW w:w="8640" w:type="dxa"/>
            <w:vAlign w:val="bottom"/>
          </w:tcPr>
          <w:p>
            <w:pPr>
              <w:ind w:left="40"/>
              <w:spacing w:after="0"/>
              <w:rPr>
                <w:sz w:val="20"/>
                <w:szCs w:val="20"/>
                <w:color w:val="auto"/>
              </w:rPr>
            </w:pPr>
            <w:r>
              <w:rPr>
                <w:rFonts w:ascii="Arial" w:cs="Arial" w:eastAsia="Arial" w:hAnsi="Arial"/>
                <w:sz w:val="18"/>
                <w:szCs w:val="18"/>
                <w:color w:val="auto"/>
              </w:rPr>
              <w:t>Total revenues and reimbursable expenses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197,050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170,734</w:t>
            </w:r>
          </w:p>
        </w:tc>
      </w:tr>
      <w:tr>
        <w:trPr>
          <w:trHeight w:val="67"/>
        </w:trPr>
        <w:tc>
          <w:tcPr>
            <w:tcW w:w="86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86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Statements of Earnings reconciliation:</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51,913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41,367</w:t>
            </w: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allocated at the segment level:</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640" w:type="dxa"/>
            <w:vAlign w:val="bottom"/>
          </w:tcPr>
          <w:p>
            <w:pPr>
              <w:ind w:left="380"/>
              <w:spacing w:after="0"/>
              <w:rPr>
                <w:sz w:val="20"/>
                <w:szCs w:val="20"/>
                <w:color w:val="auto"/>
              </w:rPr>
            </w:pPr>
            <w:r>
              <w:rPr>
                <w:rFonts w:ascii="Arial" w:cs="Arial" w:eastAsia="Arial" w:hAnsi="Arial"/>
                <w:sz w:val="18"/>
                <w:szCs w:val="18"/>
                <w:color w:val="auto"/>
              </w:rPr>
              <w:t>Other operating expenses and gain</w:t>
            </w:r>
          </w:p>
        </w:tc>
        <w:tc>
          <w:tcPr>
            <w:tcW w:w="30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30,123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28,142</w:t>
            </w: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7,414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5,289</w:t>
            </w:r>
          </w:p>
        </w:tc>
      </w:tr>
      <w:tr>
        <w:trPr>
          <w:trHeight w:val="243"/>
        </w:trPr>
        <w:tc>
          <w:tcPr>
            <w:tcW w:w="8640" w:type="dxa"/>
            <w:vAlign w:val="bottom"/>
          </w:tcPr>
          <w:p>
            <w:pPr>
              <w:ind w:left="380"/>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5,076</w:t>
            </w:r>
          </w:p>
        </w:tc>
      </w:tr>
      <w:tr>
        <w:trPr>
          <w:trHeight w:val="27"/>
        </w:trPr>
        <w:tc>
          <w:tcPr>
            <w:tcW w:w="8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10,876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2,860</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065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7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No single client generated greater than 10% of our consolidated revenues during the three months ended March 31, 2016 and 2015. At March 31, 2016 and December 31, 2015, no single client accounted for greater than 10% of our combined receivables and unbilled services balances.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w:t>
      </w:r>
    </w:p>
    <w:p>
      <w:pPr>
        <w:spacing w:after="0" w:line="12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On April 26, 2016, we entered into an agreement to acquire the U.S. assets of ADI Strategies, Inc. ("ADI"), a leading enterprise performance management, risk management, and business intelligence firm focused on implementing the Oracle enterprise application suite. The financial results of ADI will be included within the Huron Business Advisory segment from the close date, which we anticipate will be in the second quarter of 2016. We are also in the process of acquiring the international assets of ADI in Dubai and India. An agreement for these assets is expected to be signed in the second quarter of 2016.</w:t>
      </w:r>
    </w:p>
    <w:p>
      <w:pPr>
        <w:sectPr>
          <w:pgSz w:w="11900" w:h="16838" w:orient="portrait"/>
          <w:cols w:equalWidth="0" w:num="1">
            <w:col w:w="11420"/>
          </w:cols>
          <w:pgMar w:left="240" w:top="125"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In this Quarterly Report on Form 10-Q, unless the context otherwise requires, the terms “Huron,” “Company,” “we,” “us” and “our” refer to Huron Consulting Group Inc. and its subsidiaries.</w:t>
      </w:r>
    </w:p>
    <w:p>
      <w:pPr>
        <w:spacing w:after="0" w:line="11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Statements in this Quarterly Report on Form 10-Q that are not historical in nature, including those concerning the Company’s current expectations about its future requirements and needs,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or "outlook" or similar expressions. These forward-looking statements reflect our current expectation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in our Annual Report on Form 10-K for the year ended December 31, 2015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Huron is a global professional services firm focused on assisting clients with their most complex business issues by delivering high-value, quality solutions to support their long-term strategic objectives. We specialize in serving clients in the healthcare, higher education, life sciences, and commercial sectors as these organizations face significant transformational change and regulatory or economic pressures in dynamic market environments. With our deep industry and technical expertise, we provide advisory, consulting, technology, and analytic solutions to deliver sustainable and measurable results. We provide consulting services to a wide variety of both financially sound and distressed organizations, including healthcare organizations, leading academic institutions, Fortune 500 companies, and governmental entities. Huron has worked with more than 450 health systems, hospitals, and academic medical centers and more than 400 universities and research institutions.</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provide professional services through four operating segments: Huron Healthcare, Huron Education and Life Sciences, Huron Business Advisory and All Other.</w:t>
      </w:r>
    </w:p>
    <w:p>
      <w:pPr>
        <w:spacing w:after="0" w:line="139" w:lineRule="exact"/>
        <w:rPr>
          <w:sz w:val="20"/>
          <w:szCs w:val="20"/>
          <w:color w:val="auto"/>
        </w:rPr>
      </w:pPr>
    </w:p>
    <w:p>
      <w:pPr>
        <w:ind w:left="720" w:hanging="712"/>
        <w:spacing w:after="0"/>
        <w:tabs>
          <w:tab w:leader="none" w:pos="7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Huron Healthcare</w:t>
      </w:r>
    </w:p>
    <w:p>
      <w:pPr>
        <w:spacing w:after="0" w:line="189"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color w:val="auto"/>
        </w:rPr>
        <w:t>Our Huron Healthcare segment provides strategic advisory, consulting, and technology solutions to national and regional hospitals and integrated health systems, academic medical centers, community hospitals, and physician practices. We deliver solutions to address challenges in the rapidly evolving healthcare environment to improve quality and patient outcomes, increase revenue, reduce expenses, and enhance physician, patient, and employee satisfaction across the healthcare enterprise. By partnering with healthcare organizations, we design solutions that teach providers how to achieve cultural transformation and deliver and sustain improvement in clinical outcomes and financial results. Our people provide a depth of expertise across the healthcare industry, and our culture of collaboration extends to our client engagements, enabling teams to effectively implement successful client projects.</w:t>
      </w:r>
    </w:p>
    <w:p>
      <w:pPr>
        <w:spacing w:after="0" w:line="158" w:lineRule="exact"/>
        <w:rPr>
          <w:sz w:val="20"/>
          <w:szCs w:val="20"/>
          <w:color w:val="auto"/>
        </w:rPr>
      </w:pPr>
    </w:p>
    <w:p>
      <w:pPr>
        <w:ind w:left="720" w:hanging="712"/>
        <w:spacing w:after="0"/>
        <w:tabs>
          <w:tab w:leader="none" w:pos="7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Huron Education and Life Sciences</w:t>
      </w:r>
    </w:p>
    <w:p>
      <w:pPr>
        <w:spacing w:after="0" w:line="189" w:lineRule="exact"/>
        <w:rPr>
          <w:sz w:val="20"/>
          <w:szCs w:val="20"/>
          <w:color w:val="auto"/>
        </w:rPr>
      </w:pPr>
    </w:p>
    <w:p>
      <w:pPr>
        <w:ind w:left="660" w:right="100"/>
        <w:spacing w:after="0" w:line="279" w:lineRule="auto"/>
        <w:rPr>
          <w:sz w:val="20"/>
          <w:szCs w:val="20"/>
          <w:color w:val="auto"/>
        </w:rPr>
      </w:pPr>
      <w:r>
        <w:rPr>
          <w:rFonts w:ascii="Arial" w:cs="Arial" w:eastAsia="Arial" w:hAnsi="Arial"/>
          <w:sz w:val="17"/>
          <w:szCs w:val="17"/>
          <w:color w:val="auto"/>
        </w:rPr>
        <w:t>Our Huron Education and Life Sciences segment provides management consulting services and technology solutions to the higher education, academic medical center, pharmaceutical and medical device, and research industries. We work with our clients to develop and implement strategic priorities, performance improvement, technology, and research enterprise solutions to help them address challenges relating to financial management, strategy, operational and organizational effectiveness, research administration, and regulatory compliance.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5"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20" w:hanging="712"/>
        <w:spacing w:after="0"/>
        <w:tabs>
          <w:tab w:leader="none" w:pos="7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Huron Business Advisory</w:t>
      </w:r>
    </w:p>
    <w:p>
      <w:pPr>
        <w:spacing w:after="0" w:line="189" w:lineRule="exact"/>
        <w:rPr>
          <w:sz w:val="20"/>
          <w:szCs w:val="20"/>
          <w:color w:val="auto"/>
        </w:rPr>
      </w:pPr>
    </w:p>
    <w:p>
      <w:pPr>
        <w:ind w:left="660" w:right="160"/>
        <w:spacing w:after="0" w:line="290" w:lineRule="auto"/>
        <w:rPr>
          <w:sz w:val="20"/>
          <w:szCs w:val="20"/>
          <w:color w:val="auto"/>
        </w:rPr>
      </w:pPr>
      <w:r>
        <w:rPr>
          <w:rFonts w:ascii="Arial" w:cs="Arial" w:eastAsia="Arial" w:hAnsi="Arial"/>
          <w:sz w:val="16"/>
          <w:szCs w:val="16"/>
          <w:color w:val="auto"/>
        </w:rPr>
        <w:t>Our Huron Business Advisory segment provides services to the C-suite of middle market and large organizations, lending institutions, law firms, investment banks, and private equity firms. We assist clients in a broad range of industries and across the spectrum from healthy, well-capitalized companies to organizations in transition, and to creditors, owners, and other key constituents. Our Business Advisory practice resolves complex business issues and enhances client enterprise value through a suite of services including capital advisory, transaction advisory, operational improvement, restructuring and turnaround, valuation, and dispute advisory. Our Enterprise Performance Management and Analytics practice delivers solutions that enable organizations to manage and optimize their financial performance, operational efficiency, and client experience. With expertise in full-service enterprise performance management (EPM), business analytics, customer relationship management (CRM), and big data professional services, Huron's global presence and remote delivery capabilities help clients drive results and gain a competitive advantage.</w:t>
      </w:r>
    </w:p>
    <w:p>
      <w:pPr>
        <w:spacing w:after="0" w:line="135" w:lineRule="exact"/>
        <w:rPr>
          <w:sz w:val="20"/>
          <w:szCs w:val="20"/>
          <w:color w:val="auto"/>
        </w:rPr>
      </w:pPr>
    </w:p>
    <w:p>
      <w:pPr>
        <w:ind w:left="720" w:hanging="712"/>
        <w:spacing w:after="0"/>
        <w:tabs>
          <w:tab w:leader="none" w:pos="7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All Other</w:t>
      </w:r>
    </w:p>
    <w:p>
      <w:pPr>
        <w:spacing w:after="0" w:line="189" w:lineRule="exact"/>
        <w:rPr>
          <w:sz w:val="20"/>
          <w:szCs w:val="20"/>
          <w:color w:val="auto"/>
        </w:rPr>
      </w:pPr>
    </w:p>
    <w:p>
      <w:pPr>
        <w:ind w:left="660" w:right="240"/>
        <w:spacing w:after="0" w:line="308" w:lineRule="auto"/>
        <w:rPr>
          <w:sz w:val="20"/>
          <w:szCs w:val="20"/>
          <w:color w:val="auto"/>
        </w:rPr>
      </w:pPr>
      <w:r>
        <w:rPr>
          <w:rFonts w:ascii="Arial" w:cs="Arial" w:eastAsia="Arial" w:hAnsi="Arial"/>
          <w:sz w:val="17"/>
          <w:szCs w:val="17"/>
          <w:color w:val="auto"/>
        </w:rPr>
        <w:t>Our All Other segment consists of any line of business not managed by our other operating segments. These businesses included our public sector consulting practice and our foreign consulting operations based in the Middle East, both of which we wound down in 2015.</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My Rounding Solutions, LLC</w:t>
      </w:r>
    </w:p>
    <w:p>
      <w:pPr>
        <w:spacing w:after="0" w:line="17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On February 1, 2016, we completed our acquisition of My Rounding Solutions, LLC ("MyRounding"), a Denver, Colorado-based firm specializing in digital health solutions to improve patient care. The MyRounding application is designed to standardize, automate and track rounding activity, allowing nurses and staff to improve the care and experience of patients in real time. The addition of MyRounding expands the integration of our software and consulting solutions and strengthens our transformation services for healthcare providers. The results of operations of MyRounding have been included in our consolidated financial statements and segment operating results of our Huron Healthcare segment from the date of acquisition.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many of whom work variable schedules as needed by our clients. Full-time equivalent professionals include specialized finance and operational consultants, our cultural transformation consultants from our Studer Group solution, which include coaches and their support staff, and our employees who provide software support and maintenance services to our clients. We translate the hours that these other professionals work on client engagements into a full-time equivalent measure that we use to manage our business. We refer to our full-time consultants and other professionals collectively as revenue-generating professionals.</w:t>
      </w:r>
    </w:p>
    <w:p>
      <w:pPr>
        <w:spacing w:after="0" w:line="11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Revenues generated by our coaches are largely dependent on the number of coaches we employ and the total value, scope, and terms of the consulting contracts under which they provide services, which are primarily fixed-fee contracts.</w:t>
      </w:r>
    </w:p>
    <w:p>
      <w:pPr>
        <w:spacing w:after="0" w:line="10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generate the majority of our revenues from providing professional services under four types of billing arrangements: fixed-fee (including software license revenue), time-and-expense, performance-based, and software support and maintenance and subscriptions.</w:t>
      </w:r>
    </w:p>
    <w:p>
      <w:pPr>
        <w:spacing w:after="0" w:line="1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It is the client’s expectation in these engagements that the pre-established fee will not be exceeded except in mutually agreed upon circumstances. We generally recognize revenues under fixed-fee billing arrangements using a proportionate performance approach, which is based on work completed to-date versus our estimates of the total services to be provided under the engagement. Contracts within our Studer Group solution are fixed-fee partner contracts with multiple deliverables, which primarily consist of coaching services, as well as seminars, materials and software products (“Partner Contracts”). Revenues for coaching services and software products are generally recognized on a straight-line basis over the length of the contract. All other revenues under Partner Contracts are recognized at the time the service is provided.</w:t>
      </w:r>
    </w:p>
    <w:p>
      <w:pPr>
        <w:spacing w:after="0" w:line="11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Fixed-fee arrangements also include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recognized over the term of the related consulting services contract. License revenue from our research administration and compliance software is generally recognized in the month in which the software is delivered.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Fixed-fee engagements represented 53.6% and 55.3% of our revenues for the three months ended March 31, 2016 and 2015, respectively.</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Time-and-expense billing arrangements require the client to pay based on the number of hours worked by our revenue-generating professionals at agreed upon rates. Time-and-expense arrangements also include certain speaking engagements, conferences, and publication orders purchased by our clients outside of Partner Contracts within our Studer Group solution. We recognize revenues under time-and-expense billing arrangements as the related services or publications are provided. Time-and-expense engagements represented 33.3% and 30.9% of our revenues for the three months ended March 31, 2016 and 2015, respectively.</w:t>
      </w:r>
    </w:p>
    <w:p>
      <w:pPr>
        <w:spacing w:after="0" w:line="13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We do not recognize revenues under performance-based billing arrangements until all related performance criteria are met. Performance-based fee revenues represented 8.4% and 8.7% of our revenues for the three months ended March 31, 2016 and 2015, respectively. Performance-based fee engagements may cause significant variations in quarterly revenues and operating results depending on the timing of achieving the performance-based criteria.</w:t>
      </w:r>
    </w:p>
    <w:p>
      <w:pPr>
        <w:spacing w:after="0" w:line="13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Clients that have purchased one of our software licenses can pay an annual fee for software support and maintenance. We also generate subscription revenue from our cloud-based analytic tools and solutions. Software support and maintenance and subscription-based revenues are recognized ratably over the support or subscription period, which ranges from one to three years. These fees are billed in advance and included in deferred revenues until recognized. Software support and maintenance and subscription-based revenues represented 4.7% and 5.1% of our revenues for the three months ended March 31, 2016 and 2015, respectively.</w:t>
      </w:r>
    </w:p>
    <w:p>
      <w:pPr>
        <w:spacing w:after="0" w:line="13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quarterly results are impacted principally by our full-time consultants’ utilization rate, the billing rates we charge our clients, the number of our revenue-generating professionals who are available to work, and the amount of performance-based fees recognized, which often vary significantly between quarters.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Opportunities and Challenges</w:t>
      </w:r>
    </w:p>
    <w:p>
      <w:pPr>
        <w:spacing w:after="0" w:line="17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primary strategy is to meet the needs of our clients by providing a balanced portfolio of service offerings and capabilities, so that we can adapt quickly and effectively to emerging opportunities in the marketplace. To achieve this, we continue to hire highly qualified professionals and have entered into select acquisitions of complementary businesses.</w:t>
      </w:r>
    </w:p>
    <w:p>
      <w:pPr>
        <w:spacing w:after="0" w:line="12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To expand our business, we will remain focused on growing our existing relationships and developing new relationships, execute our managing director compensation plan to attract and retain senior practitioners, continue to promote and provide an integrated approach to service delivery, broaden the scope of our existing services, and acquire complementary businesses. We will regularly evaluate the performance of our practices to ensure our investments meet these objectives. Furthermore, we intend to enhance our visibility in the marketplace by refining our overarching messaging and value propositions for the organization as well as each practice. We will continue to focus on reaching our client base through clear, concise, endorsed messages.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following table sets forth, for the periods indicated, selected segment and consolidated operating results and other operating data. Segment operating income consists of the revenues generated by a segment, less the direct costs of revenue and selling, general and administrative costs that are incurred directly by the segment. Unallocated costs include corporate costs related to administrative functions that are performed in a centralized manner that are not attributable to a particular segment. The results of operations for acquired businesses have been included in our results of operations since the date of their respective acquisition.</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00" w:type="dxa"/>
            <w:vAlign w:val="bottom"/>
          </w:tcPr>
          <w:p>
            <w:pPr>
              <w:spacing w:after="0"/>
              <w:rPr>
                <w:sz w:val="20"/>
                <w:szCs w:val="20"/>
                <w:color w:val="auto"/>
              </w:rPr>
            </w:pPr>
          </w:p>
        </w:tc>
      </w:tr>
      <w:tr>
        <w:trPr>
          <w:trHeight w:val="27"/>
        </w:trPr>
        <w:tc>
          <w:tcPr>
            <w:tcW w:w="842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8420" w:type="dxa"/>
            <w:vAlign w:val="bottom"/>
            <w:gridSpan w:val="2"/>
          </w:tcPr>
          <w:p>
            <w:pPr>
              <w:ind w:left="40"/>
              <w:spacing w:after="0"/>
              <w:rPr>
                <w:sz w:val="20"/>
                <w:szCs w:val="20"/>
                <w:color w:val="auto"/>
              </w:rPr>
            </w:pPr>
            <w:r>
              <w:rPr>
                <w:rFonts w:ascii="Arial" w:cs="Arial" w:eastAsia="Arial" w:hAnsi="Arial"/>
                <w:sz w:val="18"/>
                <w:szCs w:val="18"/>
                <w:b w:val="1"/>
                <w:bCs w:val="1"/>
                <w:color w:val="auto"/>
              </w:rPr>
              <w:t>Segment and Consolidated Operating Results (in thousands):</w:t>
            </w: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7"/>
        </w:trPr>
        <w:tc>
          <w:tcPr>
            <w:tcW w:w="8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Huron Healthcare: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114,018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98,004</w:t>
            </w:r>
          </w:p>
        </w:tc>
      </w:tr>
      <w:tr>
        <w:trPr>
          <w:trHeight w:val="27"/>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39,006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28,980</w:t>
            </w: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7"/>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Huron Education and Life Sciences: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43,238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39,897</w:t>
            </w:r>
          </w:p>
        </w:tc>
      </w:tr>
      <w:tr>
        <w:trPr>
          <w:trHeight w:val="27"/>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10,208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11,780</w:t>
            </w: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7"/>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Huron Business Advisory:</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23,233</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15,738</w:t>
            </w:r>
          </w:p>
        </w:tc>
      </w:tr>
      <w:tr>
        <w:trPr>
          <w:trHeight w:val="27"/>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2,699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1,599</w:t>
            </w: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All Other:</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787</w:t>
            </w:r>
          </w:p>
        </w:tc>
      </w:tr>
      <w:tr>
        <w:trPr>
          <w:trHeight w:val="27"/>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(992)</w:t>
            </w: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Segment operating loss as a percentage of segment revenues</w:t>
            </w:r>
          </w:p>
        </w:tc>
        <w:tc>
          <w:tcPr>
            <w:tcW w:w="340" w:type="dxa"/>
            <w:vAlign w:val="bottom"/>
          </w:tcPr>
          <w:p>
            <w:pPr>
              <w:spacing w:after="0"/>
              <w:rPr>
                <w:sz w:val="21"/>
                <w:szCs w:val="21"/>
                <w:color w:val="auto"/>
              </w:rPr>
            </w:pP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N/M</w:t>
            </w:r>
          </w:p>
        </w:tc>
        <w:tc>
          <w:tcPr>
            <w:tcW w:w="4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N/M</w:t>
            </w:r>
          </w:p>
        </w:tc>
      </w:tr>
      <w:tr>
        <w:trPr>
          <w:trHeight w:val="27"/>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180,489</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154,426</w:t>
            </w:r>
          </w:p>
        </w:tc>
      </w:tr>
      <w:tr>
        <w:trPr>
          <w:trHeight w:val="27"/>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16,561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16,308</w:t>
            </w:r>
          </w:p>
        </w:tc>
      </w:tr>
      <w:tr>
        <w:trPr>
          <w:trHeight w:val="237"/>
        </w:trPr>
        <w:tc>
          <w:tcPr>
            <w:tcW w:w="84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revenues and reimbursable expenses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197,050</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170,734</w:t>
            </w:r>
          </w:p>
        </w:tc>
      </w:tr>
      <w:tr>
        <w:trPr>
          <w:trHeight w:val="67"/>
        </w:trPr>
        <w:tc>
          <w:tcPr>
            <w:tcW w:w="83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31"/>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Earnings reconciliation:</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Segment 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51,913</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41,367</w:t>
            </w:r>
          </w:p>
        </w:tc>
      </w:tr>
      <w:tr>
        <w:trPr>
          <w:trHeight w:val="27"/>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Items not allocated at the segment level:</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gridSpan w:val="2"/>
          </w:tcPr>
          <w:p>
            <w:pPr>
              <w:ind w:left="380"/>
              <w:spacing w:after="0"/>
              <w:rPr>
                <w:sz w:val="20"/>
                <w:szCs w:val="20"/>
                <w:color w:val="auto"/>
              </w:rPr>
            </w:pPr>
            <w:r>
              <w:rPr>
                <w:rFonts w:ascii="Arial" w:cs="Arial" w:eastAsia="Arial" w:hAnsi="Arial"/>
                <w:sz w:val="18"/>
                <w:szCs w:val="18"/>
                <w:color w:val="auto"/>
              </w:rPr>
              <w:t>Other operating expenses and gain</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30,123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28,142</w:t>
            </w:r>
          </w:p>
        </w:tc>
      </w:tr>
      <w:tr>
        <w:trPr>
          <w:trHeight w:val="27"/>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4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7,414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5,289</w:t>
            </w:r>
          </w:p>
        </w:tc>
      </w:tr>
      <w:tr>
        <w:trPr>
          <w:trHeight w:val="237"/>
        </w:trPr>
        <w:tc>
          <w:tcPr>
            <w:tcW w:w="84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operating income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14,376</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7,936</w:t>
            </w:r>
          </w:p>
        </w:tc>
      </w:tr>
      <w:tr>
        <w:trPr>
          <w:trHeight w:val="67"/>
        </w:trPr>
        <w:tc>
          <w:tcPr>
            <w:tcW w:w="83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51"/>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Operating Data (excluding All Other):</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64"/>
        </w:trPr>
        <w:tc>
          <w:tcPr>
            <w:tcW w:w="8320" w:type="dxa"/>
            <w:vAlign w:val="bottom"/>
            <w:tcBorders>
              <w:top w:val="single" w:sz="8" w:color="auto"/>
            </w:tcBorders>
          </w:tcPr>
          <w:p>
            <w:pPr>
              <w:ind w:left="40"/>
              <w:spacing w:after="0" w:line="264" w:lineRule="exact"/>
              <w:rPr>
                <w:sz w:val="20"/>
                <w:szCs w:val="20"/>
                <w:color w:val="auto"/>
              </w:rPr>
            </w:pPr>
            <w:r>
              <w:rPr>
                <w:rFonts w:ascii="Arial" w:cs="Arial" w:eastAsia="Arial" w:hAnsi="Arial"/>
                <w:sz w:val="18"/>
                <w:szCs w:val="18"/>
                <w:b w:val="1"/>
                <w:bCs w:val="1"/>
                <w:color w:val="auto"/>
              </w:rPr>
              <w:t xml:space="preserve">Number of full-time billable consultants (at period end)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Huron Healthcare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1,023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1,105</w:t>
            </w: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Huron Education and Life Sciences</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425</w:t>
            </w:r>
          </w:p>
        </w:tc>
      </w:tr>
      <w:tr>
        <w:trPr>
          <w:trHeight w:val="27"/>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Huron Business Advisory</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211</w:t>
            </w:r>
          </w:p>
        </w:tc>
      </w:tr>
      <w:tr>
        <w:trPr>
          <w:trHeight w:val="237"/>
        </w:trPr>
        <w:tc>
          <w:tcPr>
            <w:tcW w:w="84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1,842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1,741</w:t>
            </w:r>
          </w:p>
        </w:tc>
      </w:tr>
      <w:tr>
        <w:trPr>
          <w:trHeight w:val="27"/>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4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Average number of full-time billable consultants (for the period)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Huron Healthcare</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1,108</w:t>
            </w:r>
          </w:p>
        </w:tc>
      </w:tr>
      <w:tr>
        <w:trPr>
          <w:trHeight w:val="27"/>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Huron Education and Life Sciences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423</w:t>
            </w: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Huron Business Advisory</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205</w:t>
            </w:r>
          </w:p>
        </w:tc>
      </w:tr>
      <w:tr>
        <w:trPr>
          <w:trHeight w:val="27"/>
        </w:trPr>
        <w:tc>
          <w:tcPr>
            <w:tcW w:w="8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1,829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1,736</w:t>
            </w:r>
          </w:p>
        </w:tc>
      </w:tr>
      <w:tr>
        <w:trPr>
          <w:trHeight w:val="20"/>
        </w:trPr>
        <w:tc>
          <w:tcPr>
            <w:tcW w:w="8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22860</wp:posOffset>
            </wp:positionV>
            <wp:extent cx="18954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Operating Data (continued):</w:t>
            </w: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7"/>
        </w:trPr>
        <w:tc>
          <w:tcPr>
            <w:tcW w:w="8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44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Full-time billable consultant utilization rate </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Huron Healthcare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72.5%</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Huron Education and Life Sciences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Huron Business Advisory</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r>
      <w:tr>
        <w:trPr>
          <w:trHeight w:val="270"/>
        </w:trPr>
        <w:tc>
          <w:tcPr>
            <w:tcW w:w="8440" w:type="dxa"/>
            <w:vAlign w:val="bottom"/>
            <w:gridSpan w:val="2"/>
          </w:tcPr>
          <w:p>
            <w:pPr>
              <w:ind w:left="40"/>
              <w:spacing w:after="0" w:line="270" w:lineRule="exact"/>
              <w:rPr>
                <w:sz w:val="20"/>
                <w:szCs w:val="20"/>
                <w:color w:val="auto"/>
              </w:rPr>
            </w:pPr>
            <w:r>
              <w:rPr>
                <w:rFonts w:ascii="Arial" w:cs="Arial" w:eastAsia="Arial" w:hAnsi="Arial"/>
                <w:sz w:val="18"/>
                <w:szCs w:val="18"/>
                <w:b w:val="1"/>
                <w:bCs w:val="1"/>
                <w:color w:val="auto"/>
              </w:rPr>
              <w:t xml:space="preserve">Full-time billable consultant average billing rate per hour </w:t>
            </w:r>
            <w:r>
              <w:rPr>
                <w:rFonts w:ascii="Arial" w:cs="Arial" w:eastAsia="Arial" w:hAnsi="Arial"/>
                <w:sz w:val="25"/>
                <w:szCs w:val="25"/>
                <w:b w:val="1"/>
                <w:bCs w:val="1"/>
                <w:color w:val="auto"/>
                <w:vertAlign w:val="superscript"/>
              </w:rPr>
              <w:t>(3)</w:t>
            </w:r>
            <w:r>
              <w:rPr>
                <w:rFonts w:ascii="Arial" w:cs="Arial" w:eastAsia="Arial" w:hAnsi="Arial"/>
                <w:sz w:val="18"/>
                <w:szCs w:val="18"/>
                <w:b w:val="1"/>
                <w:bCs w:val="1"/>
                <w:color w:val="auto"/>
              </w:rPr>
              <w:t>:</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Huron Healthcare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211</w:t>
            </w: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Huron Education and Life Sciences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225</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4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Huron Business Advisory </w:t>
            </w:r>
            <w:r>
              <w:rPr>
                <w:rFonts w:ascii="Arial" w:cs="Arial" w:eastAsia="Arial" w:hAnsi="Arial"/>
                <w:sz w:val="25"/>
                <w:szCs w:val="25"/>
                <w:color w:val="auto"/>
                <w:vertAlign w:val="superscript"/>
              </w:rPr>
              <w:t>(4)</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227</w:t>
            </w:r>
          </w:p>
        </w:tc>
      </w:tr>
      <w:tr>
        <w:trPr>
          <w:trHeight w:val="243"/>
        </w:trPr>
        <w:tc>
          <w:tcPr>
            <w:tcW w:w="84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217</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 per full-time billable consultant (in thousands):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Huron Healthcare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72</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Huron Education and Life Sciences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81</w:t>
            </w: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Huron Business Advisory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74</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w:t>
            </w:r>
          </w:p>
        </w:tc>
      </w:tr>
      <w:tr>
        <w:trPr>
          <w:trHeight w:val="270"/>
        </w:trPr>
        <w:tc>
          <w:tcPr>
            <w:tcW w:w="8440" w:type="dxa"/>
            <w:vAlign w:val="bottom"/>
            <w:gridSpan w:val="2"/>
          </w:tcPr>
          <w:p>
            <w:pPr>
              <w:ind w:left="40"/>
              <w:spacing w:after="0" w:line="270" w:lineRule="exact"/>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25"/>
                <w:szCs w:val="25"/>
                <w:b w:val="1"/>
                <w:bCs w:val="1"/>
                <w:color w:val="auto"/>
                <w:vertAlign w:val="superscript"/>
              </w:rPr>
              <w:t>(5)</w:t>
            </w:r>
            <w:r>
              <w:rPr>
                <w:rFonts w:ascii="Arial" w:cs="Arial" w:eastAsia="Arial" w:hAnsi="Arial"/>
                <w:sz w:val="18"/>
                <w:szCs w:val="18"/>
                <w:b w:val="1"/>
                <w:bCs w:val="1"/>
                <w:color w:val="auto"/>
              </w:rPr>
              <w:t>:</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Huron Healthcare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127</w:t>
            </w: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Huron Education and Life Sciences</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38</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Huron Business Advisory</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r>
      <w:tr>
        <w:trPr>
          <w:trHeight w:val="237"/>
        </w:trPr>
        <w:tc>
          <w:tcPr>
            <w:tcW w:w="84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170</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 per full-time equivalent (in thousands):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Huron Healthcare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145</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Huron Education and Life Sciences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149</w:t>
            </w: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Huron Business Advisory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89</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4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144</w:t>
            </w:r>
          </w:p>
        </w:tc>
      </w:tr>
      <w:tr>
        <w:trPr>
          <w:trHeight w:val="27"/>
        </w:trPr>
        <w:tc>
          <w:tcPr>
            <w:tcW w:w="8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379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44"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our full-time professionals who provide consulting services and generate revenues based on the number of hours worked.</w:t>
      </w:r>
    </w:p>
    <w:p>
      <w:pPr>
        <w:spacing w:after="0" w:line="63" w:lineRule="exact"/>
        <w:rPr>
          <w:rFonts w:ascii="Arial" w:cs="Arial" w:eastAsia="Arial" w:hAnsi="Arial"/>
          <w:sz w:val="18"/>
          <w:szCs w:val="18"/>
          <w:color w:val="auto"/>
        </w:rPr>
      </w:pPr>
    </w:p>
    <w:p>
      <w:pPr>
        <w:ind w:left="540" w:right="20" w:hanging="532"/>
        <w:spacing w:after="0" w:line="264"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Utilization rate for our full-time billable consultants is calculated by dividing the number of hours all of our full-time billable consultants worked on client assignments during a period by the total available working hours for all of these consultants during the same period, assuming a forty-hour work week, less paid holidays and vacation days.</w:t>
      </w:r>
    </w:p>
    <w:p>
      <w:pPr>
        <w:spacing w:after="0" w:line="19" w:lineRule="exact"/>
        <w:rPr>
          <w:rFonts w:ascii="Arial" w:cs="Arial" w:eastAsia="Arial" w:hAnsi="Arial"/>
          <w:sz w:val="18"/>
          <w:szCs w:val="18"/>
          <w:color w:val="auto"/>
        </w:rPr>
      </w:pPr>
    </w:p>
    <w:p>
      <w:pPr>
        <w:ind w:left="540" w:right="220" w:hanging="532"/>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Average billing rate per hour for our full-time billable consultants is calculated by dividing revenues for a period by the number of hours worked on client assignments during the same period.</w:t>
      </w:r>
    </w:p>
    <w:p>
      <w:pPr>
        <w:spacing w:after="0" w:line="8" w:lineRule="exact"/>
        <w:rPr>
          <w:rFonts w:ascii="Arial" w:cs="Arial" w:eastAsia="Arial" w:hAnsi="Arial"/>
          <w:sz w:val="18"/>
          <w:szCs w:val="18"/>
          <w:color w:val="auto"/>
        </w:rPr>
      </w:pPr>
    </w:p>
    <w:p>
      <w:pPr>
        <w:ind w:left="540" w:right="160" w:hanging="532"/>
        <w:spacing w:after="0" w:line="264"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Huron Business Advisory segment includes the operations of Rittman Mead Consulting Private Limited ("Rittman Mead India"), a business that we acquired in July 2015. Absent the impact of Rittman Mead India, the average billing rate per hour for Huron Business Advisory for the three months ended March 31, 2016 would have been $230 per hour.</w:t>
      </w:r>
    </w:p>
    <w:p>
      <w:pPr>
        <w:spacing w:after="0" w:line="19" w:lineRule="exact"/>
        <w:rPr>
          <w:rFonts w:ascii="Arial" w:cs="Arial" w:eastAsia="Arial" w:hAnsi="Arial"/>
          <w:sz w:val="18"/>
          <w:szCs w:val="18"/>
          <w:color w:val="auto"/>
        </w:rPr>
      </w:pPr>
    </w:p>
    <w:p>
      <w:pPr>
        <w:ind w:left="540" w:right="20" w:hanging="532"/>
        <w:spacing w:after="0" w:line="264"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consultants who work variable schedules as needed by our clients, including full-time employees who provide software support and maintenance services to our clients, and cultural transformation consultants within our Studer Group solution, which include coaches and their support staff.</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assess our results of operations using certain non-GAAP financial measures. These non-GAAP financial measures differ from GAAP because the non-GAAP financial measures we calculate to measure adjusted earnings before interest, taxes, depreciation and amortization (EBITDA), adjusted net income from continuing operations, and adjusted diluted earnings per share from continuing operations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3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ectPr>
          <w:pgSz w:w="11900" w:h="16838" w:orient="portrait"/>
          <w:cols w:equalWidth="0" w:num="1">
            <w:col w:w="11420"/>
          </w:cols>
          <w:pgMar w:left="240" w:top="125" w:right="239" w:bottom="1095" w:gutter="0" w:footer="0" w:header="0"/>
        </w:sectPr>
      </w:pP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reconciliations of these financial measures from GAAP to non-GAAP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715645</wp:posOffset>
            </wp:positionV>
            <wp:extent cx="724662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Revenues</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 back:</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and other expenses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Earnings before interest, taxes, depreciation and amortization (EBITDA)</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 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Restructuring charges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Adjusted EBITDA</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Adjusted EBITDA as a percentage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755015</wp:posOffset>
            </wp:positionV>
            <wp:extent cx="724662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Weighted average shares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Diluted earnings per share from continuing operations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 back: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17665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r>
      <w:tr>
        <w:trPr>
          <w:trHeight w:val="27"/>
        </w:trPr>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180,489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154,426</w:t>
            </w:r>
          </w:p>
        </w:tc>
      </w:tr>
      <w:tr>
        <w:trPr>
          <w:trHeight w:val="27"/>
        </w:trPr>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4"/>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6,866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968</w:t>
            </w:r>
          </w:p>
        </w:tc>
      </w:tr>
      <w:tr>
        <w:trPr>
          <w:trHeight w:val="540"/>
        </w:trPr>
        <w:tc>
          <w:tcPr>
            <w:tcW w:w="300" w:type="dxa"/>
            <w:vAlign w:val="bottom"/>
          </w:tcPr>
          <w:p>
            <w:pPr>
              <w:spacing w:after="0"/>
              <w:rPr>
                <w:sz w:val="24"/>
                <w:szCs w:val="24"/>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4,010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1,892</w:t>
            </w:r>
          </w:p>
        </w:tc>
      </w:tr>
      <w:tr>
        <w:trPr>
          <w:trHeight w:val="270"/>
        </w:trPr>
        <w:tc>
          <w:tcPr>
            <w:tcW w:w="300" w:type="dxa"/>
            <w:vAlign w:val="bottom"/>
          </w:tcPr>
          <w:p>
            <w:pPr>
              <w:spacing w:after="0"/>
              <w:rPr>
                <w:sz w:val="23"/>
                <w:szCs w:val="23"/>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5,076</w:t>
            </w:r>
          </w:p>
        </w:tc>
      </w:tr>
      <w:tr>
        <w:trPr>
          <w:trHeight w:val="270"/>
        </w:trPr>
        <w:tc>
          <w:tcPr>
            <w:tcW w:w="300" w:type="dxa"/>
            <w:vAlign w:val="bottom"/>
          </w:tcPr>
          <w:p>
            <w:pPr>
              <w:spacing w:after="0"/>
              <w:rPr>
                <w:sz w:val="23"/>
                <w:szCs w:val="23"/>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10,800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7,743</w:t>
            </w:r>
          </w:p>
        </w:tc>
      </w:tr>
      <w:tr>
        <w:trPr>
          <w:trHeight w:val="27"/>
        </w:trPr>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25,176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15,679</w:t>
            </w:r>
          </w:p>
        </w:tc>
      </w:tr>
      <w:tr>
        <w:trPr>
          <w:trHeight w:val="540"/>
        </w:trPr>
        <w:tc>
          <w:tcPr>
            <w:tcW w:w="300" w:type="dxa"/>
            <w:vAlign w:val="bottom"/>
          </w:tcPr>
          <w:p>
            <w:pPr>
              <w:spacing w:after="0"/>
              <w:rPr>
                <w:sz w:val="24"/>
                <w:szCs w:val="24"/>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656</w:t>
            </w:r>
          </w:p>
        </w:tc>
      </w:tr>
      <w:tr>
        <w:trPr>
          <w:trHeight w:val="270"/>
        </w:trPr>
        <w:tc>
          <w:tcPr>
            <w:tcW w:w="300" w:type="dxa"/>
            <w:vAlign w:val="bottom"/>
          </w:tcPr>
          <w:p>
            <w:pPr>
              <w:spacing w:after="0"/>
              <w:rPr>
                <w:sz w:val="23"/>
                <w:szCs w:val="23"/>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(226)</w:t>
            </w:r>
          </w:p>
        </w:tc>
      </w:tr>
      <w:tr>
        <w:trPr>
          <w:trHeight w:val="27"/>
        </w:trPr>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26,509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16,109</w:t>
            </w:r>
          </w:p>
        </w:tc>
      </w:tr>
      <w:tr>
        <w:trPr>
          <w:trHeight w:val="27"/>
        </w:trPr>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4"/>
        </w:trPr>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22860</wp:posOffset>
            </wp:positionV>
            <wp:extent cx="1663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8"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6,866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968</w:t>
            </w:r>
          </w:p>
        </w:tc>
      </w:tr>
      <w:tr>
        <w:trPr>
          <w:trHeight w:val="27"/>
        </w:trPr>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4"/>
        </w:trPr>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21,460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22,602</w:t>
            </w:r>
          </w:p>
        </w:tc>
      </w:tr>
      <w:tr>
        <w:trPr>
          <w:trHeight w:val="270"/>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7"/>
        </w:trPr>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ectPr>
          <w:pgSz w:w="11900" w:h="16838" w:orient="portrait"/>
          <w:cols w:equalWidth="0" w:num="2">
            <w:col w:w="7920" w:space="720"/>
            <w:col w:w="2780"/>
          </w:cols>
          <w:pgMar w:left="240" w:top="125" w:right="239" w:bottom="1095"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7,445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Restructuring charges</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gain</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Non-cash interest on convertible notes</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effect</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37"/>
        </w:trPr>
        <w:tc>
          <w:tcPr>
            <w:tcW w:w="8800" w:type="dxa"/>
            <w:vAlign w:val="bottom"/>
          </w:tcPr>
          <w:p>
            <w:pPr>
              <w:ind w:left="720"/>
              <w:spacing w:after="0"/>
              <w:rPr>
                <w:sz w:val="20"/>
                <w:szCs w:val="20"/>
                <w:color w:val="auto"/>
              </w:rPr>
            </w:pPr>
            <w:r>
              <w:rPr>
                <w:rFonts w:ascii="Arial" w:cs="Arial" w:eastAsia="Arial" w:hAnsi="Arial"/>
                <w:sz w:val="18"/>
                <w:szCs w:val="18"/>
                <w:color w:val="auto"/>
              </w:rPr>
              <w:t>Total adjustments, net of tax</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6,445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4,130</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net income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13,311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5,098</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Adjusted diluted earnings per share from continuing operations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095"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095"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71" w:lineRule="exact"/>
        <w:rPr>
          <w:sz w:val="20"/>
          <w:szCs w:val="20"/>
          <w:color w:val="auto"/>
        </w:rPr>
      </w:pPr>
    </w:p>
    <w:p>
      <w:pPr>
        <w:ind w:firstLine="1053"/>
        <w:spacing w:after="0" w:line="279" w:lineRule="auto"/>
        <w:rPr>
          <w:sz w:val="20"/>
          <w:szCs w:val="20"/>
          <w:color w:val="auto"/>
        </w:rPr>
      </w:pPr>
      <w:r>
        <w:rPr>
          <w:rFonts w:ascii="Arial" w:cs="Arial" w:eastAsia="Arial" w:hAnsi="Arial"/>
          <w:sz w:val="17"/>
          <w:szCs w:val="17"/>
          <w:i w:val="1"/>
          <w:iCs w:val="1"/>
          <w:color w:val="auto"/>
        </w:rPr>
        <w:t xml:space="preserve">Restructuring charges: </w:t>
      </w:r>
      <w:r>
        <w:rPr>
          <w:rFonts w:ascii="Arial" w:cs="Arial" w:eastAsia="Arial" w:hAnsi="Arial"/>
          <w:sz w:val="17"/>
          <w:szCs w:val="17"/>
          <w:color w:val="auto"/>
        </w:rPr>
        <w:t>We have incurred charges due to the restructuring of various parts of our business. These restructuring charges have</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consisted of costs associated with office space consolidations, including the accelerated depreciation of certain leasehold improvements, and severance charges. We have excluded the effect of the restructuring charges from our non-GAAP measures because the amount of each restructuring charge is significantly affected by the timing and size of the restructured business or component of a business.</w:t>
      </w:r>
    </w:p>
    <w:p>
      <w:pPr>
        <w:spacing w:after="0" w:line="117" w:lineRule="exact"/>
        <w:rPr>
          <w:sz w:val="20"/>
          <w:szCs w:val="20"/>
          <w:color w:val="auto"/>
        </w:rPr>
      </w:pPr>
    </w:p>
    <w:p>
      <w:pPr>
        <w:ind w:right="160" w:firstLine="1053"/>
        <w:spacing w:after="0" w:line="277" w:lineRule="auto"/>
        <w:rPr>
          <w:sz w:val="20"/>
          <w:szCs w:val="20"/>
          <w:color w:val="auto"/>
        </w:rPr>
      </w:pPr>
      <w:r>
        <w:rPr>
          <w:rFonts w:ascii="Arial" w:cs="Arial" w:eastAsia="Arial" w:hAnsi="Arial"/>
          <w:sz w:val="18"/>
          <w:szCs w:val="18"/>
          <w:i w:val="1"/>
          <w:iCs w:val="1"/>
          <w:color w:val="auto"/>
        </w:rPr>
        <w:t xml:space="preserve">Other gain: </w:t>
      </w:r>
      <w:r>
        <w:rPr>
          <w:rFonts w:ascii="Arial" w:cs="Arial" w:eastAsia="Arial" w:hAnsi="Arial"/>
          <w:sz w:val="18"/>
          <w:szCs w:val="18"/>
          <w:color w:val="auto"/>
        </w:rPr>
        <w:t>We have excluded the effect of the remeasurement gain related to a contingent acquisition liability recorded in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2015 to permit comparability with periods that were not impacted by this item.</w:t>
      </w:r>
    </w:p>
    <w:p>
      <w:pPr>
        <w:spacing w:after="0" w:line="116" w:lineRule="exact"/>
        <w:rPr>
          <w:sz w:val="20"/>
          <w:szCs w:val="20"/>
          <w:color w:val="auto"/>
        </w:rPr>
      </w:pPr>
    </w:p>
    <w:p>
      <w:pPr>
        <w:ind w:right="80" w:firstLine="1053"/>
        <w:spacing w:after="0" w:line="264"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have excluded the effect of amortization of intangible assets from the calculation of adjusted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from continuing operations presented above. Amortization of intangibles is inconsistent in its amount and frequency and is significantly affected by the timing and size of our acquisitions.</w:t>
      </w:r>
    </w:p>
    <w:p>
      <w:pPr>
        <w:spacing w:after="0" w:line="127" w:lineRule="exact"/>
        <w:rPr>
          <w:sz w:val="20"/>
          <w:szCs w:val="20"/>
          <w:color w:val="auto"/>
        </w:rPr>
      </w:pPr>
    </w:p>
    <w:p>
      <w:pPr>
        <w:ind w:right="20" w:firstLine="1053"/>
        <w:spacing w:after="0" w:line="259" w:lineRule="auto"/>
        <w:rPr>
          <w:sz w:val="20"/>
          <w:szCs w:val="20"/>
          <w:color w:val="auto"/>
        </w:rPr>
      </w:pPr>
      <w:r>
        <w:rPr>
          <w:rFonts w:ascii="Arial" w:cs="Arial" w:eastAsia="Arial" w:hAnsi="Arial"/>
          <w:sz w:val="18"/>
          <w:szCs w:val="18"/>
          <w:i w:val="1"/>
          <w:iCs w:val="1"/>
          <w:color w:val="auto"/>
        </w:rPr>
        <w:t xml:space="preserve">Non-cash interest on convertible notes: </w:t>
      </w:r>
      <w:r>
        <w:rPr>
          <w:rFonts w:ascii="Arial" w:cs="Arial" w:eastAsia="Arial" w:hAnsi="Arial"/>
          <w:sz w:val="18"/>
          <w:szCs w:val="18"/>
          <w:color w:val="auto"/>
        </w:rPr>
        <w:t>We incur non-cash interest expense relating to the implied value of the equity conversion component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Convertible Notes. The value of the equity conversion component is treated as a debt discount and amortized to interest expense over the life of the Convertible Notes using the effective interest rate method. We exclude this non-cash interest expense that does not represent cash interest payments made to our note holders from the calculation of adjusted net income from continuing operations.</w:t>
      </w:r>
    </w:p>
    <w:p>
      <w:pPr>
        <w:spacing w:after="0" w:line="133" w:lineRule="exact"/>
        <w:rPr>
          <w:sz w:val="20"/>
          <w:szCs w:val="20"/>
          <w:color w:val="auto"/>
        </w:rPr>
      </w:pPr>
    </w:p>
    <w:p>
      <w:pPr>
        <w:ind w:left="1060"/>
        <w:spacing w:after="0"/>
        <w:rPr>
          <w:sz w:val="20"/>
          <w:szCs w:val="20"/>
          <w:color w:val="auto"/>
        </w:rPr>
      </w:pPr>
      <w:r>
        <w:rPr>
          <w:rFonts w:ascii="Arial" w:cs="Arial" w:eastAsia="Arial" w:hAnsi="Arial"/>
          <w:sz w:val="18"/>
          <w:szCs w:val="18"/>
          <w:i w:val="1"/>
          <w:iCs w:val="1"/>
          <w:color w:val="auto"/>
        </w:rPr>
        <w:t xml:space="preserve">Tax effect: </w:t>
      </w:r>
      <w:r>
        <w:rPr>
          <w:rFonts w:ascii="Arial" w:cs="Arial" w:eastAsia="Arial" w:hAnsi="Arial"/>
          <w:sz w:val="18"/>
          <w:szCs w:val="18"/>
          <w:color w:val="auto"/>
        </w:rPr>
        <w:t>The non-GAAP income tax adjustment reflects the incremental tax rate applicable to the non-GAAP adjustments.</w:t>
      </w:r>
    </w:p>
    <w:p>
      <w:pPr>
        <w:spacing w:after="0" w:line="171" w:lineRule="exact"/>
        <w:rPr>
          <w:sz w:val="20"/>
          <w:szCs w:val="20"/>
          <w:color w:val="auto"/>
        </w:rPr>
      </w:pPr>
    </w:p>
    <w:p>
      <w:pPr>
        <w:ind w:right="80" w:firstLine="1053"/>
        <w:spacing w:after="0" w:line="264" w:lineRule="auto"/>
        <w:rPr>
          <w:sz w:val="20"/>
          <w:szCs w:val="20"/>
          <w:color w:val="auto"/>
        </w:rPr>
      </w:pPr>
      <w:r>
        <w:rPr>
          <w:rFonts w:ascii="Arial" w:cs="Arial" w:eastAsia="Arial" w:hAnsi="Arial"/>
          <w:sz w:val="18"/>
          <w:szCs w:val="18"/>
          <w:i w:val="1"/>
          <w:iCs w:val="1"/>
          <w:color w:val="auto"/>
        </w:rPr>
        <w:t xml:space="preserve">Income tax expense, Interest and other expenses, Depreciation and amortization: </w:t>
      </w:r>
      <w:r>
        <w:rPr>
          <w:rFonts w:ascii="Arial" w:cs="Arial" w:eastAsia="Arial" w:hAnsi="Arial"/>
          <w:sz w:val="18"/>
          <w:szCs w:val="18"/>
          <w:color w:val="auto"/>
        </w:rPr>
        <w:t>We have excluded the effects of income tax expense,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expenses, and depreciation and amortization in the calculation of EBITDA as these are customary exclusions as defined by the calculation of EBITDA to arrive at meaningful earnings from core operations excluding the effect of such items.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540"/>
        <w:spacing w:after="0" w:line="440" w:lineRule="auto"/>
        <w:rPr>
          <w:sz w:val="20"/>
          <w:szCs w:val="20"/>
          <w:color w:val="auto"/>
        </w:rPr>
      </w:pPr>
      <w:r>
        <w:rPr>
          <w:rFonts w:ascii="Arial" w:cs="Arial" w:eastAsia="Arial" w:hAnsi="Arial"/>
          <w:sz w:val="18"/>
          <w:szCs w:val="18"/>
          <w:b w:val="1"/>
          <w:bCs w:val="1"/>
          <w:color w:val="auto"/>
        </w:rPr>
        <w:t>Three Months Ended March 31, 2016 Compared to Three Months Ended March 31, 2015 Revenues</w:t>
      </w:r>
    </w:p>
    <w:p>
      <w:pPr>
        <w:spacing w:after="0" w:line="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Revenues increased $26.1 million, or 16.9%, to $180.5 million for the first quarter of 2016 from $154.4 million for the first quarter of 2015. First quarter 2016 revenues included $2.8 million from our acquisitions of Rittman Mead India, Cloud62, Inc., and MyRounding, which we completed subsequent to the first quarter of 2015, and $10.7 million of incremental revenues due to the full quarter impact of our acquisition of Studer Group, which we completed mid-first quarter 2015.</w:t>
      </w:r>
    </w:p>
    <w:p>
      <w:pPr>
        <w:spacing w:after="0" w:line="13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Of the overall $26.1 million increase in revenues, $14.9 million was attributable to our full-time billable consultants and $11.2 million was attributable to our full-time equivalents.</w:t>
      </w:r>
    </w:p>
    <w:p>
      <w:pPr>
        <w:spacing w:after="0" w:line="11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increase in full-time billable consultant revenues reflected increases in our consultant utilization rate and the average number of billable consultants, partially offset by a decrease in the average billing rate. As discussed below in Segment Results, this increase in revenue reflected strengthened demand for our services in the Huron Business Advisory, Huron Education and Life Sciences, and Huron Healthcare segments.</w:t>
      </w:r>
    </w:p>
    <w:p>
      <w:pPr>
        <w:spacing w:after="0" w:line="11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increase in full-time equivalent revenues was primarily attributable to our healthcare coaches in the Huron Healthcare segment due to the full quarter impact of our acquisition of Studer Group.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total direct costs increased $11.4 million, or 11.0%, to $115.2 million in the three months ended March 31, 2016, from $103.8 million in the three months ended March 31, 2015. Direct costs for our Studer Group practice, which we acquired mid-first quarter 2015, totaled $11.6 million in the first quarter of 2016, compared to $6.1 million in the first quarter of 2015. The overall $13.2 million increase primarily related to a $6.9 million increase in salaries and related expenses for our revenue-generating professionals, a $2.7 million increase in bonus expense for our revenue-generating professionals, a $0.9 million increase in intangible asset amortization expense, and a $0.4 million increase product and event costs.</w:t>
      </w:r>
    </w:p>
    <w:p>
      <w:pPr>
        <w:spacing w:after="0" w:line="11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a percentage of revenues, our total direct costs decreased to 63.9% during the first quarter of 2016 compared to 67.2% during the first quarter of 2015, and primarily reflected revenue growth that outpaced the increase in salaries and related expenses for our revenue-generating professionals. This decrease was partially offset by increases, as percentages of revenue, in intangible asset amortization expense, bonus expense for our revenue-generating professionals, and product and event costs, all of which were largely driven by our acquisition of Studer Group.</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Total direct costs for the three months ended March 31, 2016 included $3.9 million of share-based compensation expense for our revenue-generating professionals compared to $4.1 million for the same prior year period. Total direct costs for the three months ended March 31, 2016 included $3.4 million of amortization expense for intangible assets, primarily representing customer-related assets and software acquired in business combinations, and internal software development costs, compared to $2.5 million of amortization expense for the same prior year period. The $0.9 million increase in amortization expense was primarily attributable to customer-related assets and software acquired in our Studer Group acquisition.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Operating Gains and Losses</w:t>
      </w:r>
    </w:p>
    <w:p>
      <w:pPr>
        <w:spacing w:after="0" w:line="17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Selling, general and administrative expenses increased $5.2 million, or 14.2%, to $42.1 million in the first quarter of 2016 from $36.8 million in the first quarter of 2015. Selling, general and administrative expenses for our Studer Group practice, which we acquired mid-first quarter 2015, totaled $6.9 million in the first quarter of 2016, compared to $3.0 million in the first quarter of 2015. The overall $5.2 million increase was primarily related to a $2.5 million increase in salaries and related expenses for our support personnel, a $1.3 million increase in bonus expense for our support personnel, a $0.8 million increase in practice administration and meetings expense, and a $0.5 million increase in training expense, partially offset by a $0.5 million decrease in legal expenses.</w:t>
      </w:r>
    </w:p>
    <w:p>
      <w:pPr>
        <w:spacing w:after="0" w:line="104"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As a percentage of revenues, selling, general and administrative expenses decreased to 23.3% during the first quarter of 2016 compared to 23.8% during the first quarter of 2015, primarily due to the decrease in legal expenses and a decrease in facilities and other office related expenses as a percentage of revenues, partially offset by an increase in bonus expense for our support personnel as a percentage of revenues.</w:t>
      </w:r>
    </w:p>
    <w:p>
      <w:pPr>
        <w:spacing w:after="0" w:line="1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Restructuring charges for the first quarter of 2016 totaled $1.3 million, compared to $0.7 million for the first quarter of 2015. The charges for the first quarter of 2016 primarily consisted of $0.8 million related to workforce reductions in our corporate operations as we adjust our infrastructure to align with our Huron Legal divestiture, $0.2 million related to updated lease accrual assumptions for the Washington, D.C. space vacated in the fourth quarter of 2014, and $0.2 million related to the wind down of our foreign consulting operations based in the Middle East. The $0.7 million charge for the first quarter of 2015 related to workforce reductions to better align our resources with market demand, primarily in our All Other segment.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Depreciation and amortization expense increased by $2.1 million to $7.4 million in the three months ended March 31, 2016, from $5.3 million in the three months ended March 31, 2015. The increase was primarily attributable to amortization expense for intangible assets acquired in the Studer Group acquisition. Intangible asset amortization included within operating expenses primarily relates to certain customer relationships, non-competition agreements, and trade names acquired in connection with our business acquisitions.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Operating income increased $6.4 million, or 81.1%, to $14.4 million in the first quarter of 2016 from $7.9 million in the first quarter of 2015. Operating margin, which is defined as operating income expressed as a percentage of revenues, increased to 8.0% in the three months ended March 31, 2016, compared to 5.1% in the three months ended March 31, 2015. The increase in operating margin was primarily attributable to revenue growth that outpaced the increase in salaries and related expenses for our revenue-generating professionals and the decrease in legal expenses, partially offset by the increases, as percentages of revenues, in intangible asset amortization expense and bonus expense for both our revenue-generating professionals and support personnel during the first quarter of 2016 compared to the first quarter of 2015.</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75"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Total other expense, net decreased by $1.6 million to $3.5 million in the first quarter of 2016 from $5.1 million in the first quarter of 2015. The decrease was primarily attributable to a $1.3 million decrease in foreign currency transaction losses and a $0.4 million decrease in interest expense. The decrease in interest expense was primarily due to lower levels of borrowings under our credit facility during the first quarter of 2016 compared to the first quarter of 2015.</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For the first quarter of 2016, we recognized income tax expense from continuing operations of $4.0 million on income from continuing operations of $10.9 million. For the first quarter of 2015, we recognized income tax expense from continuing operations of $1.9 million on income from continuing operations of $2.9 million. Our effective tax rate for the first quarter of 2016 was 36.9% compared with 66.2% for the same period last year. The effective tax rate for the three months ended March 31, 2016 was lower than the statutory rate, inclusive of state income taxes, primarily due to certain credits and deductions, partially offset by non-deductible business expenses. The effective tax rate for the first quarter of 2015 was higher than the statutory tax rate, inclusive of state income taxes, primarily due to foreign losses with no tax benefit and certain non-deductible expenses as a percentage of pretax income.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17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income from continuing operations was $6.9 million for the three months ended March 31, 2016, compared to net income from continuing operations of $1.0 million for the same period last year. As a result of the increase in net income from continuing operations, diluted earnings per share from continuing operations for the first quarter of 2016 was $0.32 compared to $0.04 for the first quarter of 2015.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loss from discontinued operations was $0.9 million for the three months ended March 31, 2016, compared to net income from discontinued operations of $0.5 million for the same period last year. See Note 4 "Discontinued Operations" within the notes to our consolidated financial statements for additional information about our discontinued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7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EBITDA increased $9.5 million to $25.2 million for the three months ended March 31, 2016, from $15.7 million for the three months ended March 31, 2015. Adjusted EBITDA increased $10.4 million to $26.5 million in the first quarter of 2016 from $16.1 million in the first quarter of 2015. The increase in both EBITDA and Adjusted EBITDA was primarily due to the increase in segment operating income, as discussed below in Segment Results.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Adjusted net income from continuing operations increased $8.2 million to $13.3 million in the first quarter of 2016 compared to $5.1 million in the first quarter of 2015. The increase was primarily attributable to the increase in operating income, exclusive of the increase in amortization expense. As a result of the increase in adjusted net income from continuing operations, adjusted diluted earnings per share from continuing operations was $0.62 for the first quarter of 2016, compared to $0.23 for the first quarter of 2015.</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Healthcare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Huron Healthcare segment revenues increased $16.0 million, or 16.3%, to $114.0 million for the first quarter of 2016 from $98.0 million for the first quarter of 2015. Revenues for the first quarter of 2016 included $0.3 million from our acquisition of MyRounding completed in the first quarter of 2016, and $10.7 million of incremental revenues due to the full quarter impact of our acquisition of Studer Group, which we completed mid-first quarter 2015.</w:t>
      </w:r>
    </w:p>
    <w:p>
      <w:pPr>
        <w:spacing w:after="0" w:line="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three months ended March 31, 2016, revenues from fixed-fee engagements, time-and-expense engagements, performance-based arrangements, and software support and maintenance arrangements represented 74.0%, 8.4%, 12.2%, and 5.4% of this segment’s revenues, respectively, compared to 71.9%, 8.3%, 13.8%, and 6.0%, respectively, for the comparable period in 2015.</w:t>
      </w:r>
    </w:p>
    <w:p>
      <w:pPr>
        <w:spacing w:after="0" w:line="12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Of the overall $16.0 million increase in revenues, $11.7 million was attributable to an increase in revenue from our full-time equivalents and $4.3 million was attributable to our full-time billable consultants.</w:t>
      </w:r>
    </w:p>
    <w:p>
      <w:pPr>
        <w:spacing w:after="0" w:line="116"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increase in revenue from our full-time equivalents reflected increases in both the average number of full-time equivalents and revenue per full-time equivalent in the first quarter of 2016 compared to the same prior year period, and is the result of our Studer Group acquisition.</w:t>
      </w:r>
    </w:p>
    <w:p>
      <w:pPr>
        <w:spacing w:after="0" w:line="9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increase in revenue from our full-time billable consultants reflected increases in our consultant utilization rate and average billing rate, partially offset by a decrease in the average number of full-time billable consultants. Performance-based fee revenue was $13.9 million during the first quarter of 2016 compared to $13.5 million during the first quarter of 2015. The level of performance-based fees earned may vary based on our clients’ risk sharing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Huron Healthcare segment operating income increased $10.0 million, or 34.6%, to $39.0 million for the three months ended March 31, 2016, from $29.0 million for the three months ended March 31, 2015. The Huron Healthcare segment operating margin, defined as segment operating income expressed as a percentage of segment revenues, increased to 34.2% for the first quarter of 2016 from 29.6% in the same period last year. The increase in this segment’s operating margin was primarily attributable to revenue growth that outpaced increases in salaries and related expenses and bonus expense for our revenue-generating professionals, partially offset by increases, as percentages of revenues, in salaries and related expenses and bonus expense for our support personnel and intangible asset amortization expense and product and event costs, both of which are related to our Studer Group acquisition.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Education and Life Sciences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Huron Education and Life Sciences segment revenues increased $3.3 million, or 8.4%, to $43.2 million for the first quarter of 2016 from $39.9 million for the first quarter of 2015.</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Revenues from fixed-fee engagements, time-and-expense engagements, performance-based arrangements, and software support and maintenance arrangements represented 21.3%, 72.8%, 0.8%, and 5.1% of this segment’s revenues, respectively, during the first quarter of 2016. Revenues from fixed-fee engagements, time-and-expense engagements, and software support and maintenance arrangements represented 30.3%, 65.0%, and 4.7%, respectively, during the first quarter of 2015.</w:t>
      </w:r>
    </w:p>
    <w:p>
      <w:pPr>
        <w:spacing w:after="0" w:line="13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Of the overall $3.3 million increase in revenues, $4.2 million was attributable to our full-time billable consultants, partially offset by a $0.9 million decrease in revenue generated by our full-time equivalents. The increase in revenue from our full-time billable consultants reflected increases in the average number of full-time billable consultants and average billing rate, partially offset by a decrease in consultant utilization rate. The decrease in revenue from our full-time equivalents reflected a decrease in the revenue per full-time equivalent, largely due to a decrease in license revenues.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Huron Education and Life Sciences segment operating income decreased by $1.6 million, or 13.3%, to $10.2 million for the three months ended March 31, 2016, from $11.8 million for the three months ended March 31, 2015. Segment operating margin decreased to 23.6% for the first quarter of 2016 from 29.5% in the same period last year. The decrease in this segment’s operating margin was primarily attributable to increases, as percentages of revenues, in salaries and related expenses and bonus expense for our revenue-</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generating professionals, which was largely the result of our cloud-based enterprise resource planning (ERP) investment. These decreases to segment operating margin were partially offset by decreases in contractor expense and intangible asset amortization expense.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Business Advisory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Huron Business Advisory segment revenues increased $7.5 million, or 47.6%, to $23.2 million for the first quarter of 2016 from $15.7 million for the first quarter of 2015. Revenues for the first quarter of 2016 included $2.5 million from our acquisitions of Rittman Mead India and Cloud62, Inc., which we completed subsequent to the first quarter of 2015.</w:t>
      </w:r>
    </w:p>
    <w:p>
      <w:pPr>
        <w:spacing w:after="0" w:line="12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Revenues from fixed-fee engagements, time-and-expense engagements, performance-based arrangements, and software support and maintenance arrangements represented 13.7%, 82.2%, 3.6%, and 0.5% of this segment’s revenues, respectively, during the first quarter of 2016. Revenues from fixed-fee engagements, time-and-expense engagements, and software support and maintenance arrangements represented 13.9%, 85.5%, and 0.6% of this segment’s revenues, respectively, during the first quarter of 2015. Performance-based fee revenue was $0.8 million for the first quarter of 2016, compared to no performance-based revenue for the first quarter of 2015.</w:t>
      </w:r>
    </w:p>
    <w:p>
      <w:pPr>
        <w:spacing w:after="0" w:line="13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Of the overall $7.5 million increase in revenues, $7.1 million was attributable to our full-time billable consultants, while $0.4 million was attributable to our full-time equivalents. The increase in revenue from our full-time billable consultants reflected increases in the average number of full-time billable consultants and consultant utilization rate, partially offset by a decrease in the average billing rate. The decrease in the average billing rate was largely the result of our acquisition of Rittman Mead India.</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Huron Business Advisory segment operating income increased by $1.1 million, or 68.8%, to $2.7 million for the three months ended March 31, 2016, from $1.6 million for the three months ended March 31, 2015. Segment operating margin increased to 11.6% for the first quarter of 2016 from 10.2% in the same period last year. The increase in this segment’s operating margin was primarily attributable to revenue growth that outpaced increases in salaries and related expenses and bonus expense for our revenue-generating professionals, partially offset by increases, as percentages of revenues, in practice administration and meetings expense and contractor expense.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Cash and cash equivalents decreased $45.0 million, from $58.4 million at December 31, 2015, to $13.5 million at March 31, 2016. As of March 31, 2016, our primary sources of liquidity are cash on hand, cash flows from our U.S. operations, and borrowing capacity available under our credit facility.</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Pr>
          <w:p>
            <w:pPr>
              <w:spacing w:after="0"/>
              <w:rPr>
                <w:sz w:val="20"/>
                <w:szCs w:val="20"/>
                <w:color w:val="auto"/>
              </w:rPr>
            </w:pPr>
          </w:p>
        </w:tc>
      </w:tr>
      <w:tr>
        <w:trPr>
          <w:trHeight w:val="27"/>
        </w:trPr>
        <w:tc>
          <w:tcPr>
            <w:tcW w:w="88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(in thousands):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2015</w:t>
            </w:r>
          </w:p>
        </w:tc>
      </w:tr>
      <w:tr>
        <w:trPr>
          <w:trHeight w:val="27"/>
        </w:trPr>
        <w:tc>
          <w:tcPr>
            <w:tcW w:w="8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(42,154)</w:t>
            </w: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(345,730)</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cash (used in) provided by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138,229</w:t>
            </w: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(249,689)</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operating activities totaled $9.9 million for the three months ended March 31, 2016 and $42.2 million for the same period last year.</w:t>
      </w:r>
    </w:p>
    <w:p>
      <w:pPr>
        <w:spacing w:after="0" w:line="18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operating assets and liabilities consist primarily of receivables from billed and unbilled services, accounts payable and accrued expenses, accrued payroll and related benefits, and deferred revenues. The volume of services rendered and the related billings and timing of collections on those billings, as well as payments of our accounts payable and salaries, bonuses, and related benefits to employees affect these account balances.</w:t>
      </w:r>
    </w:p>
    <w:p>
      <w:pPr>
        <w:spacing w:after="0" w:line="1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decrease in cash used in operations was primarily attributable to a decrease in the amount paid for annual performance bonuses during the first quarter of 2016 compared to the first quarter of 2015, as well as increased collections of receivables, partially offset by higher tax payments during the first quarter of 2016 compared to the first quarter of 2015.</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was $17.1 million for the three months ended March 31, 2016 and $345.7 million for the same period last year.</w:t>
      </w:r>
    </w:p>
    <w:p>
      <w:pPr>
        <w:spacing w:after="0" w:line="1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use of cash in the first three months of 2016 primarily consisted of $14.0 million for the purchase of a business and $2.0 million for purchases of property and equipment.</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use of cash in the first three months of 2015 primarily consisted of $331.8 million for purchases of businesses, $6.5 million for purchases of property and equipment, and a $2.5 million investment in Shorelight in the form of zero coupon convertible debt instruments.</w:t>
      </w:r>
    </w:p>
    <w:p>
      <w:pPr>
        <w:spacing w:after="0" w:line="11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estimate that we will use approximately $20.0 million of cash for purchases of property and equipment for full year 2016, primarily consisting of information technology-related equipment and leasehold improvements to support our corporate infrastructure.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cash used in financing activities was $18.2 million for the three months ended March 31, 2016. During the first three months of 2016, we had net borrowings of $40.5 million under our credit facility, primarily to fund our annual performance bonus payment, and we repurchased and retired $55.3 million of our common stock under our October 2014 Share Repurchase Program, as defined below.</w:t>
      </w:r>
    </w:p>
    <w:p>
      <w:pPr>
        <w:spacing w:after="0" w:line="12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Net cash provided by financing activities was $138.2 million for the three months ended March 31, 2015. During the first three months of 2015, we had net borrowings of $140.0 million under our credit facility, primarily to fund the Studer Group acquisition and our annual performance bonus payment.</w:t>
      </w:r>
    </w:p>
    <w:p>
      <w:pPr>
        <w:spacing w:after="0" w:line="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October 2014, our board of directors authorized a share repurchase program pursuant to which we could, from time to time, repurchase up to $50 million of our common stock through October 31, 2015 (the “October 2014 Share Repurchase Program”). In October 2015, our board of directors authorized an extension of the October 2014 Share Repurchase Program through October 31, 2016; and in December 2015, our board of directors increased the authorized amount to $125 million. The amount and timing of the repurchases will be determined by management and will depend on a variety of factors, including the trading price of our common stock, general market and business conditions, and applicable legal requirements. During the three months ended March 31, 2016, we repurchased and retired 982,192 shares at an average cost of $56.27 per share. As of March 31, 2016, $35.1 million remains available for share repurchases under the October 2014 Share Repurchase Program.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At March 31, 2016, we had $250.0 million principal amount of our 1.25% convertible senior notes outstanding and $132.5 million outstanding under our senior secured credit facility, as discussed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1.25% Convertible Senior Notes</w:t>
      </w:r>
    </w:p>
    <w:p>
      <w:pPr>
        <w:spacing w:after="0" w:line="17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September 2014, we issued $250.0 million principal amount of the Convertible Notes in a private offering.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11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initial conversion rate for the Convertible Notes is 12.5170 shares of our common stock per $1,000 principal amount of the Convertible Notes, which is equal to an initial conversion price of approximately $79.89 per share of our common stock.</w:t>
      </w:r>
    </w:p>
    <w:p>
      <w:pPr>
        <w:spacing w:after="0" w:line="1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connection with the issuance of the Convertible Notes, we entered into convertible note hedge transactions and warrant transactions. The convertible note hedge transactions are intended to reduce the potential future economic dilution associated with the conversion of the Convertible Notes and, combined with the warrants, effectively raise the price at which economic dilution would occur from the initial conversion price of approximately $79.89 to approximately $97.12 per share.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8 “Financing Arrangements” within the notes to our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7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has a $500 million senior secured revolving credit facility, subject to the terms of a Second Amended and Restated Credit Agreement dated as of March 31, 2015 (the "Amended Credit Agreement"), that becomes due and payable in full upon maturity on March 31, 2020. The Amended Credit Agreement provides the option to increase the revolving credit facility or establish term loan facilities in an aggregate amount of up to $100 million, subject to customary conditions and the approval of any lender whose commitment would be increased, resulting in a maximum available principal amount under the Amended Credit Agreement of $600 million. The initial borrowings under the Amended Credit Agreement were used to refinance borrowings outstanding under a prior credit agreement, and future borrowings under the Amended Credit Agreement may be used for working capital, capital expenditures, share repurchases, and general corporate purposes.</w:t>
      </w:r>
    </w:p>
    <w:p>
      <w:pPr>
        <w:spacing w:after="0" w:line="12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1.75% per annum, in the case of LIBOR borrowings, or between 0.25% per annum and 0.75% per annum, in the case of base rate loans, based upon our Consolidated Leverage Ratio at such time.</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under the Amended Credit Agreement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pacing w:after="0" w:line="1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either 3.25 to 1.00 or 3.50 to 1.00, depending on the measurement period, and (ii) a minimum Consolidated Interest Coverage Ratio (defined as the ratio of consolidated EBITDA to interest) of 3.50 to 1.00. Consolidated EBITDA for purposes of the financial covenants is calculated on a continuing operations basis and includes adjustments to add back share-based compensation costs, certain non-cash restructuring charges, and pro forma historical EBITDA for businesses acquired. At March 31, 2016, we were in compliance with these financial covenants with a Consolidated Leverage Ratio of 2.25 to 1.00 and a Consolidated Interest Coverage Ratio of 18.07 to 1.00.</w:t>
      </w:r>
    </w:p>
    <w:p>
      <w:pPr>
        <w:spacing w:after="0" w:line="11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Amended Credit Agreement contains restricted payment provisions, including a potential limit on the amount of dividends we may pay. Pursuant to the terms of the Amended Credit Agreement, if our Consolidated Leverage Ratio is greater than 3.00, the amount of dividends and other Restricted Payments (as defined in the Amended Credit Agreement) we may pay is limited to an amount up to $50 million plus 50% of cumulative consolidated net income from the closing date of the Amended Credit Agreement plus 50% of the net cash proceeds from equity issuances after the closing date of the Amended Credit Agreement.</w:t>
      </w:r>
    </w:p>
    <w:p>
      <w:pPr>
        <w:spacing w:after="0" w:line="13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Borrowings outstanding under the Amended Credit Agreement at March 31, 2016 totaled $132.5 million. These borrowings carried a weighted average interest rate of 2.4%, including the effect of the interest rate swaps described in Note 10 “Derivative Instruments and Hedging Activity” within the notes to the consolidated financial statements. Borrowings outstanding under the Amended Credit Agreement at December 31, 2015 were $92.0 million and carried a weighted average interest rate of 2.4%. The borrowing capacity under the revolving credit facility is reduced by any outstanding borrowings under the revolving credit facility and outstanding letters of credit. At March 31, 2016, we had outstanding letters of credit totaling $4.8 million, which are primarily used as security deposits for our office facilities. As of March 31, 2016, the unused borrowing capacity under the revolving credit facility was $362.7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8 “Financing Arrangements” within the notes to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Needs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primary financing need has been to fund our growth. Our growth strategy is to expand our service offerings, which may require investments in new hires, acquisitions of complementary businesses, possible expansion into other geographic areas, and related capital expenditures. We believe our internally generated liquidity, together with our available cash, the borrowing capacity available under our revolving credit facility, and access to external capital resources will be adequate to fund our long-term growth and capital needs arising from cash commitments and debt service obligations. Our ability to secure short-term and long-term financing in the</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future will depend on several factors, including our future profitability, the quality of our accounts receivable and unbilled services, our relative levels of debt and equity, and the overall condition of the credit markets.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For a summary of our commitments to make future payments under contractual obligations, see “Item 7. Management’s Discussion and Analysis of Financial Condition and Results of Operations – Contractual Obligations” in our Annual Report on Form 10-K for the year ended December 31, 2015. There have been no material changes in our contractual obligations since December 31, 2015.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Management’s discussion and analysis of financial condition and results of operations are based upon our consolidated financial statements, which have been prepared in accordance with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that there are four accounting policies that could be considered critical: revenue recognition, allowances for doubtful accounts and unbilled services, carrying values of goodwill and other intangible assets, and accounting for income taxes. For a detailed discussion of these critical accounting policies, see “Item 7. Management’s Discussion and Analysis of Financial Condition and Results of Operations – Critical Accounting Policies” in our Annual Report on Form 10-K for the year ended December 31, 2015. There have been no material changes to our critical accounting policies during the first three months of 2016.</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Refer to Note 3 “New Accounting Pronouncements” within the notes to the consolidated financial statements for information on new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17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On April 26, 2016, we entered into an agreement to acquire the U.S. assets of ADI Strategies, Inc. ("ADI"), a leading enterprise performance management, risk management, and business intelligence firm focused on implementing the Oracle enterprise application suite. The financial results of ADI will be included within the Huron Business Advisory segment from the close date, which we anticipate will be in the second quarter of 2016. We are also in the process of acquiring the international assets of ADI in Dubai and India. An agreement for these assets is expected to be signed in the second quarter of 2016.</w:t>
      </w:r>
    </w:p>
    <w:p>
      <w:pPr>
        <w:spacing w:after="0" w:line="258"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primarily from changes in interest rates and changes in the market value of our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and Interest Rate Risk</w:t>
      </w:r>
    </w:p>
    <w:p>
      <w:pPr>
        <w:spacing w:after="0" w:line="17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value of our Convertible Notes is exposed to interest rate risk. Generally, the fair value of our fixed interest rate Convertible Notes will increase as interest rates fall and decrease as interest rates rise. In addition, the fair value of our Convertible Notes is affected by our stock price. The carrying value of our Convertible Notes was $217.5 million as of March 31, 2016, which represents the liability component of the $250.0 million principal balance. The total estimated fair value of our Convertible Notes at March 31, 2016 was $243.5 million, and was determined based on the quoted bid price of the Convertible Notes in an over-the-counter market as of the last day of trading for the quarter ended March 31, 2016, which was $97.396 per $100 principal amount.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Concurrent with the issuance of the Convertible Notes, we entered into separate convertible note hedge and warrant transactions. The convertible note hedge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transactions are intended to reduce the potential future economic dilution associated with the conversion of the Convertible Notes and, combined with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warrants, effectively raise the price at which economic dilution would occur from the initial conversion price of approximately $79.89 to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$97.12 per share. Under the convertible note hedge transactions, we have the option to purchase a total of approximately 3.1 million shares of our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which is the number of shares initially issuable upon conversion of the Convertible Notes in full, at a price of approximately $79.89, which corresponds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initial conversion price of the Convertible Notes, subject to customary anti-dilution adjustments substantially similar to those in the</w:t>
      </w:r>
    </w:p>
    <w:p>
      <w:pPr>
        <w:sectPr>
          <w:pgSz w:w="11900" w:h="16838" w:orient="portrait"/>
          <w:cols w:equalWidth="0" w:num="1">
            <w:col w:w="11420"/>
          </w:cols>
          <w:pgMar w:left="240" w:top="125"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Convertible Notes. Under the warrant transactions, the holders of the warrants have the option to purchase a total of approximately 3.1 million shares of our common stock at a price of approximately $97.12. If the average market value per share of our common stock for the reporting period exceeds the strike price of the warrants, the warrants will have a dilutive effect on our earnings per share.</w:t>
      </w:r>
    </w:p>
    <w:p>
      <w:pPr>
        <w:spacing w:after="0" w:line="1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exposure to changes in interest rates associated with borrowings under our bank credit facility, which has variable interest rates tied to LIBOR or an alternate base rate, at our option. At March 31, 2016, we had borrowings outstanding under the credit facility totaling $132.5 million that carried a weighted average interest rate of 2.4% including the effect of the interest rate swaps described below. A hypothetical 100 basis point change in this interest rate would have a $0.5 million effect on our pretax income including the effect of the interest rate swaps described below. At December 31, 2015, our borrowings outstanding under the credit facility totaled $92.0 million and carried a weighted average interest rate of 2.4%, including the effect of the interest rate swaps described below; and were fully hedged against changes in interest rates by our interest rate swaps, which had a notional amount of $92.0 million at December 31, 2015.</w:t>
      </w:r>
    </w:p>
    <w:p>
      <w:pPr>
        <w:spacing w:after="0" w:line="13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December 8, 2011, we entered into a forward amortizing interest rate swap agreement effective on February 29, 2012 and ending on April 14, 2016. We entered into this derivative instrument to hedge against the interest rate risks of our variable-rate borrowings described above. The swap had an initial notional amount of $56.6 million and amortizes throughout the term. Under the terms of the interest rate swap agreement, we receive from the counterparty interest on the notional amount based on one-month LIBOR and we pay to the counterparty a fixed rate of 0.9875%.</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May 30, 2012, we entered into an amortizing interest rate swap agreement effective on May 31, 2012 and ending on April 14, 2016. We entered into this derivative instrument to further hedge against the interest rate risks of our variable-rate borrowings. The swap had an initial notional amount of $37.0 million and amortizes throughout the term. Under the terms of the interest rate swap agreement, we receive from the counterparty interest on the notional amount based on one-month LIBOR and we pay to the counterparty a fixed rate of 0.70%.</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April 4, 2013, we entered into a forward amortizing interest rate swap agreement effective on March 31, 2014 and ending on August 31, 2017. We entered into this derivative instrument to further hedge against the interest rate risks of our variable-rate borrowings. The swap had an initial notional amount of $60.0 million and amortizes quarterly until April 2016. Upon expiration of the two interest rate swaps in April 2016 described above, the notional amount of this interest rate swap will increase to $86.0 million and continue to amortize quarterly throughout the remaining term. Under the terms of the interest rate swap agreement, we receive from the counterparty interest on the notional amount based on one-month LIBOR and we pay to the counterparty a fixed rate of 0.985%.</w:t>
      </w:r>
    </w:p>
    <w:p>
      <w:pPr>
        <w:spacing w:after="0" w:line="13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Including the impact of the above swap agreements, the weighted average interest rate on $86.0 million of our variable-rate debt, which equals the notional amount of the swap agreements in effect at March 31, 2016, was 2.4%.</w:t>
      </w:r>
    </w:p>
    <w:p>
      <w:pPr>
        <w:spacing w:after="0" w:line="11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have a non-interest bearing convertible debt investment in a privately-held company, which we account for as an available-for-sale security. As such, the investment is carried at fair value with unrealized holding gains and losses excluded from earnings and reported in other comprehensive income. As of March 31, 2016, the fair value of the investment was $37.3 million, with a total cost basis of $27.9 million.</w:t>
      </w:r>
    </w:p>
    <w:p>
      <w:pPr>
        <w:spacing w:after="0" w:line="12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March 31, 2016. Based on this evaluation, our Chief Executive Officer and Chief Financial Officer have concluded that, as of March 31, 2016,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three months ended March 31, 2016 that has materially affected, or is reasonably likely to materially affect, our internal control over financial reporting.</w:t>
      </w: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240" w:top="125" w:right="41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II—OTHER INFORMATION</w:t>
      </w:r>
    </w:p>
    <w:p>
      <w:pPr>
        <w:spacing w:after="0" w:line="360"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Note 14 "Commitments, Contingencies and Guarantees" included in Part I, Item 1 of this Form 10-Q.</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See “Risk Factors” in our Annual Report on Form 10-K for the fiscal year ended December 31, 2015 for a complete description of the material risks we face.</w:t>
      </w:r>
    </w:p>
    <w:p>
      <w:pPr>
        <w:spacing w:after="0" w:line="352"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02"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Our Stock Ownership Participation Program, 2012 Omnibus Incentive Plan and our 2004 Omnibus Stock Plan, which was replaced by the 2012 Omnibus Incentive Plan, permit the netting of common stock upon vesting of restricted stock awards to satisfy individual tax withholding requirements. During the quarter ended March 31, 2016, we reacquired 78,652 shares of common stock with a weighted average fair market value of $55.65 as a result of such tax withholdings.</w:t>
      </w:r>
    </w:p>
    <w:p>
      <w:pPr>
        <w:spacing w:after="0" w:line="7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October 2014, our board of directors authorized a share repurchase program pursuant to which we may, from time to time, repurchase up to $50 million of our common stock through October 31, 2015 (the “October 2014 Share Repurchase Program”). During the fourth quarter of 2015, our board of directors authorized an extension of the October 2014 Share Repurchase Program through October 31, 2016, and authorized an increase to the October 2014 Share Repurchase Program to $125 million. The amount and timing of the repurchases will be determined by management and will depend on a variety of factors, including the trading price of our common stock, general market and business conditions, and applicable legal requirements. During the quarter ended March 31, 2016, we repurchased 982,192 shares of our common stock at an average price of $56.27.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common stock during the quarter ended March 31,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2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Dollar Value of Shares</w:t>
            </w: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as Part of Publicly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that may yet be</w:t>
            </w: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Average Price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Plans</w:t>
            </w:r>
          </w:p>
        </w:tc>
        <w:tc>
          <w:tcPr>
            <w:tcW w:w="12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Purchased under the</w:t>
            </w:r>
          </w:p>
        </w:tc>
      </w:tr>
      <w:tr>
        <w:trPr>
          <w:trHeight w:val="261"/>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Purchased</w:t>
            </w:r>
            <w:r>
              <w:rPr>
                <w:rFonts w:ascii="Arial" w:cs="Arial" w:eastAsia="Arial" w:hAnsi="Arial"/>
                <w:sz w:val="21"/>
                <w:szCs w:val="21"/>
                <w:b w:val="1"/>
                <w:bCs w:val="1"/>
                <w:color w:val="auto"/>
                <w:w w:val="84"/>
                <w:vertAlign w:val="superscript"/>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Paid per Share</w:t>
            </w:r>
          </w:p>
        </w:tc>
        <w:tc>
          <w:tcPr>
            <w:tcW w:w="12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12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gridSpan w:val="2"/>
          </w:tcPr>
          <w:p>
            <w:pPr>
              <w:jc w:val="center"/>
              <w:spacing w:after="0" w:line="262" w:lineRule="exact"/>
              <w:rPr>
                <w:sz w:val="20"/>
                <w:szCs w:val="20"/>
                <w:color w:val="auto"/>
              </w:rPr>
            </w:pPr>
            <w:r>
              <w:rPr>
                <w:rFonts w:ascii="Arial" w:cs="Arial" w:eastAsia="Arial" w:hAnsi="Arial"/>
                <w:sz w:val="18"/>
                <w:szCs w:val="18"/>
                <w:b w:val="1"/>
                <w:bCs w:val="1"/>
                <w:color w:val="auto"/>
                <w:w w:val="87"/>
              </w:rPr>
              <w:t>Plans or Programs</w:t>
            </w:r>
            <w:r>
              <w:rPr>
                <w:rFonts w:ascii="Arial" w:cs="Arial" w:eastAsia="Arial" w:hAnsi="Arial"/>
                <w:sz w:val="25"/>
                <w:szCs w:val="25"/>
                <w:b w:val="1"/>
                <w:bCs w:val="1"/>
                <w:color w:val="auto"/>
                <w:w w:val="87"/>
                <w:vertAlign w:val="superscript"/>
              </w:rPr>
              <w:t>(2)</w:t>
            </w:r>
          </w:p>
        </w:tc>
      </w:tr>
      <w:tr>
        <w:trPr>
          <w:trHeight w:val="244"/>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2016 - January 31, 2016</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919,774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56.19</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917,480</w:t>
            </w:r>
          </w:p>
        </w:tc>
        <w:tc>
          <w:tcPr>
            <w:tcW w:w="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38,831,089</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February 1, 2016 - February 29, 2016</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64,712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56.95</w:t>
            </w:r>
          </w:p>
        </w:tc>
        <w:tc>
          <w:tcPr>
            <w:tcW w:w="1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64,712</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35,143,546</w:t>
            </w:r>
          </w:p>
        </w:tc>
      </w:tr>
      <w:tr>
        <w:trPr>
          <w:trHeight w:val="27"/>
        </w:trPr>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2016 - March 31, 2016</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76,358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55.54</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35,143,546</w:t>
            </w:r>
          </w:p>
        </w:tc>
      </w:tr>
      <w:tr>
        <w:trPr>
          <w:trHeight w:val="257"/>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1,060,844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56.19</w:t>
            </w:r>
          </w:p>
        </w:tc>
        <w:tc>
          <w:tcPr>
            <w:tcW w:w="12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982,192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379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44" w:lineRule="exact"/>
        <w:rPr>
          <w:sz w:val="20"/>
          <w:szCs w:val="20"/>
          <w:color w:val="auto"/>
        </w:rPr>
      </w:pPr>
    </w:p>
    <w:p>
      <w:pPr>
        <w:ind w:left="980" w:right="240" w:hanging="972"/>
        <w:spacing w:after="0" w:line="298"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number of shares purchased includes 2,294 shares in January 2016 and 76,358 shares in March 2016 to satisfy employee tax withholding requirements. These shares do not reduce the repurchase authority under the October 2014 Share Repurchase Program.</w:t>
      </w:r>
    </w:p>
    <w:p>
      <w:pPr>
        <w:ind w:left="980" w:hanging="972"/>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the end of the period.</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this Quarterly Report on Form 10-Q.</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4880" w:type="dxa"/>
            <w:vAlign w:val="bottom"/>
            <w:vMerge w:val="restart"/>
          </w:tcPr>
          <w:p>
            <w:pPr>
              <w:ind w:left="184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3"/>
                <w:szCs w:val="13"/>
                <w:color w:val="auto"/>
              </w:rPr>
            </w:pPr>
          </w:p>
        </w:tc>
        <w:tc>
          <w:tcPr>
            <w:tcW w:w="9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Filed</w:t>
            </w:r>
          </w:p>
        </w:tc>
        <w:tc>
          <w:tcPr>
            <w:tcW w:w="10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Furnished</w:t>
            </w:r>
          </w:p>
        </w:tc>
        <w:tc>
          <w:tcPr>
            <w:tcW w:w="9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3"/>
                <w:szCs w:val="13"/>
                <w:color w:val="auto"/>
              </w:rPr>
            </w:pPr>
          </w:p>
        </w:tc>
        <w:tc>
          <w:tcPr>
            <w:tcW w:w="7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Period</w:t>
            </w:r>
          </w:p>
        </w:tc>
        <w:tc>
          <w:tcPr>
            <w:tcW w:w="10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3"/>
                <w:szCs w:val="13"/>
                <w:color w:val="auto"/>
              </w:rPr>
            </w:pPr>
          </w:p>
        </w:tc>
        <w:tc>
          <w:tcPr>
            <w:tcW w:w="7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92"/>
        </w:trPr>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10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Ending</w:t>
            </w:r>
          </w:p>
        </w:tc>
        <w:tc>
          <w:tcPr>
            <w:tcW w:w="10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19"/>
        </w:trPr>
        <w:tc>
          <w:tcPr>
            <w:tcW w:w="660" w:type="dxa"/>
            <w:vAlign w:val="bottom"/>
          </w:tcPr>
          <w:p>
            <w:pPr>
              <w:ind w:left="40"/>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9"/>
                <w:szCs w:val="19"/>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Certification of the Chief Executive Officer, pursuant to Rule 13a-</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w w:val="99"/>
              </w:rPr>
              <w:t>14(a)/15d-14(a), as adopted pursuant to Section 302 of the Sarbanes-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Oxley Act of 2002.</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60" w:type="dxa"/>
            <w:vAlign w:val="bottom"/>
          </w:tcPr>
          <w:p>
            <w:pPr>
              <w:ind w:left="40"/>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1"/>
                <w:szCs w:val="21"/>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Certification of the Chief Financial Officer, pursuant to Rule 13a-</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w w:val="99"/>
              </w:rPr>
              <w:t>14(a)/15d-14(a), as adopted pursuant to Section 302 of the Sarbanes-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Oxley Act of 2002.</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60" w:type="dxa"/>
            <w:vAlign w:val="bottom"/>
          </w:tcPr>
          <w:p>
            <w:pPr>
              <w:ind w:left="40"/>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1"/>
                <w:szCs w:val="21"/>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Certification of the Chief Executive Officer, pursuant to 18 U.S.C.</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w w:val="95"/>
              </w:rPr>
              <w:t>Section 1350, as adopted pursuant to Section 906 of the Sarbanes-Oxley</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Act of 2002.</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60" w:type="dxa"/>
            <w:vAlign w:val="bottom"/>
          </w:tcPr>
          <w:p>
            <w:pPr>
              <w:ind w:left="40"/>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1"/>
                <w:szCs w:val="21"/>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w w:val="96"/>
              </w:rPr>
              <w:t>Certification of the Chief Financial Officer, pursuant to 18 U.S.C. Section</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w w:val="97"/>
              </w:rPr>
              <w:t>1350, as adopted pursuant to Section 906 of the Sarbanes-Oxley Act of</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2002.</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101.INS</w:t>
            </w: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XBRL Instance Document</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101.SCH</w:t>
            </w: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Schema Document</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101.CAL</w:t>
            </w: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Calculation Linkbase Document</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101.LAB</w:t>
            </w: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Label Linkbase Document</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101.PRE</w:t>
            </w: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Presentation Linkbase Document</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101.DEF</w:t>
            </w: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Definition Linkbase Document</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125" w:right="2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40"/>
        <w:spacing w:after="0"/>
        <w:tabs>
          <w:tab w:leader="none" w:pos="1240" w:val="left"/>
          <w:tab w:leader="none" w:pos="8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28, 2016</w:t>
      </w:r>
      <w:r>
        <w:rPr>
          <w:sz w:val="20"/>
          <w:szCs w:val="20"/>
          <w:color w:val="auto"/>
        </w:rPr>
        <w:tab/>
      </w:r>
      <w:r>
        <w:rPr>
          <w:rFonts w:ascii="Arial" w:cs="Arial" w:eastAsia="Arial" w:hAnsi="Arial"/>
          <w:sz w:val="16"/>
          <w:szCs w:val="16"/>
          <w:color w:val="auto"/>
        </w:rPr>
        <w:t>/s/ 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31750</wp:posOffset>
            </wp:positionV>
            <wp:extent cx="15265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57"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C. Mark Hussey</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Executive Vice President, Chief Operating Officer</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and Chief Financial Officer</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125" w:right="4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6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120" w:hanging="332"/>
        <w:spacing w:after="0" w:line="317"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580" w:hanging="332"/>
        <w:spacing w:after="0" w:line="29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6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660" w:right="80" w:hanging="328"/>
        <w:spacing w:after="0" w:line="298" w:lineRule="auto"/>
        <w:tabs>
          <w:tab w:leader="none" w:pos="6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340" w:right="500" w:hanging="332"/>
        <w:spacing w:after="0" w:line="29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46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40" w:val="left"/>
          <w:tab w:leader="none" w:pos="7120" w:val="left"/>
          <w:tab w:leader="none" w:pos="8700" w:val="left"/>
          <w:tab w:leader="none" w:pos="9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28,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AMES</w:t>
      </w:r>
      <w:r>
        <w:rPr>
          <w:rFonts w:ascii="Arial" w:cs="Arial" w:eastAsia="Arial" w:hAnsi="Arial"/>
          <w:sz w:val="17"/>
          <w:szCs w:val="17"/>
          <w:color w:val="auto"/>
        </w:rPr>
        <w:t xml:space="preserve"> H. R</w:t>
      </w:r>
      <w:r>
        <w:rPr>
          <w:rFonts w:ascii="Arial" w:cs="Arial" w:eastAsia="Arial" w:hAnsi="Arial"/>
          <w:sz w:val="13"/>
          <w:szCs w:val="13"/>
          <w:color w:val="auto"/>
        </w:rPr>
        <w: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C. Mark Hussey, certify that:</w:t>
      </w:r>
    </w:p>
    <w:p>
      <w:pPr>
        <w:spacing w:after="0" w:line="6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120" w:hanging="332"/>
        <w:spacing w:after="0" w:line="317"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580" w:hanging="332"/>
        <w:spacing w:after="0" w:line="29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6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660" w:right="80" w:hanging="328"/>
        <w:spacing w:after="0" w:line="298" w:lineRule="auto"/>
        <w:tabs>
          <w:tab w:leader="none" w:pos="6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340" w:right="500" w:hanging="332"/>
        <w:spacing w:after="0" w:line="29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46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2" w:lineRule="exact"/>
        <w:rPr>
          <w:sz w:val="20"/>
          <w:szCs w:val="20"/>
          <w:color w:val="auto"/>
        </w:rPr>
      </w:pPr>
    </w:p>
    <w:p>
      <w:pPr>
        <w:ind w:left="40"/>
        <w:spacing w:after="0"/>
        <w:tabs>
          <w:tab w:leader="none" w:pos="740" w:val="left"/>
          <w:tab w:leader="none" w:pos="7120" w:val="left"/>
          <w:tab w:leader="none" w:pos="8640" w:val="left"/>
          <w:tab w:leader="none" w:pos="8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28,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 M</w:t>
      </w:r>
      <w:r>
        <w:rPr>
          <w:rFonts w:ascii="Arial" w:cs="Arial" w:eastAsia="Arial" w:hAnsi="Arial"/>
          <w:sz w:val="13"/>
          <w:szCs w:val="13"/>
          <w:color w:val="auto"/>
        </w:rPr>
        <w:t>ARK</w:t>
      </w:r>
      <w:r>
        <w:rPr>
          <w:rFonts w:ascii="Arial" w:cs="Arial" w:eastAsia="Arial" w:hAnsi="Arial"/>
          <w:sz w:val="17"/>
          <w:szCs w:val="17"/>
          <w:color w:val="auto"/>
        </w:rPr>
        <w:t xml:space="preserve"> H</w:t>
      </w:r>
      <w:r>
        <w:rPr>
          <w:rFonts w:ascii="Arial" w:cs="Arial" w:eastAsia="Arial" w:hAnsi="Arial"/>
          <w:sz w:val="13"/>
          <w:szCs w:val="13"/>
          <w:color w:val="auto"/>
        </w:rPr>
        <w:t>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C. Mark Hussey</w:t>
      </w:r>
    </w:p>
    <w:p>
      <w:pPr>
        <w:spacing w:after="0" w:line="6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Chief Operating Officer and</w:t>
      </w:r>
    </w:p>
    <w:p>
      <w:pPr>
        <w:spacing w:after="0" w:line="9"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26" w:lineRule="exact"/>
        <w:rPr>
          <w:sz w:val="20"/>
          <w:szCs w:val="20"/>
          <w:color w:val="auto"/>
        </w:rPr>
      </w:pPr>
    </w:p>
    <w:p>
      <w:pPr>
        <w:ind w:right="160" w:firstLine="486"/>
        <w:spacing w:after="0" w:line="312" w:lineRule="auto"/>
        <w:rPr>
          <w:sz w:val="20"/>
          <w:szCs w:val="20"/>
          <w:color w:val="auto"/>
        </w:rPr>
      </w:pPr>
      <w:r>
        <w:rPr>
          <w:rFonts w:ascii="Arial" w:cs="Arial" w:eastAsia="Arial" w:hAnsi="Arial"/>
          <w:sz w:val="16"/>
          <w:szCs w:val="16"/>
          <w:color w:val="auto"/>
        </w:rPr>
        <w:t>In connection with the Quarterly Report of Huron Consulting Group Inc. (the “Company”) on Form 10-Q for the three months ended March 31, 2016 as filed with the Securities and Exchange Commission on the date hereof (the “Report”), I, James H. Roth, President and Chief Executive Officer of the Company, hereby certify, pursuant to 18 U.S.C. Section 1350, as adopted pursuant to Section 906 of the Sarbanes-Oxley Act of 2002, that:</w:t>
      </w:r>
    </w:p>
    <w:p>
      <w:pPr>
        <w:spacing w:after="0" w:line="93"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6" w:lineRule="exact"/>
        <w:rPr>
          <w:sz w:val="20"/>
          <w:szCs w:val="20"/>
          <w:color w:val="auto"/>
        </w:rPr>
      </w:pPr>
    </w:p>
    <w:p>
      <w:pPr>
        <w:ind w:left="40"/>
        <w:spacing w:after="0"/>
        <w:tabs>
          <w:tab w:leader="none" w:pos="740" w:val="left"/>
          <w:tab w:leader="none" w:pos="7120" w:val="left"/>
          <w:tab w:leader="none" w:pos="8700" w:val="left"/>
          <w:tab w:leader="none" w:pos="9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28,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AMES</w:t>
      </w:r>
      <w:r>
        <w:rPr>
          <w:rFonts w:ascii="Arial" w:cs="Arial" w:eastAsia="Arial" w:hAnsi="Arial"/>
          <w:sz w:val="17"/>
          <w:szCs w:val="17"/>
          <w:color w:val="auto"/>
        </w:rPr>
        <w:t xml:space="preserve"> H. R</w:t>
      </w:r>
      <w:r>
        <w:rPr>
          <w:rFonts w:ascii="Arial" w:cs="Arial" w:eastAsia="Arial" w:hAnsi="Arial"/>
          <w:sz w:val="13"/>
          <w:szCs w:val="13"/>
          <w:color w:val="auto"/>
        </w:rPr>
        <w: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1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26"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In connection with the annual report of Huron Consulting Group Inc. (the “Company”) on Form 10-Q for the three months ended March 31, 2016 as filed with the Securities and Exchange Commission on the date hereof (the “Report”), I, C. Mark Hussey, Executive Vice President, Chief Operating Officer and Chief Financial Officer of the Company, hereby certify, pursuant to 18 U.S.C. Section 1350, as adopted pursuant to Section 906 of the Sarbanes-Oxley Act of 2002, that:</w:t>
      </w:r>
    </w:p>
    <w:p>
      <w:pPr>
        <w:spacing w:after="0" w:line="133" w:lineRule="exact"/>
        <w:rPr>
          <w:sz w:val="20"/>
          <w:szCs w:val="20"/>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6" w:lineRule="exact"/>
        <w:rPr>
          <w:sz w:val="20"/>
          <w:szCs w:val="20"/>
          <w:color w:val="auto"/>
        </w:rPr>
      </w:pPr>
    </w:p>
    <w:p>
      <w:pPr>
        <w:ind w:left="40"/>
        <w:spacing w:after="0"/>
        <w:tabs>
          <w:tab w:leader="none" w:pos="740" w:val="left"/>
          <w:tab w:leader="none" w:pos="7120" w:val="left"/>
          <w:tab w:leader="none" w:pos="8640" w:val="left"/>
          <w:tab w:leader="none" w:pos="8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28,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 M</w:t>
      </w:r>
      <w:r>
        <w:rPr>
          <w:rFonts w:ascii="Arial" w:cs="Arial" w:eastAsia="Arial" w:hAnsi="Arial"/>
          <w:sz w:val="13"/>
          <w:szCs w:val="13"/>
          <w:color w:val="auto"/>
        </w:rPr>
        <w:t>ARK</w:t>
      </w:r>
      <w:r>
        <w:rPr>
          <w:rFonts w:ascii="Arial" w:cs="Arial" w:eastAsia="Arial" w:hAnsi="Arial"/>
          <w:sz w:val="17"/>
          <w:szCs w:val="17"/>
          <w:color w:val="auto"/>
        </w:rPr>
        <w:t xml:space="preserve"> H</w:t>
      </w:r>
      <w:r>
        <w:rPr>
          <w:rFonts w:ascii="Arial" w:cs="Arial" w:eastAsia="Arial" w:hAnsi="Arial"/>
          <w:sz w:val="13"/>
          <w:szCs w:val="13"/>
          <w:color w:val="auto"/>
        </w:rPr>
        <w:t>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C. Mark Hussey</w:t>
      </w:r>
    </w:p>
    <w:p>
      <w:pPr>
        <w:spacing w:after="0" w:line="6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Chief Operating Officer and</w:t>
      </w:r>
    </w:p>
    <w:p>
      <w:pPr>
        <w:spacing w:after="0" w:line="9"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Chief Financial Officer</w:t>
      </w:r>
    </w:p>
    <w:p>
      <w:pPr>
        <w:spacing w:after="0" w:line="184"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1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4"/>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2019-12-29T12:18:04Z</dcterms:created>
  <dcterms:modified xsi:type="dcterms:W3CDTF">2019-12-29T12:18:04Z</dcterms:modified>
</cp:coreProperties>
</file>