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797560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-172085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187325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1" w:lineRule="exact"/>
        <w:rPr>
          <w:sz w:val="24"/>
          <w:szCs w:val="24"/>
          <w:color w:val="auto"/>
        </w:rPr>
      </w:pPr>
    </w:p>
    <w:p>
      <w:pPr>
        <w:ind w:left="3980" w:right="860" w:hanging="3945"/>
        <w:spacing w:after="0" w:line="279" w:lineRule="auto"/>
        <w:tabs>
          <w:tab w:leader="none" w:pos="143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2019</w:t>
      </w:r>
    </w:p>
    <w:p>
      <w:pPr>
        <w:ind w:left="556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OR</w:t>
      </w:r>
    </w:p>
    <w:p>
      <w:pPr>
        <w:spacing w:after="0" w:line="176" w:lineRule="exact"/>
        <w:rPr>
          <w:sz w:val="24"/>
          <w:szCs w:val="24"/>
          <w:color w:val="auto"/>
        </w:rPr>
      </w:pPr>
    </w:p>
    <w:p>
      <w:pPr>
        <w:ind w:left="4320" w:right="860" w:hanging="4285"/>
        <w:spacing w:after="0" w:line="380" w:lineRule="auto"/>
        <w:tabs>
          <w:tab w:leader="none" w:pos="1431"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000-50976</w:t>
      </w:r>
    </w:p>
    <w:p>
      <w:pPr>
        <w:spacing w:after="0" w:line="1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HURON CONSULTING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-172085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167640</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660" w:type="dxa"/>
            <w:vAlign w:val="bottom"/>
          </w:tcPr>
          <w:p>
            <w:pPr>
              <w:jc w:val="center"/>
              <w:ind w:left="7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80" w:type="dxa"/>
            <w:vAlign w:val="bottom"/>
          </w:tcPr>
          <w:p>
            <w:pPr>
              <w:jc w:val="center"/>
              <w:ind w:right="2539"/>
              <w:spacing w:after="0"/>
              <w:rPr>
                <w:sz w:val="20"/>
                <w:szCs w:val="20"/>
                <w:color w:val="auto"/>
              </w:rPr>
            </w:pPr>
            <w:r>
              <w:rPr>
                <w:rFonts w:ascii="Times New Roman" w:cs="Times New Roman" w:eastAsia="Times New Roman" w:hAnsi="Times New Roman"/>
                <w:sz w:val="18"/>
                <w:szCs w:val="18"/>
                <w:b w:val="1"/>
                <w:bCs w:val="1"/>
                <w:color w:val="auto"/>
                <w:w w:val="98"/>
              </w:rPr>
              <w:t>01-0666114</w:t>
            </w:r>
          </w:p>
        </w:tc>
        <w:tc>
          <w:tcPr>
            <w:tcW w:w="0" w:type="dxa"/>
            <w:vAlign w:val="bottom"/>
          </w:tcPr>
          <w:p>
            <w:pPr>
              <w:spacing w:after="0"/>
              <w:rPr>
                <w:sz w:val="1"/>
                <w:szCs w:val="1"/>
                <w:color w:val="auto"/>
              </w:rPr>
            </w:pPr>
          </w:p>
        </w:tc>
      </w:tr>
      <w:tr>
        <w:trPr>
          <w:trHeight w:val="178"/>
        </w:trPr>
        <w:tc>
          <w:tcPr>
            <w:tcW w:w="360" w:type="dxa"/>
            <w:vAlign w:val="bottom"/>
          </w:tcPr>
          <w:p>
            <w:pPr>
              <w:spacing w:after="0"/>
              <w:rPr>
                <w:sz w:val="15"/>
                <w:szCs w:val="15"/>
                <w:color w:val="auto"/>
              </w:rPr>
            </w:pPr>
          </w:p>
        </w:tc>
        <w:tc>
          <w:tcPr>
            <w:tcW w:w="3660" w:type="dxa"/>
            <w:vAlign w:val="bottom"/>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80" w:type="dxa"/>
            <w:vAlign w:val="bottom"/>
          </w:tcPr>
          <w:p>
            <w:pPr>
              <w:jc w:val="center"/>
              <w:ind w:right="2519"/>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3660" w:type="dxa"/>
            <w:vAlign w:val="bottom"/>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60" w:type="dxa"/>
            <w:vAlign w:val="bottom"/>
          </w:tcPr>
          <w:p>
            <w:pPr>
              <w:spacing w:after="0"/>
              <w:rPr>
                <w:sz w:val="16"/>
                <w:szCs w:val="16"/>
                <w:color w:val="auto"/>
              </w:rPr>
            </w:pPr>
          </w:p>
        </w:tc>
        <w:tc>
          <w:tcPr>
            <w:tcW w:w="268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550 West Van Buren Street</w:t>
            </w:r>
          </w:p>
        </w:tc>
        <w:tc>
          <w:tcPr>
            <w:tcW w:w="4080" w:type="dxa"/>
            <w:vAlign w:val="bottom"/>
          </w:tcPr>
          <w:p>
            <w:pPr>
              <w:jc w:val="center"/>
              <w:ind w:right="251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04"/>
        </w:trPr>
        <w:tc>
          <w:tcPr>
            <w:tcW w:w="3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80" w:type="dxa"/>
            <w:vAlign w:val="bottom"/>
            <w:gridSpan w:val="3"/>
            <w:vMerge w:val="continue"/>
          </w:tcPr>
          <w:p>
            <w:pPr>
              <w:spacing w:after="0"/>
              <w:rPr>
                <w:sz w:val="17"/>
                <w:szCs w:val="17"/>
                <w:color w:val="auto"/>
              </w:rPr>
            </w:pP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8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Chicago, Illinois</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720" w:type="dxa"/>
            <w:vAlign w:val="bottom"/>
            <w:gridSpan w:val="2"/>
          </w:tcPr>
          <w:p>
            <w:pPr>
              <w:jc w:val="right"/>
              <w:ind w:right="715"/>
              <w:spacing w:after="0"/>
              <w:rPr>
                <w:sz w:val="20"/>
                <w:szCs w:val="20"/>
                <w:color w:val="auto"/>
              </w:rPr>
            </w:pPr>
            <w:r>
              <w:rPr>
                <w:rFonts w:ascii="Times New Roman" w:cs="Times New Roman" w:eastAsia="Times New Roman" w:hAnsi="Times New Roman"/>
                <w:sz w:val="18"/>
                <w:szCs w:val="18"/>
                <w:b w:val="1"/>
                <w:bCs w:val="1"/>
                <w:color w:val="auto"/>
              </w:rPr>
              <w:t>60607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8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4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720" w:type="dxa"/>
            <w:vAlign w:val="bottom"/>
            <w:gridSpan w:val="2"/>
          </w:tcPr>
          <w:p>
            <w:pPr>
              <w:jc w:val="right"/>
              <w:ind w:right="375"/>
              <w:spacing w:after="0"/>
              <w:rPr>
                <w:sz w:val="20"/>
                <w:szCs w:val="20"/>
                <w:color w:val="auto"/>
              </w:rPr>
            </w:pPr>
            <w:r>
              <w:rPr>
                <w:rFonts w:ascii="Times New Roman" w:cs="Times New Roman" w:eastAsia="Times New Roman" w:hAnsi="Times New Roman"/>
                <w:sz w:val="18"/>
                <w:szCs w:val="18"/>
                <w:b w:val="1"/>
                <w:bCs w:val="1"/>
                <w:color w:val="auto"/>
              </w:rPr>
              <w:t>(312) 583-8700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660" w:type="dxa"/>
            <w:vAlign w:val="bottom"/>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40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60" w:type="dxa"/>
            <w:vAlign w:val="bottom"/>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60" w:type="dxa"/>
            <w:vAlign w:val="bottom"/>
            <w:tcBorders>
              <w:right w:val="single" w:sz="8" w:color="auto"/>
            </w:tcBorders>
          </w:tcPr>
          <w:p>
            <w:pPr>
              <w:spacing w:after="0"/>
              <w:rPr>
                <w:sz w:val="19"/>
                <w:szCs w:val="19"/>
                <w:color w:val="auto"/>
              </w:rPr>
            </w:pPr>
          </w:p>
        </w:tc>
        <w:tc>
          <w:tcPr>
            <w:tcW w:w="3660" w:type="dxa"/>
            <w:vAlign w:val="bottom"/>
          </w:tcPr>
          <w:p>
            <w:pPr>
              <w:jc w:val="right"/>
              <w:ind w:right="799"/>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660" w:type="dxa"/>
            <w:vAlign w:val="bottom"/>
            <w:tcBorders>
              <w:right w:val="single" w:sz="8" w:color="auto"/>
            </w:tcBorders>
          </w:tcPr>
          <w:p>
            <w:pPr>
              <w:spacing w:after="0"/>
              <w:rPr>
                <w:sz w:val="19"/>
                <w:szCs w:val="19"/>
                <w:color w:val="auto"/>
              </w:rPr>
            </w:pPr>
          </w:p>
        </w:tc>
        <w:tc>
          <w:tcPr>
            <w:tcW w:w="25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120" w:type="dxa"/>
            <w:vAlign w:val="bottom"/>
          </w:tcPr>
          <w:p>
            <w:pPr>
              <w:spacing w:after="0"/>
              <w:rPr>
                <w:sz w:val="19"/>
                <w:szCs w:val="19"/>
                <w:color w:val="auto"/>
              </w:rPr>
            </w:pPr>
          </w:p>
        </w:tc>
        <w:tc>
          <w:tcPr>
            <w:tcW w:w="40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c>
          <w:tcPr>
            <w:tcW w:w="0" w:type="dxa"/>
            <w:vAlign w:val="bottom"/>
          </w:tcPr>
          <w:p>
            <w:pPr>
              <w:spacing w:after="0"/>
              <w:rPr>
                <w:sz w:val="1"/>
                <w:szCs w:val="1"/>
                <w:color w:val="auto"/>
              </w:rPr>
            </w:pPr>
          </w:p>
        </w:tc>
      </w:tr>
      <w:tr>
        <w:trPr>
          <w:trHeight w:val="29"/>
        </w:trPr>
        <w:tc>
          <w:tcPr>
            <w:tcW w:w="360" w:type="dxa"/>
            <w:vAlign w:val="bottom"/>
            <w:tcBorders>
              <w:right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60" w:type="dxa"/>
            <w:vAlign w:val="bottom"/>
            <w:tcBorders>
              <w:right w:val="single" w:sz="8" w:color="auto"/>
            </w:tcBorders>
          </w:tcPr>
          <w:p>
            <w:pPr>
              <w:spacing w:after="0"/>
              <w:rPr>
                <w:sz w:val="19"/>
                <w:szCs w:val="19"/>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Common Stock, par value $0.01 per share</w:t>
            </w:r>
          </w:p>
        </w:tc>
        <w:tc>
          <w:tcPr>
            <w:tcW w:w="660" w:type="dxa"/>
            <w:vAlign w:val="bottom"/>
            <w:tcBorders>
              <w:right w:val="single" w:sz="8" w:color="auto"/>
            </w:tcBorders>
          </w:tcPr>
          <w:p>
            <w:pPr>
              <w:spacing w:after="0"/>
              <w:rPr>
                <w:sz w:val="19"/>
                <w:szCs w:val="19"/>
                <w:color w:val="auto"/>
              </w:rPr>
            </w:pPr>
          </w:p>
        </w:tc>
        <w:tc>
          <w:tcPr>
            <w:tcW w:w="256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HURN</w:t>
            </w:r>
          </w:p>
        </w:tc>
        <w:tc>
          <w:tcPr>
            <w:tcW w:w="120" w:type="dxa"/>
            <w:vAlign w:val="bottom"/>
          </w:tcPr>
          <w:p>
            <w:pPr>
              <w:spacing w:after="0"/>
              <w:rPr>
                <w:sz w:val="19"/>
                <w:szCs w:val="19"/>
                <w:color w:val="auto"/>
              </w:rPr>
            </w:pPr>
          </w:p>
        </w:tc>
        <w:tc>
          <w:tcPr>
            <w:tcW w:w="4080" w:type="dxa"/>
            <w:vAlign w:val="bottom"/>
            <w:tcBorders>
              <w:right w:val="single" w:sz="8" w:color="auto"/>
            </w:tcBorders>
          </w:tcPr>
          <w:p>
            <w:pPr>
              <w:jc w:val="center"/>
              <w:ind w:right="59"/>
              <w:spacing w:after="0"/>
              <w:rPr>
                <w:sz w:val="20"/>
                <w:szCs w:val="20"/>
                <w:color w:val="auto"/>
              </w:rPr>
            </w:pPr>
            <w:r>
              <w:rPr>
                <w:rFonts w:ascii="Times New Roman" w:cs="Times New Roman" w:eastAsia="Times New Roman" w:hAnsi="Times New Roman"/>
                <w:sz w:val="17"/>
                <w:szCs w:val="17"/>
                <w:color w:val="auto"/>
              </w:rPr>
              <w:t>NASDAQ Global Select Market</w:t>
            </w:r>
          </w:p>
        </w:tc>
        <w:tc>
          <w:tcPr>
            <w:tcW w:w="0" w:type="dxa"/>
            <w:vAlign w:val="bottom"/>
          </w:tcPr>
          <w:p>
            <w:pPr>
              <w:spacing w:after="0"/>
              <w:rPr>
                <w:sz w:val="1"/>
                <w:szCs w:val="1"/>
                <w:color w:val="auto"/>
              </w:rPr>
            </w:pPr>
          </w:p>
        </w:tc>
      </w:tr>
      <w:tr>
        <w:trPr>
          <w:trHeight w:val="29"/>
        </w:trPr>
        <w:tc>
          <w:tcPr>
            <w:tcW w:w="360" w:type="dxa"/>
            <w:vAlign w:val="bottom"/>
            <w:tcBorders>
              <w:right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right="200"/>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 w:lineRule="exact"/>
        <w:rPr>
          <w:sz w:val="24"/>
          <w:szCs w:val="24"/>
          <w:color w:val="auto"/>
        </w:rPr>
      </w:pPr>
    </w:p>
    <w:p>
      <w:pPr>
        <w:ind w:right="120"/>
        <w:spacing w:after="0" w:line="22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 w:lineRule="exact"/>
        <w:rPr>
          <w:sz w:val="24"/>
          <w:szCs w:val="24"/>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23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7"/>
                <w:szCs w:val="17"/>
                <w:color w:val="auto"/>
              </w:rPr>
              <w:t>☒</w:t>
            </w:r>
          </w:p>
        </w:tc>
        <w:tc>
          <w:tcPr>
            <w:tcW w:w="16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auto"/>
              </w:rPr>
              <w:t>Accelerated Filer</w:t>
            </w:r>
          </w:p>
        </w:tc>
        <w:tc>
          <w:tcPr>
            <w:tcW w:w="540" w:type="dxa"/>
            <w:vAlign w:val="bottom"/>
            <w:vMerge w:val="restart"/>
          </w:tcPr>
          <w:p>
            <w:pPr>
              <w:ind w:left="200"/>
              <w:spacing w:after="0" w:line="171" w:lineRule="exact"/>
              <w:rPr>
                <w:sz w:val="20"/>
                <w:szCs w:val="20"/>
                <w:color w:val="auto"/>
              </w:rPr>
            </w:pPr>
            <w:r>
              <w:rPr>
                <w:rFonts w:ascii="MS PGothic" w:cs="MS PGothic" w:eastAsia="MS PGothic" w:hAnsi="MS PGothic"/>
                <w:sz w:val="17"/>
                <w:szCs w:val="17"/>
                <w:color w:val="auto"/>
              </w:rPr>
              <w:t>☐</w:t>
            </w:r>
          </w:p>
        </w:tc>
        <w:tc>
          <w:tcPr>
            <w:tcW w:w="18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Non-accelerated Filer</w:t>
            </w:r>
          </w:p>
        </w:tc>
        <w:tc>
          <w:tcPr>
            <w:tcW w:w="520" w:type="dxa"/>
            <w:vAlign w:val="bottom"/>
            <w:vMerge w:val="restart"/>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Smaller Reporting</w:t>
            </w:r>
          </w:p>
        </w:tc>
        <w:tc>
          <w:tcPr>
            <w:tcW w:w="600" w:type="dxa"/>
            <w:vAlign w:val="bottom"/>
            <w:vMerge w:val="restart"/>
          </w:tcPr>
          <w:p>
            <w:pPr>
              <w:ind w:left="22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Emerging Growth</w:t>
            </w:r>
          </w:p>
        </w:tc>
        <w:tc>
          <w:tcPr>
            <w:tcW w:w="360" w:type="dxa"/>
            <w:vAlign w:val="bottom"/>
            <w:vMerge w:val="restart"/>
          </w:tcPr>
          <w:p>
            <w:pPr>
              <w:ind w:left="22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22"/>
        </w:trPr>
        <w:tc>
          <w:tcPr>
            <w:tcW w:w="232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Company</w:t>
            </w:r>
          </w:p>
        </w:tc>
        <w:tc>
          <w:tcPr>
            <w:tcW w:w="600" w:type="dxa"/>
            <w:vAlign w:val="bottom"/>
            <w:vMerge w:val="continue"/>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Company</w:t>
            </w: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ind w:right="200"/>
        <w:spacing w:after="0" w:line="221"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 w:lineRule="exact"/>
        <w:rPr>
          <w:sz w:val="24"/>
          <w:szCs w:val="24"/>
          <w:color w:val="auto"/>
        </w:rPr>
      </w:pPr>
    </w:p>
    <w:p>
      <w:pPr>
        <w:spacing w:after="0" w:line="196" w:lineRule="exact"/>
        <w:tabs>
          <w:tab w:leader="none" w:pos="7920" w:val="left"/>
          <w:tab w:leader="none" w:pos="858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July 23, 2019, 22,924,170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229" w:right="21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69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2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9"/>
        </w:trPr>
        <w:tc>
          <w:tcPr>
            <w:tcW w:w="2340" w:type="dxa"/>
            <w:vAlign w:val="bottom"/>
            <w:tcBorders>
              <w:bottom w:val="single" w:sz="8" w:color="0000EE"/>
            </w:tcBorders>
            <w:gridSpan w:val="5"/>
          </w:tcPr>
          <w:p>
            <w:pPr>
              <w:spacing w:after="0" w:line="189" w:lineRule="exact"/>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 – Financial Information</w:t>
              </w:r>
            </w:hyperlink>
          </w:p>
        </w:tc>
        <w:tc>
          <w:tcPr>
            <w:tcW w:w="7580" w:type="dxa"/>
            <w:vAlign w:val="bottom"/>
            <w:gridSpan w:val="12"/>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34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Consolidated Financial Statements (Unaudited)</w:t>
              </w:r>
            </w:hyperlink>
          </w:p>
        </w:tc>
        <w:tc>
          <w:tcPr>
            <w:tcW w:w="53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w:t>
              </w:r>
            </w:hyperlink>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3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Operations and Other Comprehensive Income</w:t>
              </w:r>
            </w:hyperlink>
          </w:p>
        </w:tc>
        <w:tc>
          <w:tcPr>
            <w:tcW w:w="338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Stockholders’ Equity</w:t>
              </w:r>
            </w:hyperlink>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52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Cash Flows</w:t>
              </w:r>
            </w:hyperlink>
          </w:p>
        </w:tc>
        <w:tc>
          <w:tcPr>
            <w:tcW w:w="5180" w:type="dxa"/>
            <w:vAlign w:val="bottom"/>
            <w:gridSpan w:val="4"/>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Consolidated Financial Statements</w:t>
              </w:r>
            </w:hyperlink>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4"/>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gridSpan w:val="12"/>
          </w:tcPr>
          <w:p>
            <w:pPr>
              <w:spacing w:after="0"/>
              <w:rPr>
                <w:rFonts w:ascii="Times New Roman" w:cs="Times New Roman" w:eastAsia="Times New Roman" w:hAnsi="Times New Roman"/>
                <w:sz w:val="18"/>
                <w:szCs w:val="18"/>
                <w:color w:val="0000EE"/>
                <w:w w:val="98"/>
              </w:rPr>
            </w:pPr>
            <w:hyperlink w:anchor="page44">
              <w:r>
                <w:rPr>
                  <w:rFonts w:ascii="Times New Roman" w:cs="Times New Roman" w:eastAsia="Times New Roman" w:hAnsi="Times New Roman"/>
                  <w:sz w:val="18"/>
                  <w:szCs w:val="18"/>
                  <w:color w:val="0000EE"/>
                  <w:w w:val="98"/>
                </w:rPr>
                <w:t>Quantitative and Qualitative Disclosures About Market Risk</w:t>
              </w:r>
            </w:hyperlink>
          </w:p>
        </w:tc>
        <w:tc>
          <w:tcPr>
            <w:tcW w:w="212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42</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tcBorders>
              <w:left w:val="single" w:sz="8" w:color="0000EE"/>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4320" w:type="dxa"/>
            <w:vAlign w:val="bottom"/>
            <w:gridSpan w:val="12"/>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Controls and Procedures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920" w:type="dxa"/>
            <w:vAlign w:val="bottom"/>
            <w:gridSpan w:val="17"/>
          </w:tcPr>
          <w:p>
            <w:pPr>
              <w:spacing w:after="0"/>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Part II – Other Information</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gridSpan w:val="4"/>
          </w:tcPr>
          <w:p>
            <w:pPr>
              <w:spacing w:after="0"/>
              <w:rPr>
                <w:rFonts w:ascii="Times New Roman" w:cs="Times New Roman" w:eastAsia="Times New Roman" w:hAnsi="Times New Roman"/>
                <w:sz w:val="18"/>
                <w:szCs w:val="18"/>
                <w:color w:val="0000EE"/>
                <w:w w:val="94"/>
              </w:rPr>
            </w:pPr>
            <w:hyperlink w:anchor="page45">
              <w:r>
                <w:rPr>
                  <w:rFonts w:ascii="Times New Roman" w:cs="Times New Roman" w:eastAsia="Times New Roman" w:hAnsi="Times New Roman"/>
                  <w:sz w:val="18"/>
                  <w:szCs w:val="18"/>
                  <w:color w:val="0000EE"/>
                  <w:w w:val="94"/>
                </w:rPr>
                <w:t>Legal Proceedings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gridSpan w:val="4"/>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Risk Factors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8700" w:type="dxa"/>
            <w:vAlign w:val="bottom"/>
            <w:gridSpan w:val="15"/>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Unregistered Sales of Equity Securities and Use of Proceeds</w:t>
              </w:r>
            </w:hyperlink>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gridSpan w:val="12"/>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Defaults Upon Senior Securities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2300" w:type="dxa"/>
            <w:vAlign w:val="bottom"/>
            <w:gridSpan w:val="7"/>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Mine Safety Disclosures</w:t>
              </w:r>
            </w:hyperlink>
          </w:p>
        </w:tc>
        <w:tc>
          <w:tcPr>
            <w:tcW w:w="6400" w:type="dxa"/>
            <w:vAlign w:val="bottom"/>
            <w:gridSpan w:val="8"/>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gridSpan w:val="4"/>
          </w:tcPr>
          <w:p>
            <w:pPr>
              <w:spacing w:after="0"/>
              <w:rPr>
                <w:rFonts w:ascii="Times New Roman" w:cs="Times New Roman" w:eastAsia="Times New Roman" w:hAnsi="Times New Roman"/>
                <w:sz w:val="18"/>
                <w:szCs w:val="18"/>
                <w:color w:val="0000EE"/>
                <w:w w:val="95"/>
              </w:rPr>
            </w:pPr>
            <w:hyperlink w:anchor="page46">
              <w:r>
                <w:rPr>
                  <w:rFonts w:ascii="Times New Roman" w:cs="Times New Roman" w:eastAsia="Times New Roman" w:hAnsi="Times New Roman"/>
                  <w:sz w:val="18"/>
                  <w:szCs w:val="18"/>
                  <w:color w:val="0000EE"/>
                  <w:w w:val="95"/>
                </w:rPr>
                <w:t>Other Information</w:t>
              </w:r>
            </w:hyperlink>
          </w:p>
        </w:tc>
        <w:tc>
          <w:tcPr>
            <w:tcW w:w="440" w:type="dxa"/>
            <w:vAlign w:val="bottom"/>
          </w:tcPr>
          <w:p>
            <w:pPr>
              <w:spacing w:after="0"/>
              <w:rPr>
                <w:sz w:val="24"/>
                <w:szCs w:val="24"/>
                <w:color w:val="auto"/>
              </w:rPr>
            </w:pPr>
          </w:p>
        </w:tc>
        <w:tc>
          <w:tcPr>
            <w:tcW w:w="6960" w:type="dxa"/>
            <w:vAlign w:val="bottom"/>
            <w:gridSpan w:val="10"/>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4"/>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Exhibits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45</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rPr>
                <w:rFonts w:ascii="Times New Roman" w:cs="Times New Roman" w:eastAsia="Times New Roman" w:hAnsi="Times New Roman"/>
                <w:sz w:val="18"/>
                <w:szCs w:val="18"/>
                <w:b w:val="1"/>
                <w:bCs w:val="1"/>
                <w:color w:val="0000EE"/>
              </w:rPr>
            </w:pPr>
            <w:hyperlink w:anchor="page48">
              <w:r>
                <w:rPr>
                  <w:rFonts w:ascii="Times New Roman" w:cs="Times New Roman" w:eastAsia="Times New Roman" w:hAnsi="Times New Roman"/>
                  <w:sz w:val="18"/>
                  <w:szCs w:val="18"/>
                  <w:b w:val="1"/>
                  <w:bCs w:val="1"/>
                  <w:color w:val="0000EE"/>
                </w:rPr>
                <w:t>Signature</w:t>
              </w:r>
            </w:hyperlink>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46</w:t>
              </w:r>
            </w:hyperlink>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240" w:top="121" w:right="8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9"/>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33,107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from clients, net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109,677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Unbilled services,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69,613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receivable</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6,612</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13,922</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233,205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232,931</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40,374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investment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50,429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30,525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47,857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645,266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645,263</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1,114,675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1,049,532</w:t>
            </w:r>
          </w:p>
        </w:tc>
      </w:tr>
      <w:tr>
        <w:trPr>
          <w:trHeight w:val="67"/>
        </w:trPr>
        <w:tc>
          <w:tcPr>
            <w:tcW w:w="83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17,207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109,825</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contingent consideration for business acquisitions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9,991</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243,132</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28,130</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395,418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418,305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compensation and other liabilities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20,875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contingent consideration for business acquisitions,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1,450</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53,853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lease incentives</w:t>
            </w:r>
          </w:p>
        </w:tc>
        <w:tc>
          <w:tcPr>
            <w:tcW w:w="2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13,693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150,896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90,603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$0.01 par value; 500,000,000 shares authorized; 25,316,458 and 25,114,739 shares issued at June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 2019 and December 31, 2018,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stock, at cost, 2,399,279 and 2,568,288 shares at June 30, 2019 and December 31, 2018, respectively</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452,573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209,882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196,106</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16,495</w:t>
            </w: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568,361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540,624</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1,114,675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1,049,532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1" w:right="239" w:bottom="185"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85"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OTHER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3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26"/>
        </w:trPr>
        <w:tc>
          <w:tcPr>
            <w:tcW w:w="5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3"/>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2018</w:t>
            </w:r>
          </w:p>
        </w:tc>
        <w:tc>
          <w:tcPr>
            <w:tcW w:w="0" w:type="dxa"/>
            <w:vAlign w:val="bottom"/>
          </w:tcPr>
          <w:p>
            <w:pPr>
              <w:spacing w:after="0"/>
              <w:rPr>
                <w:sz w:val="1"/>
                <w:szCs w:val="1"/>
                <w:color w:val="auto"/>
              </w:rPr>
            </w:pPr>
          </w:p>
        </w:tc>
      </w:tr>
      <w:tr>
        <w:trPr>
          <w:trHeight w:val="29"/>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Revenues and 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6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Revenues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220,754</w:t>
            </w:r>
          </w:p>
        </w:tc>
        <w:tc>
          <w:tcPr>
            <w:tcW w:w="12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197,544</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425,199</w:t>
            </w:r>
          </w:p>
        </w:tc>
        <w:tc>
          <w:tcPr>
            <w:tcW w:w="12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391,223</w:t>
            </w:r>
          </w:p>
        </w:tc>
        <w:tc>
          <w:tcPr>
            <w:tcW w:w="0" w:type="dxa"/>
            <w:vAlign w:val="bottom"/>
          </w:tcPr>
          <w:p>
            <w:pPr>
              <w:spacing w:after="0"/>
              <w:rPr>
                <w:sz w:val="1"/>
                <w:szCs w:val="1"/>
                <w:color w:val="auto"/>
              </w:rPr>
            </w:pPr>
          </w:p>
        </w:tc>
      </w:tr>
      <w:tr>
        <w:trPr>
          <w:trHeight w:val="29"/>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Reimbursable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23,534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20,733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42,151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38,352</w:t>
            </w:r>
          </w:p>
        </w:tc>
        <w:tc>
          <w:tcPr>
            <w:tcW w:w="0" w:type="dxa"/>
            <w:vAlign w:val="bottom"/>
          </w:tcPr>
          <w:p>
            <w:pPr>
              <w:spacing w:after="0"/>
              <w:rPr>
                <w:sz w:val="1"/>
                <w:szCs w:val="1"/>
                <w:color w:val="auto"/>
              </w:rPr>
            </w:pPr>
          </w:p>
        </w:tc>
      </w:tr>
      <w:tr>
        <w:trPr>
          <w:trHeight w:val="221"/>
        </w:trPr>
        <w:tc>
          <w:tcPr>
            <w:tcW w:w="56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revenues and reimbursable expenses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244,288</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218,277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467,350</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429,575</w:t>
            </w:r>
          </w:p>
        </w:tc>
        <w:tc>
          <w:tcPr>
            <w:tcW w:w="0" w:type="dxa"/>
            <w:vAlign w:val="bottom"/>
          </w:tcPr>
          <w:p>
            <w:pPr>
              <w:spacing w:after="0"/>
              <w:rPr>
                <w:sz w:val="1"/>
                <w:szCs w:val="1"/>
                <w:color w:val="auto"/>
              </w:rPr>
            </w:pPr>
          </w:p>
        </w:tc>
      </w:tr>
      <w:tr>
        <w:trPr>
          <w:trHeight w:val="29"/>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 xml:space="preserve">Direct costs and reimbursable expenses </w:t>
            </w:r>
            <w:r>
              <w:rPr>
                <w:rFonts w:ascii="Times New Roman" w:cs="Times New Roman" w:eastAsia="Times New Roman" w:hAnsi="Times New Roman"/>
                <w:sz w:val="17"/>
                <w:szCs w:val="17"/>
                <w:color w:val="auto"/>
              </w:rPr>
              <w:t>(exclusive of depreciation and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amortization shown in 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6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Direct costs</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141,628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127,574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279,408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260,360</w:t>
            </w:r>
          </w:p>
        </w:tc>
        <w:tc>
          <w:tcPr>
            <w:tcW w:w="0" w:type="dxa"/>
            <w:vAlign w:val="bottom"/>
          </w:tcPr>
          <w:p>
            <w:pPr>
              <w:spacing w:after="0"/>
              <w:rPr>
                <w:sz w:val="1"/>
                <w:szCs w:val="1"/>
                <w:color w:val="auto"/>
              </w:rPr>
            </w:pPr>
          </w:p>
        </w:tc>
      </w:tr>
      <w:tr>
        <w:trPr>
          <w:trHeight w:val="29"/>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Amortization of intangible assets and software development costs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2,186</w:t>
            </w:r>
          </w:p>
        </w:tc>
        <w:tc>
          <w:tcPr>
            <w:tcW w:w="0" w:type="dxa"/>
            <w:vAlign w:val="bottom"/>
          </w:tcPr>
          <w:p>
            <w:pPr>
              <w:spacing w:after="0"/>
              <w:rPr>
                <w:sz w:val="1"/>
                <w:szCs w:val="1"/>
                <w:color w:val="auto"/>
              </w:rPr>
            </w:pPr>
          </w:p>
        </w:tc>
      </w:tr>
      <w:tr>
        <w:trPr>
          <w:trHeight w:val="241"/>
        </w:trPr>
        <w:tc>
          <w:tcPr>
            <w:tcW w:w="56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Reimbursable expenses</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23,657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20,915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42,326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38,464</w:t>
            </w:r>
          </w:p>
        </w:tc>
        <w:tc>
          <w:tcPr>
            <w:tcW w:w="0" w:type="dxa"/>
            <w:vAlign w:val="bottom"/>
          </w:tcPr>
          <w:p>
            <w:pPr>
              <w:spacing w:after="0"/>
              <w:rPr>
                <w:sz w:val="1"/>
                <w:szCs w:val="1"/>
                <w:color w:val="auto"/>
              </w:rPr>
            </w:pPr>
          </w:p>
        </w:tc>
      </w:tr>
      <w:tr>
        <w:trPr>
          <w:trHeight w:val="29"/>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Total direct costs and 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166,456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149,457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324,022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301,010</w:t>
            </w:r>
          </w:p>
        </w:tc>
        <w:tc>
          <w:tcPr>
            <w:tcW w:w="0" w:type="dxa"/>
            <w:vAlign w:val="bottom"/>
          </w:tcPr>
          <w:p>
            <w:pPr>
              <w:spacing w:after="0"/>
              <w:rPr>
                <w:sz w:val="1"/>
                <w:szCs w:val="1"/>
                <w:color w:val="auto"/>
              </w:rPr>
            </w:pPr>
          </w:p>
        </w:tc>
      </w:tr>
      <w:tr>
        <w:trPr>
          <w:trHeight w:val="208"/>
        </w:trPr>
        <w:tc>
          <w:tcPr>
            <w:tcW w:w="56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Operating expenses and other gains, net</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5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52,537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45,488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103,286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92,566</w:t>
            </w:r>
          </w:p>
        </w:tc>
        <w:tc>
          <w:tcPr>
            <w:tcW w:w="0" w:type="dxa"/>
            <w:vAlign w:val="bottom"/>
          </w:tcPr>
          <w:p>
            <w:pPr>
              <w:spacing w:after="0"/>
              <w:rPr>
                <w:sz w:val="1"/>
                <w:szCs w:val="1"/>
                <w:color w:val="auto"/>
              </w:rPr>
            </w:pPr>
          </w:p>
        </w:tc>
      </w:tr>
      <w:tr>
        <w:trPr>
          <w:trHeight w:val="241"/>
        </w:trPr>
        <w:tc>
          <w:tcPr>
            <w:tcW w:w="56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Restructuring charges</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2,029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2,696</w:t>
            </w:r>
          </w:p>
        </w:tc>
        <w:tc>
          <w:tcPr>
            <w:tcW w:w="0" w:type="dxa"/>
            <w:vAlign w:val="bottom"/>
          </w:tcPr>
          <w:p>
            <w:pPr>
              <w:spacing w:after="0"/>
              <w:rPr>
                <w:sz w:val="1"/>
                <w:szCs w:val="1"/>
                <w:color w:val="auto"/>
              </w:rPr>
            </w:pPr>
          </w:p>
        </w:tc>
      </w:tr>
      <w:tr>
        <w:trPr>
          <w:trHeight w:val="29"/>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Litigation and other gains,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(5,877)</w:t>
            </w:r>
          </w:p>
        </w:tc>
        <w:tc>
          <w:tcPr>
            <w:tcW w:w="0" w:type="dxa"/>
            <w:vAlign w:val="bottom"/>
          </w:tcPr>
          <w:p>
            <w:pPr>
              <w:spacing w:after="0"/>
              <w:rPr>
                <w:sz w:val="1"/>
                <w:szCs w:val="1"/>
                <w:color w:val="auto"/>
              </w:rPr>
            </w:pPr>
          </w:p>
        </w:tc>
      </w:tr>
      <w:tr>
        <w:trPr>
          <w:trHeight w:val="241"/>
        </w:trPr>
        <w:tc>
          <w:tcPr>
            <w:tcW w:w="56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7,151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8,917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14,323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17,720</w:t>
            </w:r>
          </w:p>
        </w:tc>
        <w:tc>
          <w:tcPr>
            <w:tcW w:w="0" w:type="dxa"/>
            <w:vAlign w:val="bottom"/>
          </w:tcPr>
          <w:p>
            <w:pPr>
              <w:spacing w:after="0"/>
              <w:rPr>
                <w:sz w:val="1"/>
                <w:szCs w:val="1"/>
                <w:color w:val="auto"/>
              </w:rPr>
            </w:pPr>
          </w:p>
        </w:tc>
      </w:tr>
      <w:tr>
        <w:trPr>
          <w:trHeight w:val="29"/>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Total operating expenses and other gains,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59,957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49,682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118,697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107,105</w:t>
            </w:r>
          </w:p>
        </w:tc>
        <w:tc>
          <w:tcPr>
            <w:tcW w:w="0" w:type="dxa"/>
            <w:vAlign w:val="bottom"/>
          </w:tcPr>
          <w:p>
            <w:pPr>
              <w:spacing w:after="0"/>
              <w:rPr>
                <w:sz w:val="1"/>
                <w:szCs w:val="1"/>
                <w:color w:val="auto"/>
              </w:rPr>
            </w:pPr>
          </w:p>
        </w:tc>
      </w:tr>
      <w:tr>
        <w:trPr>
          <w:trHeight w:val="221"/>
        </w:trPr>
        <w:tc>
          <w:tcPr>
            <w:tcW w:w="56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Operating income</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17,875</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19,138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24,631</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21,460</w:t>
            </w:r>
          </w:p>
        </w:tc>
        <w:tc>
          <w:tcPr>
            <w:tcW w:w="0" w:type="dxa"/>
            <w:vAlign w:val="bottom"/>
          </w:tcPr>
          <w:p>
            <w:pPr>
              <w:spacing w:after="0"/>
              <w:rPr>
                <w:sz w:val="1"/>
                <w:szCs w:val="1"/>
                <w:color w:val="auto"/>
              </w:rPr>
            </w:pPr>
          </w:p>
        </w:tc>
      </w:tr>
      <w:tr>
        <w:trPr>
          <w:trHeight w:val="29"/>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6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Interest expense, net of interest income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(10,008)</w:t>
            </w:r>
          </w:p>
        </w:tc>
        <w:tc>
          <w:tcPr>
            <w:tcW w:w="0" w:type="dxa"/>
            <w:vAlign w:val="bottom"/>
          </w:tcPr>
          <w:p>
            <w:pPr>
              <w:spacing w:after="0"/>
              <w:rPr>
                <w:sz w:val="1"/>
                <w:szCs w:val="1"/>
                <w:color w:val="auto"/>
              </w:rPr>
            </w:pPr>
          </w:p>
        </w:tc>
      </w:tr>
      <w:tr>
        <w:trPr>
          <w:trHeight w:val="29"/>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2,912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(5,838)</w:t>
            </w:r>
          </w:p>
        </w:tc>
        <w:tc>
          <w:tcPr>
            <w:tcW w:w="0" w:type="dxa"/>
            <w:vAlign w:val="bottom"/>
          </w:tcPr>
          <w:p>
            <w:pPr>
              <w:spacing w:after="0"/>
              <w:rPr>
                <w:sz w:val="1"/>
                <w:szCs w:val="1"/>
                <w:color w:val="auto"/>
              </w:rPr>
            </w:pPr>
          </w:p>
        </w:tc>
      </w:tr>
      <w:tr>
        <w:trPr>
          <w:trHeight w:val="221"/>
        </w:trPr>
        <w:tc>
          <w:tcPr>
            <w:tcW w:w="56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other expense, net</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(3,829)</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(10,715)</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(5,870)</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(15,846)</w:t>
            </w:r>
          </w:p>
        </w:tc>
        <w:tc>
          <w:tcPr>
            <w:tcW w:w="0" w:type="dxa"/>
            <w:vAlign w:val="bottom"/>
          </w:tcPr>
          <w:p>
            <w:pPr>
              <w:spacing w:after="0"/>
              <w:rPr>
                <w:sz w:val="1"/>
                <w:szCs w:val="1"/>
                <w:color w:val="auto"/>
              </w:rPr>
            </w:pPr>
          </w:p>
        </w:tc>
      </w:tr>
      <w:tr>
        <w:trPr>
          <w:trHeight w:val="29"/>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Income from continuing operations before taxes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14,046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8,423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18,761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5,614</w:t>
            </w:r>
          </w:p>
        </w:tc>
        <w:tc>
          <w:tcPr>
            <w:tcW w:w="0" w:type="dxa"/>
            <w:vAlign w:val="bottom"/>
          </w:tcPr>
          <w:p>
            <w:pPr>
              <w:spacing w:after="0"/>
              <w:rPr>
                <w:sz w:val="1"/>
                <w:szCs w:val="1"/>
                <w:color w:val="auto"/>
              </w:rPr>
            </w:pPr>
          </w:p>
        </w:tc>
      </w:tr>
      <w:tr>
        <w:trPr>
          <w:trHeight w:val="241"/>
        </w:trPr>
        <w:tc>
          <w:tcPr>
            <w:tcW w:w="56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Income tax expense</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3,477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4,842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2,974</w:t>
            </w:r>
          </w:p>
        </w:tc>
        <w:tc>
          <w:tcPr>
            <w:tcW w:w="0" w:type="dxa"/>
            <w:vAlign w:val="bottom"/>
          </w:tcPr>
          <w:p>
            <w:pPr>
              <w:spacing w:after="0"/>
              <w:rPr>
                <w:sz w:val="1"/>
                <w:szCs w:val="1"/>
                <w:color w:val="auto"/>
              </w:rPr>
            </w:pPr>
          </w:p>
        </w:tc>
      </w:tr>
      <w:tr>
        <w:trPr>
          <w:trHeight w:val="29"/>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income from continuing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10,569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5,862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13,919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2,640</w:t>
            </w:r>
          </w:p>
        </w:tc>
        <w:tc>
          <w:tcPr>
            <w:tcW w:w="0" w:type="dxa"/>
            <w:vAlign w:val="bottom"/>
          </w:tcPr>
          <w:p>
            <w:pPr>
              <w:spacing w:after="0"/>
              <w:rPr>
                <w:sz w:val="1"/>
                <w:szCs w:val="1"/>
                <w:color w:val="auto"/>
              </w:rPr>
            </w:pPr>
          </w:p>
        </w:tc>
      </w:tr>
      <w:tr>
        <w:trPr>
          <w:trHeight w:val="241"/>
        </w:trPr>
        <w:tc>
          <w:tcPr>
            <w:tcW w:w="56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Loss from discontinued operations, net of tax</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9"/>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10,472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5,372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13,776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2,108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Net earnings per basic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5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Net income from continuing operations</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241"/>
        </w:trPr>
        <w:tc>
          <w:tcPr>
            <w:tcW w:w="56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Loss from discontinued operations, net of tax</w:t>
            </w: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9"/>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Net earnings per diluted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5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Net income from continuing operations</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241"/>
        </w:trPr>
        <w:tc>
          <w:tcPr>
            <w:tcW w:w="56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Loss from discontinued operations, net of tax</w:t>
            </w: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9"/>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7"/>
                <w:szCs w:val="17"/>
                <w:color w:val="auto"/>
              </w:rPr>
              <w:t>Weighted average shares used in calculating earnings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5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21,997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21,709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21,933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21,651</w:t>
            </w:r>
          </w:p>
        </w:tc>
        <w:tc>
          <w:tcPr>
            <w:tcW w:w="0" w:type="dxa"/>
            <w:vAlign w:val="bottom"/>
          </w:tcPr>
          <w:p>
            <w:pPr>
              <w:spacing w:after="0"/>
              <w:rPr>
                <w:sz w:val="1"/>
                <w:szCs w:val="1"/>
                <w:color w:val="auto"/>
              </w:rPr>
            </w:pPr>
          </w:p>
        </w:tc>
      </w:tr>
      <w:tr>
        <w:trPr>
          <w:trHeight w:val="241"/>
        </w:trPr>
        <w:tc>
          <w:tcPr>
            <w:tcW w:w="56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22,400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21,918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22,356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21,866</w:t>
            </w:r>
          </w:p>
        </w:tc>
        <w:tc>
          <w:tcPr>
            <w:tcW w:w="0" w:type="dxa"/>
            <w:vAlign w:val="bottom"/>
          </w:tcPr>
          <w:p>
            <w:pPr>
              <w:spacing w:after="0"/>
              <w:rPr>
                <w:sz w:val="1"/>
                <w:szCs w:val="1"/>
                <w:color w:val="auto"/>
              </w:rPr>
            </w:pPr>
          </w:p>
        </w:tc>
      </w:tr>
      <w:tr>
        <w:trPr>
          <w:trHeight w:val="29"/>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6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income</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10,472</w:t>
            </w:r>
          </w:p>
        </w:tc>
        <w:tc>
          <w:tcPr>
            <w:tcW w:w="12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5,372</w:t>
            </w:r>
          </w:p>
        </w:tc>
        <w:tc>
          <w:tcPr>
            <w:tcW w:w="100" w:type="dxa"/>
            <w:vAlign w:val="bottom"/>
          </w:tcPr>
          <w:p>
            <w:pPr>
              <w:spacing w:after="0"/>
              <w:rPr>
                <w:sz w:val="20"/>
                <w:szCs w:val="20"/>
                <w:color w:val="auto"/>
              </w:rPr>
            </w:pPr>
          </w:p>
        </w:tc>
        <w:tc>
          <w:tcPr>
            <w:tcW w:w="3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13,776</w:t>
            </w:r>
          </w:p>
        </w:tc>
        <w:tc>
          <w:tcPr>
            <w:tcW w:w="120" w:type="dxa"/>
            <w:vAlign w:val="bottom"/>
          </w:tcPr>
          <w:p>
            <w:pPr>
              <w:spacing w:after="0"/>
              <w:rPr>
                <w:sz w:val="20"/>
                <w:szCs w:val="20"/>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2,108</w:t>
            </w:r>
          </w:p>
        </w:tc>
        <w:tc>
          <w:tcPr>
            <w:tcW w:w="0" w:type="dxa"/>
            <w:vAlign w:val="bottom"/>
          </w:tcPr>
          <w:p>
            <w:pPr>
              <w:spacing w:after="0"/>
              <w:rPr>
                <w:sz w:val="1"/>
                <w:szCs w:val="1"/>
                <w:color w:val="auto"/>
              </w:rPr>
            </w:pPr>
          </w:p>
        </w:tc>
      </w:tr>
      <w:tr>
        <w:trPr>
          <w:trHeight w:val="29"/>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Foreign currency translation adjustments,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0" w:type="dxa"/>
            <w:vAlign w:val="bottom"/>
          </w:tcPr>
          <w:p>
            <w:pPr>
              <w:spacing w:after="0"/>
              <w:rPr>
                <w:sz w:val="1"/>
                <w:szCs w:val="1"/>
                <w:color w:val="auto"/>
              </w:rPr>
            </w:pPr>
          </w:p>
        </w:tc>
      </w:tr>
      <w:tr>
        <w:trPr>
          <w:trHeight w:val="241"/>
        </w:trPr>
        <w:tc>
          <w:tcPr>
            <w:tcW w:w="56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Unrealized gain on investment, net of tax</w:t>
            </w:r>
          </w:p>
        </w:tc>
        <w:tc>
          <w:tcPr>
            <w:tcW w:w="32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3,915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3,159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5,325</w:t>
            </w:r>
          </w:p>
        </w:tc>
        <w:tc>
          <w:tcPr>
            <w:tcW w:w="0" w:type="dxa"/>
            <w:vAlign w:val="bottom"/>
          </w:tcPr>
          <w:p>
            <w:pPr>
              <w:spacing w:after="0"/>
              <w:rPr>
                <w:sz w:val="1"/>
                <w:szCs w:val="1"/>
                <w:color w:val="auto"/>
              </w:rPr>
            </w:pPr>
          </w:p>
        </w:tc>
      </w:tr>
      <w:tr>
        <w:trPr>
          <w:trHeight w:val="29"/>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Unrealized gain (loss) on cash flow hedging instruments,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615</w:t>
            </w:r>
          </w:p>
        </w:tc>
        <w:tc>
          <w:tcPr>
            <w:tcW w:w="0" w:type="dxa"/>
            <w:vAlign w:val="bottom"/>
          </w:tcPr>
          <w:p>
            <w:pPr>
              <w:spacing w:after="0"/>
              <w:rPr>
                <w:sz w:val="1"/>
                <w:szCs w:val="1"/>
                <w:color w:val="auto"/>
              </w:rPr>
            </w:pPr>
          </w:p>
        </w:tc>
      </w:tr>
      <w:tr>
        <w:trPr>
          <w:trHeight w:val="221"/>
        </w:trPr>
        <w:tc>
          <w:tcPr>
            <w:tcW w:w="56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2,944</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2,388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5,680</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5,020</w:t>
            </w:r>
          </w:p>
        </w:tc>
        <w:tc>
          <w:tcPr>
            <w:tcW w:w="0" w:type="dxa"/>
            <w:vAlign w:val="bottom"/>
          </w:tcPr>
          <w:p>
            <w:pPr>
              <w:spacing w:after="0"/>
              <w:rPr>
                <w:sz w:val="1"/>
                <w:szCs w:val="1"/>
                <w:color w:val="auto"/>
              </w:rPr>
            </w:pPr>
          </w:p>
        </w:tc>
      </w:tr>
      <w:tr>
        <w:trPr>
          <w:trHeight w:val="29"/>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Comprehensive income</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13,416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7,760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19,456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7,128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1" w:right="239" w:bottom="374"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374"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right="940"/>
        <w:spacing w:after="0" w:line="345" w:lineRule="auto"/>
        <w:rPr>
          <w:sz w:val="20"/>
          <w:szCs w:val="20"/>
          <w:color w:val="auto"/>
        </w:rPr>
      </w:pPr>
      <w:r>
        <w:rPr>
          <w:rFonts w:ascii="Times New Roman" w:cs="Times New Roman" w:eastAsia="Times New Roman" w:hAnsi="Times New Roman"/>
          <w:sz w:val="14"/>
          <w:szCs w:val="14"/>
          <w:b w:val="1"/>
          <w:bCs w:val="1"/>
          <w:color w:val="auto"/>
        </w:rPr>
        <w:t xml:space="preserve">Balance at March 31, 2019 </w:t>
      </w:r>
      <w:r>
        <w:rPr>
          <w:rFonts w:ascii="Times New Roman" w:cs="Times New Roman" w:eastAsia="Times New Roman" w:hAnsi="Times New Roman"/>
          <w:sz w:val="14"/>
          <w:szCs w:val="14"/>
          <w:color w:val="auto"/>
        </w:rPr>
        <w:t>Comprehensive income</w:t>
      </w:r>
    </w:p>
    <w:p>
      <w:pPr>
        <w:spacing w:after="0" w:line="12" w:lineRule="exact"/>
        <w:rPr>
          <w:sz w:val="20"/>
          <w:szCs w:val="20"/>
          <w:color w:val="auto"/>
        </w:rPr>
      </w:pPr>
    </w:p>
    <w:p>
      <w:pPr>
        <w:ind w:left="40" w:right="220"/>
        <w:spacing w:after="0" w:line="261" w:lineRule="auto"/>
        <w:rPr>
          <w:sz w:val="20"/>
          <w:szCs w:val="20"/>
          <w:color w:val="auto"/>
        </w:rPr>
      </w:pPr>
      <w:r>
        <w:rPr>
          <w:rFonts w:ascii="Times New Roman" w:cs="Times New Roman" w:eastAsia="Times New Roman" w:hAnsi="Times New Roman"/>
          <w:sz w:val="14"/>
          <w:szCs w:val="14"/>
          <w:color w:val="auto"/>
        </w:rPr>
        <w:t>Issuance of common stock in connection with:</w:t>
      </w:r>
    </w:p>
    <w:p>
      <w:pPr>
        <w:spacing w:after="0" w:line="1" w:lineRule="exact"/>
        <w:rPr>
          <w:sz w:val="20"/>
          <w:szCs w:val="20"/>
          <w:color w:val="auto"/>
        </w:rPr>
      </w:pPr>
    </w:p>
    <w:p>
      <w:pPr>
        <w:ind w:left="380" w:right="440"/>
        <w:spacing w:after="0" w:line="261" w:lineRule="auto"/>
        <w:rPr>
          <w:sz w:val="20"/>
          <w:szCs w:val="20"/>
          <w:color w:val="auto"/>
        </w:rPr>
      </w:pPr>
      <w:r>
        <w:rPr>
          <w:rFonts w:ascii="Times New Roman" w:cs="Times New Roman" w:eastAsia="Times New Roman" w:hAnsi="Times New Roman"/>
          <w:sz w:val="14"/>
          <w:szCs w:val="14"/>
          <w:color w:val="auto"/>
        </w:rPr>
        <w:t>Restricted stock awards, net of cancellations</w:t>
      </w:r>
    </w:p>
    <w:p>
      <w:pPr>
        <w:spacing w:after="0" w:line="1" w:lineRule="exact"/>
        <w:rPr>
          <w:sz w:val="20"/>
          <w:szCs w:val="20"/>
          <w:color w:val="auto"/>
        </w:rPr>
      </w:pPr>
    </w:p>
    <w:p>
      <w:pPr>
        <w:ind w:left="40" w:right="760" w:firstLine="351"/>
        <w:spacing w:after="0" w:line="402" w:lineRule="auto"/>
        <w:rPr>
          <w:sz w:val="20"/>
          <w:szCs w:val="20"/>
          <w:color w:val="auto"/>
        </w:rPr>
      </w:pPr>
      <w:r>
        <w:rPr>
          <w:rFonts w:ascii="Times New Roman" w:cs="Times New Roman" w:eastAsia="Times New Roman" w:hAnsi="Times New Roman"/>
          <w:sz w:val="14"/>
          <w:szCs w:val="14"/>
          <w:color w:val="auto"/>
        </w:rPr>
        <w:t>Exercise of stock options Share-based compensation</w:t>
      </w:r>
    </w:p>
    <w:p>
      <w:pPr>
        <w:spacing w:after="0" w:line="1" w:lineRule="exact"/>
        <w:rPr>
          <w:sz w:val="20"/>
          <w:szCs w:val="20"/>
          <w:color w:val="auto"/>
        </w:rPr>
      </w:pPr>
    </w:p>
    <w:p>
      <w:pPr>
        <w:ind w:left="40" w:right="580"/>
        <w:spacing w:after="0" w:line="260" w:lineRule="auto"/>
        <w:rPr>
          <w:sz w:val="20"/>
          <w:szCs w:val="20"/>
          <w:color w:val="auto"/>
        </w:rPr>
      </w:pPr>
      <w:r>
        <w:rPr>
          <w:rFonts w:ascii="Times New Roman" w:cs="Times New Roman" w:eastAsia="Times New Roman" w:hAnsi="Times New Roman"/>
          <w:sz w:val="14"/>
          <w:szCs w:val="14"/>
          <w:color w:val="auto"/>
        </w:rPr>
        <w:t>Shares redeemed for employee tax withholdings</w:t>
      </w: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June 30, 2019</w:t>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March 31, 2018</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Comprehensive income</w:t>
      </w:r>
    </w:p>
    <w:p>
      <w:pPr>
        <w:spacing w:after="0" w:line="42" w:lineRule="exact"/>
        <w:rPr>
          <w:sz w:val="20"/>
          <w:szCs w:val="20"/>
          <w:color w:val="auto"/>
        </w:rPr>
      </w:pPr>
    </w:p>
    <w:p>
      <w:pPr>
        <w:ind w:left="40" w:right="220"/>
        <w:spacing w:after="0" w:line="261" w:lineRule="auto"/>
        <w:rPr>
          <w:sz w:val="20"/>
          <w:szCs w:val="20"/>
          <w:color w:val="auto"/>
        </w:rPr>
      </w:pPr>
      <w:r>
        <w:rPr>
          <w:rFonts w:ascii="Times New Roman" w:cs="Times New Roman" w:eastAsia="Times New Roman" w:hAnsi="Times New Roman"/>
          <w:sz w:val="14"/>
          <w:szCs w:val="14"/>
          <w:color w:val="auto"/>
        </w:rPr>
        <w:t>Issuance of common stock in connection with:</w:t>
      </w:r>
    </w:p>
    <w:p>
      <w:pPr>
        <w:spacing w:after="0" w:line="1" w:lineRule="exact"/>
        <w:rPr>
          <w:sz w:val="20"/>
          <w:szCs w:val="20"/>
          <w:color w:val="auto"/>
        </w:rPr>
      </w:pPr>
    </w:p>
    <w:p>
      <w:pPr>
        <w:ind w:left="380" w:right="440"/>
        <w:spacing w:after="0" w:line="261" w:lineRule="auto"/>
        <w:rPr>
          <w:sz w:val="20"/>
          <w:szCs w:val="20"/>
          <w:color w:val="auto"/>
        </w:rPr>
      </w:pPr>
      <w:r>
        <w:rPr>
          <w:rFonts w:ascii="Times New Roman" w:cs="Times New Roman" w:eastAsia="Times New Roman" w:hAnsi="Times New Roman"/>
          <w:sz w:val="14"/>
          <w:szCs w:val="14"/>
          <w:color w:val="auto"/>
        </w:rPr>
        <w:t>Restricted stock awards, net of cancellations</w:t>
      </w:r>
    </w:p>
    <w:p>
      <w:pPr>
        <w:spacing w:after="0" w:line="1" w:lineRule="exact"/>
        <w:rPr>
          <w:sz w:val="20"/>
          <w:szCs w:val="20"/>
          <w:color w:val="auto"/>
        </w:rPr>
      </w:pPr>
    </w:p>
    <w:p>
      <w:pPr>
        <w:ind w:left="40" w:right="760" w:firstLine="351"/>
        <w:spacing w:after="0" w:line="402" w:lineRule="auto"/>
        <w:rPr>
          <w:sz w:val="20"/>
          <w:szCs w:val="20"/>
          <w:color w:val="auto"/>
        </w:rPr>
      </w:pPr>
      <w:r>
        <w:rPr>
          <w:rFonts w:ascii="Times New Roman" w:cs="Times New Roman" w:eastAsia="Times New Roman" w:hAnsi="Times New Roman"/>
          <w:sz w:val="14"/>
          <w:szCs w:val="14"/>
          <w:color w:val="auto"/>
        </w:rPr>
        <w:t>Exercise of stock options Share-based compensation</w:t>
      </w:r>
    </w:p>
    <w:p>
      <w:pPr>
        <w:spacing w:after="0" w:line="1" w:lineRule="exact"/>
        <w:rPr>
          <w:sz w:val="20"/>
          <w:szCs w:val="20"/>
          <w:color w:val="auto"/>
        </w:rPr>
      </w:pPr>
    </w:p>
    <w:p>
      <w:pPr>
        <w:ind w:left="40" w:right="580"/>
        <w:spacing w:after="0" w:line="260" w:lineRule="auto"/>
        <w:rPr>
          <w:sz w:val="20"/>
          <w:szCs w:val="20"/>
          <w:color w:val="auto"/>
        </w:rPr>
      </w:pPr>
      <w:r>
        <w:rPr>
          <w:rFonts w:ascii="Times New Roman" w:cs="Times New Roman" w:eastAsia="Times New Roman" w:hAnsi="Times New Roman"/>
          <w:sz w:val="14"/>
          <w:szCs w:val="14"/>
          <w:color w:val="auto"/>
        </w:rPr>
        <w:t>Shares redeemed for employee tax withholdings</w:t>
      </w: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right="720"/>
        <w:spacing w:after="0" w:line="345" w:lineRule="auto"/>
        <w:rPr>
          <w:sz w:val="20"/>
          <w:szCs w:val="20"/>
          <w:color w:val="auto"/>
        </w:rPr>
      </w:pPr>
      <w:r>
        <w:rPr>
          <w:rFonts w:ascii="Times New Roman" w:cs="Times New Roman" w:eastAsia="Times New Roman" w:hAnsi="Times New Roman"/>
          <w:sz w:val="14"/>
          <w:szCs w:val="14"/>
          <w:b w:val="1"/>
          <w:bCs w:val="1"/>
          <w:color w:val="auto"/>
        </w:rPr>
        <w:t xml:space="preserve">Balance at December 31, 2018 </w:t>
      </w:r>
      <w:r>
        <w:rPr>
          <w:rFonts w:ascii="Times New Roman" w:cs="Times New Roman" w:eastAsia="Times New Roman" w:hAnsi="Times New Roman"/>
          <w:sz w:val="14"/>
          <w:szCs w:val="14"/>
          <w:color w:val="auto"/>
        </w:rPr>
        <w:t>Comprehensive income</w:t>
      </w:r>
    </w:p>
    <w:p>
      <w:pPr>
        <w:spacing w:after="0" w:line="12" w:lineRule="exact"/>
        <w:rPr>
          <w:sz w:val="20"/>
          <w:szCs w:val="20"/>
          <w:color w:val="auto"/>
        </w:rPr>
      </w:pPr>
    </w:p>
    <w:p>
      <w:pPr>
        <w:ind w:left="40" w:right="220"/>
        <w:spacing w:after="0" w:line="261" w:lineRule="auto"/>
        <w:rPr>
          <w:sz w:val="20"/>
          <w:szCs w:val="20"/>
          <w:color w:val="auto"/>
        </w:rPr>
      </w:pPr>
      <w:r>
        <w:rPr>
          <w:rFonts w:ascii="Times New Roman" w:cs="Times New Roman" w:eastAsia="Times New Roman" w:hAnsi="Times New Roman"/>
          <w:sz w:val="14"/>
          <w:szCs w:val="14"/>
          <w:color w:val="auto"/>
        </w:rPr>
        <w:t>Issuance of common stock in connection with:</w:t>
      </w:r>
    </w:p>
    <w:p>
      <w:pPr>
        <w:spacing w:after="0" w:line="1" w:lineRule="exact"/>
        <w:rPr>
          <w:sz w:val="20"/>
          <w:szCs w:val="20"/>
          <w:color w:val="auto"/>
        </w:rPr>
      </w:pPr>
    </w:p>
    <w:p>
      <w:pPr>
        <w:ind w:left="380" w:right="440"/>
        <w:spacing w:after="0" w:line="261" w:lineRule="auto"/>
        <w:rPr>
          <w:sz w:val="20"/>
          <w:szCs w:val="20"/>
          <w:color w:val="auto"/>
        </w:rPr>
      </w:pPr>
      <w:r>
        <w:rPr>
          <w:rFonts w:ascii="Times New Roman" w:cs="Times New Roman" w:eastAsia="Times New Roman" w:hAnsi="Times New Roman"/>
          <w:sz w:val="14"/>
          <w:szCs w:val="14"/>
          <w:color w:val="auto"/>
        </w:rPr>
        <w:t>Restricted stock awards, net of cancellations</w:t>
      </w:r>
    </w:p>
    <w:p>
      <w:pPr>
        <w:spacing w:after="0" w:line="1" w:lineRule="exact"/>
        <w:rPr>
          <w:sz w:val="20"/>
          <w:szCs w:val="20"/>
          <w:color w:val="auto"/>
        </w:rPr>
      </w:pPr>
    </w:p>
    <w:p>
      <w:pPr>
        <w:ind w:left="40" w:right="760" w:firstLine="351"/>
        <w:spacing w:after="0" w:line="402" w:lineRule="auto"/>
        <w:rPr>
          <w:sz w:val="20"/>
          <w:szCs w:val="20"/>
          <w:color w:val="auto"/>
        </w:rPr>
      </w:pPr>
      <w:r>
        <w:rPr>
          <w:rFonts w:ascii="Times New Roman" w:cs="Times New Roman" w:eastAsia="Times New Roman" w:hAnsi="Times New Roman"/>
          <w:sz w:val="14"/>
          <w:szCs w:val="14"/>
          <w:color w:val="auto"/>
        </w:rPr>
        <w:t>Exercise of stock options Share-based compensation</w:t>
      </w:r>
    </w:p>
    <w:p>
      <w:pPr>
        <w:spacing w:after="0" w:line="1" w:lineRule="exact"/>
        <w:rPr>
          <w:sz w:val="20"/>
          <w:szCs w:val="20"/>
          <w:color w:val="auto"/>
        </w:rPr>
      </w:pPr>
    </w:p>
    <w:p>
      <w:pPr>
        <w:ind w:left="40" w:right="580"/>
        <w:spacing w:after="0" w:line="260" w:lineRule="auto"/>
        <w:rPr>
          <w:sz w:val="20"/>
          <w:szCs w:val="20"/>
          <w:color w:val="auto"/>
        </w:rPr>
      </w:pPr>
      <w:r>
        <w:rPr>
          <w:rFonts w:ascii="Times New Roman" w:cs="Times New Roman" w:eastAsia="Times New Roman" w:hAnsi="Times New Roman"/>
          <w:sz w:val="14"/>
          <w:szCs w:val="14"/>
          <w:color w:val="auto"/>
        </w:rPr>
        <w:t>Shares redeemed for employee tax withholdings</w:t>
      </w: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June 30, 2019</w:t>
      </w:r>
    </w:p>
    <w:p>
      <w:pPr>
        <w:spacing w:after="0" w:line="200" w:lineRule="exact"/>
        <w:rPr>
          <w:sz w:val="20"/>
          <w:szCs w:val="20"/>
          <w:color w:val="auto"/>
        </w:rPr>
      </w:pPr>
    </w:p>
    <w:p>
      <w:pPr>
        <w:spacing w:after="0" w:line="274" w:lineRule="exact"/>
        <w:rPr>
          <w:sz w:val="20"/>
          <w:szCs w:val="20"/>
          <w:color w:val="auto"/>
        </w:rPr>
      </w:pPr>
    </w:p>
    <w:p>
      <w:pPr>
        <w:ind w:left="40" w:right="720"/>
        <w:spacing w:after="0" w:line="345" w:lineRule="auto"/>
        <w:rPr>
          <w:sz w:val="20"/>
          <w:szCs w:val="20"/>
          <w:color w:val="auto"/>
        </w:rPr>
      </w:pPr>
      <w:r>
        <w:rPr>
          <w:rFonts w:ascii="Times New Roman" w:cs="Times New Roman" w:eastAsia="Times New Roman" w:hAnsi="Times New Roman"/>
          <w:sz w:val="14"/>
          <w:szCs w:val="14"/>
          <w:b w:val="1"/>
          <w:bCs w:val="1"/>
          <w:color w:val="auto"/>
        </w:rPr>
        <w:t xml:space="preserve">Balance at December 31, 2017 </w:t>
      </w:r>
      <w:r>
        <w:rPr>
          <w:rFonts w:ascii="Times New Roman" w:cs="Times New Roman" w:eastAsia="Times New Roman" w:hAnsi="Times New Roman"/>
          <w:sz w:val="14"/>
          <w:szCs w:val="14"/>
          <w:color w:val="auto"/>
        </w:rPr>
        <w:t>Comprehensive income</w:t>
      </w:r>
    </w:p>
    <w:p>
      <w:pPr>
        <w:spacing w:after="0" w:line="12" w:lineRule="exact"/>
        <w:rPr>
          <w:sz w:val="20"/>
          <w:szCs w:val="20"/>
          <w:color w:val="auto"/>
        </w:rPr>
      </w:pPr>
    </w:p>
    <w:p>
      <w:pPr>
        <w:ind w:left="40" w:right="220"/>
        <w:spacing w:after="0" w:line="261" w:lineRule="auto"/>
        <w:rPr>
          <w:sz w:val="20"/>
          <w:szCs w:val="20"/>
          <w:color w:val="auto"/>
        </w:rPr>
      </w:pPr>
      <w:r>
        <w:rPr>
          <w:rFonts w:ascii="Times New Roman" w:cs="Times New Roman" w:eastAsia="Times New Roman" w:hAnsi="Times New Roman"/>
          <w:sz w:val="14"/>
          <w:szCs w:val="14"/>
          <w:color w:val="auto"/>
        </w:rPr>
        <w:t>Issuance of common stock in connection with:</w:t>
      </w:r>
    </w:p>
    <w:p>
      <w:pPr>
        <w:spacing w:after="0" w:line="1" w:lineRule="exact"/>
        <w:rPr>
          <w:sz w:val="20"/>
          <w:szCs w:val="20"/>
          <w:color w:val="auto"/>
        </w:rPr>
      </w:pPr>
    </w:p>
    <w:p>
      <w:pPr>
        <w:ind w:left="380" w:right="440"/>
        <w:spacing w:after="0" w:line="261" w:lineRule="auto"/>
        <w:rPr>
          <w:sz w:val="20"/>
          <w:szCs w:val="20"/>
          <w:color w:val="auto"/>
        </w:rPr>
      </w:pPr>
      <w:r>
        <w:rPr>
          <w:rFonts w:ascii="Times New Roman" w:cs="Times New Roman" w:eastAsia="Times New Roman" w:hAnsi="Times New Roman"/>
          <w:sz w:val="14"/>
          <w:szCs w:val="14"/>
          <w:color w:val="auto"/>
        </w:rPr>
        <w:t>Restricted stock awards, net of cancellations</w:t>
      </w:r>
    </w:p>
    <w:p>
      <w:pPr>
        <w:spacing w:after="0" w:line="1" w:lineRule="exact"/>
        <w:rPr>
          <w:sz w:val="20"/>
          <w:szCs w:val="20"/>
          <w:color w:val="auto"/>
        </w:rPr>
      </w:pPr>
    </w:p>
    <w:p>
      <w:pPr>
        <w:ind w:left="40" w:right="760" w:firstLine="351"/>
        <w:spacing w:after="0" w:line="402" w:lineRule="auto"/>
        <w:rPr>
          <w:sz w:val="20"/>
          <w:szCs w:val="20"/>
          <w:color w:val="auto"/>
        </w:rPr>
      </w:pPr>
      <w:r>
        <w:rPr>
          <w:rFonts w:ascii="Times New Roman" w:cs="Times New Roman" w:eastAsia="Times New Roman" w:hAnsi="Times New Roman"/>
          <w:sz w:val="14"/>
          <w:szCs w:val="14"/>
          <w:color w:val="auto"/>
        </w:rPr>
        <w:t>Exercise of stock options Share-based compensation</w:t>
      </w:r>
    </w:p>
    <w:p>
      <w:pPr>
        <w:spacing w:after="0" w:line="1" w:lineRule="exact"/>
        <w:rPr>
          <w:sz w:val="20"/>
          <w:szCs w:val="20"/>
          <w:color w:val="auto"/>
        </w:rPr>
      </w:pPr>
    </w:p>
    <w:p>
      <w:pPr>
        <w:ind w:left="40" w:right="580"/>
        <w:spacing w:after="0" w:line="261" w:lineRule="auto"/>
        <w:rPr>
          <w:sz w:val="20"/>
          <w:szCs w:val="20"/>
          <w:color w:val="auto"/>
        </w:rPr>
      </w:pPr>
      <w:r>
        <w:rPr>
          <w:rFonts w:ascii="Times New Roman" w:cs="Times New Roman" w:eastAsia="Times New Roman" w:hAnsi="Times New Roman"/>
          <w:sz w:val="14"/>
          <w:szCs w:val="14"/>
          <w:color w:val="auto"/>
        </w:rPr>
        <w:t>Shares redeemed for employee tax withholdings</w:t>
      </w:r>
    </w:p>
    <w:p>
      <w:pPr>
        <w:spacing w:after="0" w:line="1" w:lineRule="exact"/>
        <w:rPr>
          <w:sz w:val="20"/>
          <w:szCs w:val="20"/>
          <w:color w:val="auto"/>
        </w:rPr>
      </w:pPr>
    </w:p>
    <w:p>
      <w:pPr>
        <w:ind w:left="40"/>
        <w:spacing w:after="0" w:line="260" w:lineRule="auto"/>
        <w:rPr>
          <w:sz w:val="20"/>
          <w:szCs w:val="20"/>
          <w:color w:val="auto"/>
        </w:rPr>
      </w:pPr>
      <w:r>
        <w:rPr>
          <w:rFonts w:ascii="Times New Roman" w:cs="Times New Roman" w:eastAsia="Times New Roman" w:hAnsi="Times New Roman"/>
          <w:sz w:val="14"/>
          <w:szCs w:val="14"/>
          <w:color w:val="auto"/>
        </w:rPr>
        <w:t>Cumulative-effect adjustment from adoption of ASC 606</w:t>
      </w: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June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400" w:right="2620"/>
        <w:spacing w:after="0" w:line="265" w:lineRule="auto"/>
        <w:rPr>
          <w:sz w:val="20"/>
          <w:szCs w:val="20"/>
          <w:color w:val="auto"/>
        </w:rPr>
      </w:pPr>
      <w:r>
        <w:rPr>
          <w:rFonts w:ascii="Times New Roman" w:cs="Times New Roman" w:eastAsia="Times New Roman" w:hAnsi="Times New Roman"/>
          <w:sz w:val="18"/>
          <w:szCs w:val="18"/>
          <w:b w:val="1"/>
          <w:bCs w:val="1"/>
          <w:color w:val="auto"/>
        </w:rPr>
        <w:t>HURON CONSULTING GROUP INC. CONSOLIDATED STATEMENTS OF STOCKHOLDERS’ EQUITY (In thousands, except share amounts) (Unaudited)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5574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4"/>
                <w:szCs w:val="4"/>
                <w:color w:val="auto"/>
              </w:rPr>
            </w:pPr>
          </w:p>
        </w:tc>
        <w:tc>
          <w:tcPr>
            <w:tcW w:w="1000" w:type="dxa"/>
            <w:vAlign w:val="bottom"/>
            <w:vMerge w:val="restart"/>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60" w:type="dxa"/>
            <w:vAlign w:val="bottom"/>
            <w:gridSpan w:val="2"/>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5"/>
        </w:trPr>
        <w:tc>
          <w:tcPr>
            <w:tcW w:w="9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24,682,802</w:t>
            </w:r>
          </w:p>
        </w:tc>
        <w:tc>
          <w:tcPr>
            <w:tcW w:w="120" w:type="dxa"/>
            <w:vAlign w:val="bottom"/>
          </w:tcPr>
          <w:p>
            <w:pPr>
              <w:spacing w:after="0"/>
              <w:rPr>
                <w:sz w:val="21"/>
                <w:szCs w:val="21"/>
                <w:color w:val="auto"/>
              </w:rPr>
            </w:pPr>
          </w:p>
        </w:tc>
        <w:tc>
          <w:tcPr>
            <w:tcW w:w="50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(2,738,850)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(126,983)</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457,748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199,410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19,231</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549,653</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13,416</w:t>
            </w:r>
          </w:p>
        </w:tc>
        <w:tc>
          <w:tcPr>
            <w:tcW w:w="0" w:type="dxa"/>
            <w:vAlign w:val="bottom"/>
          </w:tcPr>
          <w:p>
            <w:pPr>
              <w:spacing w:after="0"/>
              <w:rPr>
                <w:sz w:val="1"/>
                <w:szCs w:val="1"/>
                <w:color w:val="auto"/>
              </w:rPr>
            </w:pPr>
          </w:p>
        </w:tc>
      </w:tr>
      <w:tr>
        <w:trPr>
          <w:trHeight w:val="702"/>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18,391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(2,438)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5,133</w:t>
            </w:r>
          </w:p>
        </w:tc>
        <w:tc>
          <w:tcPr>
            <w:tcW w:w="0" w:type="dxa"/>
            <w:vAlign w:val="bottom"/>
          </w:tcPr>
          <w:p>
            <w:pPr>
              <w:spacing w:after="0"/>
              <w:rPr>
                <w:sz w:val="1"/>
                <w:szCs w:val="1"/>
                <w:color w:val="auto"/>
              </w:rPr>
            </w:pPr>
          </w:p>
        </w:tc>
      </w:tr>
      <w:tr>
        <w:trPr>
          <w:trHeight w:val="356"/>
        </w:trPr>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(1,538)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37"/>
        </w:trPr>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24,711,193</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(2,742,826)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(127,133)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463,190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209,882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22,175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568,361</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24,307,368</w:t>
            </w:r>
          </w:p>
        </w:tc>
        <w:tc>
          <w:tcPr>
            <w:tcW w:w="120" w:type="dxa"/>
            <w:vAlign w:val="bottom"/>
          </w:tcPr>
          <w:p>
            <w:pPr>
              <w:spacing w:after="0"/>
              <w:rPr>
                <w:sz w:val="24"/>
                <w:szCs w:val="24"/>
                <w:color w:val="auto"/>
              </w:rPr>
            </w:pPr>
          </w:p>
        </w:tc>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(2,632,790)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(123,235)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438,325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179,135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13,002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507,470</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7,760</w:t>
            </w:r>
          </w:p>
        </w:tc>
        <w:tc>
          <w:tcPr>
            <w:tcW w:w="0" w:type="dxa"/>
            <w:vAlign w:val="bottom"/>
          </w:tcPr>
          <w:p>
            <w:pPr>
              <w:spacing w:after="0"/>
              <w:rPr>
                <w:sz w:val="1"/>
                <w:szCs w:val="1"/>
                <w:color w:val="auto"/>
              </w:rPr>
            </w:pPr>
          </w:p>
        </w:tc>
      </w:tr>
      <w:tr>
        <w:trPr>
          <w:trHeight w:val="702"/>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7,934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3,310</w:t>
            </w:r>
          </w:p>
        </w:tc>
        <w:tc>
          <w:tcPr>
            <w:tcW w:w="0" w:type="dxa"/>
            <w:vAlign w:val="bottom"/>
          </w:tcPr>
          <w:p>
            <w:pPr>
              <w:spacing w:after="0"/>
              <w:rPr>
                <w:sz w:val="1"/>
                <w:szCs w:val="1"/>
                <w:color w:val="auto"/>
              </w:rPr>
            </w:pPr>
          </w:p>
        </w:tc>
      </w:tr>
      <w:tr>
        <w:trPr>
          <w:trHeight w:val="356"/>
        </w:trPr>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(883)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37"/>
        </w:trPr>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24,325,302</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(2,633,755)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(123,215)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441,813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184,507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15,390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518,739</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5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4"/>
                <w:szCs w:val="4"/>
                <w:color w:val="auto"/>
              </w:rPr>
            </w:pPr>
          </w:p>
        </w:tc>
        <w:tc>
          <w:tcPr>
            <w:tcW w:w="132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4"/>
                <w:szCs w:val="4"/>
                <w:color w:val="auto"/>
              </w:rPr>
            </w:pPr>
          </w:p>
        </w:tc>
        <w:tc>
          <w:tcPr>
            <w:tcW w:w="1000" w:type="dxa"/>
            <w:vAlign w:val="bottom"/>
            <w:vMerge w:val="restart"/>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060" w:type="dxa"/>
            <w:vAlign w:val="bottom"/>
            <w:gridSpan w:val="2"/>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10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5"/>
        </w:trPr>
        <w:tc>
          <w:tcPr>
            <w:tcW w:w="9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24,418,252</w:t>
            </w:r>
          </w:p>
        </w:tc>
        <w:tc>
          <w:tcPr>
            <w:tcW w:w="120" w:type="dxa"/>
            <w:vAlign w:val="bottom"/>
          </w:tcPr>
          <w:p>
            <w:pPr>
              <w:spacing w:after="0"/>
              <w:rPr>
                <w:sz w:val="21"/>
                <w:szCs w:val="21"/>
                <w:color w:val="auto"/>
              </w:rPr>
            </w:pPr>
          </w:p>
        </w:tc>
        <w:tc>
          <w:tcPr>
            <w:tcW w:w="50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Pr>
          <w:p>
            <w:pPr>
              <w:spacing w:after="0"/>
              <w:rPr>
                <w:sz w:val="21"/>
                <w:szCs w:val="21"/>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(2,671,962)</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(124,794)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452,573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196,106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16,495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540,624</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5,680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19,456</w:t>
            </w:r>
          </w:p>
        </w:tc>
        <w:tc>
          <w:tcPr>
            <w:tcW w:w="0" w:type="dxa"/>
            <w:vAlign w:val="bottom"/>
          </w:tcPr>
          <w:p>
            <w:pPr>
              <w:spacing w:after="0"/>
              <w:rPr>
                <w:sz w:val="1"/>
                <w:szCs w:val="1"/>
                <w:color w:val="auto"/>
              </w:rPr>
            </w:pPr>
          </w:p>
        </w:tc>
      </w:tr>
      <w:tr>
        <w:trPr>
          <w:trHeight w:val="702"/>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272,941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25,174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12,273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12,273</w:t>
            </w:r>
          </w:p>
        </w:tc>
        <w:tc>
          <w:tcPr>
            <w:tcW w:w="0" w:type="dxa"/>
            <w:vAlign w:val="bottom"/>
          </w:tcPr>
          <w:p>
            <w:pPr>
              <w:spacing w:after="0"/>
              <w:rPr>
                <w:sz w:val="1"/>
                <w:szCs w:val="1"/>
                <w:color w:val="auto"/>
              </w:rPr>
            </w:pPr>
          </w:p>
        </w:tc>
      </w:tr>
      <w:tr>
        <w:trPr>
          <w:trHeight w:val="356"/>
        </w:trPr>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(96,038)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(4,460)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0" w:type="dxa"/>
            <w:vAlign w:val="bottom"/>
          </w:tcPr>
          <w:p>
            <w:pPr>
              <w:spacing w:after="0"/>
              <w:rPr>
                <w:sz w:val="1"/>
                <w:szCs w:val="1"/>
                <w:color w:val="auto"/>
              </w:rPr>
            </w:pPr>
          </w:p>
        </w:tc>
      </w:tr>
      <w:tr>
        <w:trPr>
          <w:trHeight w:val="237"/>
        </w:trPr>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24,711,193</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(2,742,826)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(127,133)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463,190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209,882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22,175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568,361</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24,098,822</w:t>
            </w:r>
          </w:p>
        </w:tc>
        <w:tc>
          <w:tcPr>
            <w:tcW w:w="120" w:type="dxa"/>
            <w:vAlign w:val="bottom"/>
          </w:tcPr>
          <w:p>
            <w:pPr>
              <w:spacing w:after="0"/>
              <w:rPr>
                <w:sz w:val="24"/>
                <w:szCs w:val="24"/>
                <w:color w:val="auto"/>
              </w:rPr>
            </w:pPr>
          </w:p>
        </w:tc>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(2,591,135)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(121,994)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434,256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180,443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10,370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503,316</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7,128</w:t>
            </w:r>
          </w:p>
        </w:tc>
        <w:tc>
          <w:tcPr>
            <w:tcW w:w="0" w:type="dxa"/>
            <w:vAlign w:val="bottom"/>
          </w:tcPr>
          <w:p>
            <w:pPr>
              <w:spacing w:after="0"/>
              <w:rPr>
                <w:sz w:val="1"/>
                <w:szCs w:val="1"/>
                <w:color w:val="auto"/>
              </w:rPr>
            </w:pPr>
          </w:p>
        </w:tc>
      </w:tr>
      <w:tr>
        <w:trPr>
          <w:trHeight w:val="702"/>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206,480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34,095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8,590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8,590</w:t>
            </w:r>
          </w:p>
        </w:tc>
        <w:tc>
          <w:tcPr>
            <w:tcW w:w="0" w:type="dxa"/>
            <w:vAlign w:val="bottom"/>
          </w:tcPr>
          <w:p>
            <w:pPr>
              <w:spacing w:after="0"/>
              <w:rPr>
                <w:sz w:val="1"/>
                <w:szCs w:val="1"/>
                <w:color w:val="auto"/>
              </w:rPr>
            </w:pPr>
          </w:p>
        </w:tc>
      </w:tr>
      <w:tr>
        <w:trPr>
          <w:trHeight w:val="351"/>
        </w:trPr>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(76,715)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0" w:type="dxa"/>
            <w:vAlign w:val="bottom"/>
          </w:tcPr>
          <w:p>
            <w:pPr>
              <w:spacing w:after="0"/>
              <w:rPr>
                <w:sz w:val="1"/>
                <w:szCs w:val="1"/>
                <w:color w:val="auto"/>
              </w:rPr>
            </w:pPr>
          </w:p>
        </w:tc>
      </w:tr>
      <w:tr>
        <w:trPr>
          <w:trHeight w:val="356"/>
        </w:trPr>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1,956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1,956</w:t>
            </w:r>
          </w:p>
        </w:tc>
        <w:tc>
          <w:tcPr>
            <w:tcW w:w="0" w:type="dxa"/>
            <w:vAlign w:val="bottom"/>
          </w:tcPr>
          <w:p>
            <w:pPr>
              <w:spacing w:after="0"/>
              <w:rPr>
                <w:sz w:val="1"/>
                <w:szCs w:val="1"/>
                <w:color w:val="auto"/>
              </w:rPr>
            </w:pPr>
          </w:p>
        </w:tc>
      </w:tr>
      <w:tr>
        <w:trPr>
          <w:trHeight w:val="237"/>
        </w:trPr>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24,325,302</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(2,633,755)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(123,215)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441,813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184,507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15,390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518,739</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-7357110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-7014210</wp:posOffset>
            </wp:positionV>
            <wp:extent cx="724662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-6568440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-6225540</wp:posOffset>
            </wp:positionV>
            <wp:extent cx="724662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-5470525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-5076190</wp:posOffset>
            </wp:positionV>
            <wp:extent cx="72466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-4681855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-4287520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-3481070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-3138170</wp:posOffset>
            </wp:positionV>
            <wp:extent cx="72466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-2692400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-2348865</wp:posOffset>
            </wp:positionV>
            <wp:extent cx="724662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-1594485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-1200150</wp:posOffset>
            </wp:positionV>
            <wp:extent cx="724662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-805180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-410845</wp:posOffset>
            </wp:positionV>
            <wp:extent cx="724662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2600" w:space="40"/>
            <w:col w:w="8780"/>
          </w:cols>
          <w:pgMar w:left="240" w:top="121" w:right="239" w:bottom="738"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ectPr>
          <w:pgSz w:w="11900" w:h="16838" w:orient="portrait"/>
          <w:cols w:equalWidth="0" w:num="1">
            <w:col w:w="11420"/>
          </w:cols>
          <w:pgMar w:left="240" w:top="121" w:right="239" w:bottom="738" w:gutter="0" w:footer="0" w:header="0"/>
          <w:type w:val="continuous"/>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738"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13,776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20,394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Lease impairment charge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9,117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5,155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Allowances for doubtful accounts and unbilled services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on sale of business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5,831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 in fair value of contingent consideration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 and divestiture: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receivables from clients,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unbilled services,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current income tax receivable / payable,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accounts payable and other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accrued payroll and related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(4,736)</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deferred revenues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6,913</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life insurance policies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businesses,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Capitalization of internally developed software costs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note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Divestiture of business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(10,006)</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redeemed for employee tax withholdings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borrowings under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139,300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Repayments of debt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(134,049)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 of contingent consideration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(4,906)</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the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33,107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16,909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10,452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Property and equipment expenditures and capitalized software included in accounts payable and accrued expenses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Contingent consideration related to business acquisition</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33"/>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1" w:right="239" w:bottom="833"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833"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Huron is a global consultancy that helps clients drive growth, enhance performance and sustain leadership in the markets they serve. We partner with clients to develop strategies and implement solutions that enable the transformative change our clients need to own their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Significant Accounting Policies</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reflect the financial position, results of operations, and cash flows as of and for the three and six months ended June 30, 2019 and 2018.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for the year ended December 31, 2018 included in our Annual Report on Form 10-K and our Quarterly Report on Form 10-Q for the period ended March 31, 2019. Our results for any interim period are not necessarily indicative of results for a full year or any other interim period.</w:t>
      </w:r>
    </w:p>
    <w:p>
      <w:pPr>
        <w:spacing w:after="0" w:line="13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On January 1, 2019, we adopted Accounting Standard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Below is an update to our lease accounting policy as a result of the adoption. Refer to Note 3 "New Accounting Pronouncements" for additional information on the adoption of ASU 2016-02.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determine if an arrangement contains a lease and the classification of such lease at inception. As of June 30, 2019, all of our material leases are classified as operating leases; we have not entered into any material finance leases. For all operating leases with an initial term greater than 12 months, we recognize an operating lease right-of-use ("ROU") asset and operating lease liability. Leases with an initial term of 12 months or less are not recorded on the balance sheet; we recognize lease expense for these leases on a straight-line basis over the lease term.</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lease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As our leases do not provide an implicit rate, we use our incremental borrowing rate based on the information available at the lease commencement date and provided by the administrative agent for our senior secured credit facility, in determining the present value of lease payments. Operating lease ROU assets exclude lease incentives.</w:t>
      </w:r>
    </w:p>
    <w:p>
      <w:pPr>
        <w:spacing w:after="0" w:line="13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lease agreements contain variable lease payments that do not depend on an index or rate. These variable lease payments are not included in the calculation of the operating lease ROU asset and operating lease liability; instead, they are expensed as incurred. Certain lease agreements contain lease and nonlease components, which are accounted for separately. We separate the contract consideration between lease and nonlease components based on the relative standalone price of each component. Our leases may contain options to extend or terminate the lease, and we include these terms in our calculation of the operating lease ROU asset and operating lease liability when it is reasonably certain that we will exercise the option.</w:t>
      </w:r>
    </w:p>
    <w:p>
      <w:pPr>
        <w:spacing w:after="0" w:line="13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lease expense is recognized on a straight-line basis over the lease term and recorded within selling, general and administrative expenses on our consolidated statement of operations. In accordance with our accounting policy for impairment of long-lived assets, operating lease ROU assets are reviewed for impairment whenever events or changes in circumstances indicate that the carrying amount of the asset group to which the operating lease ROU asset is assigned may not be recoverable. We evaluate the recoverability of the asset group based on forecasted undiscounted cash flows. See Note 5 "Leases" for additional information on our leases, including the lease impairment charges recorded in the first six months of 2019.</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New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w:t>
      </w:r>
    </w:p>
    <w:p>
      <w:pPr>
        <w:spacing w:after="0" w:line="173"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 a new Topic, ASC 842, which superseded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sets forth the principles for the recognition, measurement, presentation, and disclosure of leases for both lessees and lessors. ASU 2016-02 requires lessees to classify leases as either finance or operating leases and to record on the balance</w:t>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sheet a right-of-use asset and a lease liability, equal to the present value of the remaining lease payments, for all leases with a term greater than 12 months regardless of the lease classification. The lease classification will determine whether the lease expense is recognized using an effective interest rate method or on a straight-line basis over the term of the lease. In July 2018, the FASB issued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provides an optional transition method that allows entities to initially apply ASC 842 at the adoption date and recognize a cumulative-effect adjustment to the opening balance of retained earnings on the adoption date. We adopted ASC 842 effective January 1, 2019 on a modified retrospective basis for existing leases using the transition method allowed by ASU 2018-11, which had no impact on our consolidated financial statements in the prior periods presented. The new lease standard had a material impact on our consolidated balance sheet upon adoption but did not impact our consolidated statement of operations. The most significant impact to our consolidated balance sheet is the recognition of ROU assets and lease liabilities for operating leases. The impact of the new lease standard on our consolidated balance sheet upon adoption follows:</w:t>
      </w: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30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ASC 842</w:t>
            </w:r>
          </w:p>
        </w:tc>
        <w:tc>
          <w:tcPr>
            <w:tcW w:w="240" w:type="dxa"/>
            <w:vAlign w:val="bottom"/>
          </w:tcPr>
          <w:p>
            <w:pPr>
              <w:spacing w:after="0"/>
              <w:rPr>
                <w:sz w:val="18"/>
                <w:szCs w:val="18"/>
                <w:color w:val="auto"/>
              </w:rPr>
            </w:pPr>
          </w:p>
        </w:tc>
        <w:tc>
          <w:tcPr>
            <w:tcW w:w="17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December 31, 2018</w:t>
            </w:r>
          </w:p>
        </w:tc>
        <w:tc>
          <w:tcPr>
            <w:tcW w:w="300" w:type="dxa"/>
            <w:vAlign w:val="bottom"/>
          </w:tcPr>
          <w:p>
            <w:pPr>
              <w:spacing w:after="0"/>
              <w:rPr>
                <w:sz w:val="20"/>
                <w:szCs w:val="20"/>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40" w:type="dxa"/>
            <w:vAlign w:val="bottom"/>
          </w:tcPr>
          <w:p>
            <w:pPr>
              <w:spacing w:after="0"/>
              <w:rPr>
                <w:sz w:val="20"/>
                <w:szCs w:val="20"/>
                <w:color w:val="auto"/>
              </w:rPr>
            </w:pPr>
          </w:p>
        </w:tc>
        <w:tc>
          <w:tcPr>
            <w:tcW w:w="17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January 1, 2019</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56,463</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14,650</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10,537</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and other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20,339</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lease incentives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62,712</w:t>
            </w:r>
          </w:p>
        </w:tc>
      </w:tr>
      <w:tr>
        <w:trPr>
          <w:trHeight w:val="27"/>
        </w:trPr>
        <w:tc>
          <w:tcPr>
            <w:tcW w:w="5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 Yet Adopted</w:t>
      </w:r>
    </w:p>
    <w:p>
      <w:pPr>
        <w:spacing w:after="0" w:line="17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 - Changes to the Disclosure Requirements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Fair Value Measurement, </w:t>
      </w:r>
      <w:r>
        <w:rPr>
          <w:rFonts w:ascii="Times New Roman" w:cs="Times New Roman" w:eastAsia="Times New Roman" w:hAnsi="Times New Roman"/>
          <w:sz w:val="18"/>
          <w:szCs w:val="18"/>
          <w:color w:val="auto"/>
        </w:rPr>
        <w:t>which modifies certain disclosure requirements related to fair value measurements. ASU 2018-13 will be effective for us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 2020, with early adoption permitted. We do not expect this guidance to have an impact on the amounts reported on our consolidated financial statements, and we are currently evaluating the potential impact this guidance will have on our disclosures within the notes to our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changes in the carrying amount of goodwill by reportable segment for the six months ended June 30, 2019.</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Advisory</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636,810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301,700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102,829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1,041,339</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(396,076)</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Goodwill, net as of December 31, 2018</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428,729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113,705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102,829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645,263</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Goodwill, net as of June 30, 2019</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428,729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113,708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102,829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645,266</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as of June 30, 2019 and December 31, 2018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As of June 30, 2019</w:t>
            </w:r>
          </w:p>
        </w:tc>
        <w:tc>
          <w:tcPr>
            <w:tcW w:w="260" w:type="dxa"/>
            <w:vAlign w:val="bottom"/>
          </w:tcPr>
          <w:p>
            <w:pPr>
              <w:spacing w:after="0"/>
              <w:rPr>
                <w:sz w:val="20"/>
                <w:szCs w:val="20"/>
                <w:color w:val="auto"/>
              </w:rPr>
            </w:pPr>
          </w:p>
        </w:tc>
        <w:tc>
          <w:tcPr>
            <w:tcW w:w="28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As of December 31, 2018</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4"/>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38"/>
        </w:trPr>
        <w:tc>
          <w:tcPr>
            <w:tcW w:w="390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7"/>
        </w:trPr>
        <w:tc>
          <w:tcPr>
            <w:tcW w:w="39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4 to 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60,462</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5 to 6</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23,181</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 and software</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3 to 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2,842</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to 5</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2,241</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Favorable lease contract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r>
      <w:tr>
        <w:trPr>
          <w:trHeight w:val="237"/>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129,132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90,095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137,229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89,372</w:t>
            </w:r>
          </w:p>
        </w:tc>
      </w:tr>
      <w:tr>
        <w:trPr>
          <w:trHeight w:val="27"/>
        </w:trPr>
        <w:tc>
          <w:tcPr>
            <w:tcW w:w="3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Identifiable intangible assets with finite lives are amortized over their estimated useful lives. Customer relationships,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Intangible asset amortization expense was $4.3 million and $6.0 million for the three months ended June 30, 2019 and 2018, respectively; and $8.8 million and $12.3 million for the six months ended June 30, 2019 and 2018, respectively. The table below sets forth the estimated annual amortization expense for the year ending December 31, 2019 and each of the five succeeding years for the intangible assets recorded as of June 30,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Estimated Amortization</w:t>
            </w:r>
          </w:p>
        </w:tc>
      </w:tr>
      <w:tr>
        <w:trPr>
          <w:trHeight w:val="238"/>
        </w:trPr>
        <w:tc>
          <w:tcPr>
            <w:tcW w:w="9020" w:type="dxa"/>
            <w:vAlign w:val="bottom"/>
            <w:gridSpan w:val="2"/>
          </w:tcPr>
          <w:p>
            <w:pPr>
              <w:ind w:left="344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00" w:type="dxa"/>
            <w:vAlign w:val="bottom"/>
          </w:tcPr>
          <w:p>
            <w:pPr>
              <w:spacing w:after="0"/>
              <w:rPr>
                <w:sz w:val="20"/>
                <w:szCs w:val="20"/>
                <w:color w:val="auto"/>
              </w:rPr>
            </w:pPr>
          </w:p>
        </w:tc>
        <w:tc>
          <w:tcPr>
            <w:tcW w:w="2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17,206</w:t>
            </w:r>
          </w:p>
        </w:tc>
      </w:tr>
      <w:tr>
        <w:trPr>
          <w:trHeight w:val="243"/>
        </w:trPr>
        <w:tc>
          <w:tcPr>
            <w:tcW w:w="8920" w:type="dxa"/>
            <w:vAlign w:val="bottom"/>
          </w:tcPr>
          <w:p>
            <w:pPr>
              <w:jc w:val="right"/>
              <w:ind w:right="843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12,083</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8,064</w:t>
            </w:r>
          </w:p>
        </w:tc>
      </w:tr>
      <w:tr>
        <w:trPr>
          <w:trHeight w:val="243"/>
        </w:trPr>
        <w:tc>
          <w:tcPr>
            <w:tcW w:w="8920" w:type="dxa"/>
            <w:vAlign w:val="bottom"/>
          </w:tcPr>
          <w:p>
            <w:pPr>
              <w:jc w:val="right"/>
              <w:ind w:right="84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6,090</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3,512</w:t>
            </w:r>
          </w:p>
        </w:tc>
      </w:tr>
      <w:tr>
        <w:trPr>
          <w:trHeight w:val="243"/>
        </w:trPr>
        <w:tc>
          <w:tcPr>
            <w:tcW w:w="8920" w:type="dxa"/>
            <w:vAlign w:val="bottom"/>
          </w:tcPr>
          <w:p>
            <w:pPr>
              <w:jc w:val="right"/>
              <w:ind w:right="8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741</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future amortization expense could differ from these estimated amounts as a result of future acquisitions, dispositions, and other factors.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lease office space, data centers and certain equipment under operating leases expiring on various dates through 2028, with various renewal options that can extend the lease terms by one to ten years. Our operating leases include fixed payments plus, in some cases, scheduled base rent increases over the term of the lease. Certain leases require variable payments of real estate taxes and insurance. We exclude these variable payments from the measurements of our lease liabilities and expense them as incurred. Additionally, certain leases require payments for operating expenses applicable to the property. We account for these nonlease components separately from the lease components. No lease agreements contain any residual value guarantees or material restrictive covenants. As of June 30, 2019, we have not entered into any material finance leases. We sublease certain office spaces to third parties resulting from restructuring activities in certain locations.</w:t>
      </w:r>
    </w:p>
    <w:p>
      <w:pPr>
        <w:spacing w:after="0" w:line="2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Operating lease right-of-use ("ROU") assets are reviewed for impairment whenever events or changes in circumstances indicate that the carrying amount of the asset group to which the operating lease ROU asset is assigned may not be recoverable. First, we test the asset group for recoverability by comparing the undiscounted cash flows of the asset group, which include expected future lease and nonlease payments under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 and discount rate. During the first six</w:t>
      </w:r>
    </w:p>
    <w:p>
      <w:pPr>
        <w:sectPr>
          <w:pgSz w:w="11900" w:h="16838" w:orient="portrait"/>
          <w:cols w:equalWidth="0" w:num="1">
            <w:col w:w="11420"/>
          </w:cols>
          <w:pgMar w:left="240" w:top="121"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months of 2019, we recorded $0.8 million of lease impairment charges for office spaces vacated in the first six months of 2019, of which $0.6 million was allocated to the operating lease ROU assets and $0.2 million was allocated to the leasehold improvements based on their relative carrying amounts. The $0.8 million lease impairment charge was recognized in restructuring charges on our consolidated statement of operations. See Note 9 "Restructuring Charges" for additional information on our restructuring activities.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information on our operating leases as of June 30, 2019 follows.</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78"/>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340" w:type="dxa"/>
            <w:vAlign w:val="bottom"/>
          </w:tcPr>
          <w:p>
            <w:pPr>
              <w:spacing w:after="0"/>
              <w:rPr>
                <w:sz w:val="24"/>
                <w:szCs w:val="24"/>
                <w:color w:val="auto"/>
              </w:rPr>
            </w:pP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2019</w:t>
            </w:r>
          </w:p>
        </w:tc>
      </w:tr>
      <w:tr>
        <w:trPr>
          <w:trHeight w:val="27"/>
        </w:trPr>
        <w:tc>
          <w:tcPr>
            <w:tcW w:w="9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55,045</w:t>
            </w:r>
          </w:p>
        </w:tc>
      </w:tr>
      <w:tr>
        <w:trPr>
          <w:trHeight w:val="324"/>
        </w:trPr>
        <w:tc>
          <w:tcPr>
            <w:tcW w:w="9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10,536</w:t>
            </w:r>
          </w:p>
        </w:tc>
      </w:tr>
      <w:tr>
        <w:trPr>
          <w:trHeight w:val="243"/>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62,130</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72,666</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18"/>
                <w:szCs w:val="18"/>
                <w:color w:val="auto"/>
              </w:rPr>
            </w:pPr>
          </w:p>
        </w:tc>
        <w:tc>
          <w:tcPr>
            <w:tcW w:w="1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8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40" w:type="dxa"/>
            <w:vAlign w:val="bottom"/>
          </w:tcPr>
          <w:p>
            <w:pPr>
              <w:spacing w:after="0"/>
              <w:rPr>
                <w:sz w:val="20"/>
                <w:szCs w:val="20"/>
                <w:color w:val="auto"/>
              </w:rPr>
            </w:pPr>
          </w:p>
        </w:tc>
        <w:tc>
          <w:tcPr>
            <w:tcW w:w="19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2019</w:t>
            </w: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6,055</w:t>
            </w:r>
          </w:p>
        </w:tc>
      </w:tr>
      <w:tr>
        <w:trPr>
          <w:trHeight w:val="270"/>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Short-term leases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Variable lease costs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r>
      <w:tr>
        <w:trPr>
          <w:trHeight w:val="24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Sublease income</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70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Net lease cost </w:t>
            </w:r>
            <w:r>
              <w:rPr>
                <w:rFonts w:ascii="Times New Roman" w:cs="Times New Roman" w:eastAsia="Times New Roman" w:hAnsi="Times New Roman"/>
                <w:sz w:val="21"/>
                <w:szCs w:val="21"/>
                <w:b w:val="1"/>
                <w:bCs w:val="1"/>
                <w:color w:val="auto"/>
                <w:vertAlign w:val="superscript"/>
              </w:rPr>
              <w:t>(2)(3)(4)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5,670</w:t>
            </w:r>
          </w:p>
        </w:tc>
      </w:tr>
      <w:tr>
        <w:trPr>
          <w:trHeight w:val="20"/>
        </w:trPr>
        <w:tc>
          <w:tcPr>
            <w:tcW w:w="6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variable lease costs related to short-term leases.</w:t>
      </w:r>
    </w:p>
    <w:p>
      <w:pPr>
        <w:spacing w:after="0" w:line="63" w:lineRule="exact"/>
        <w:rPr>
          <w:rFonts w:ascii="Times New Roman" w:cs="Times New Roman" w:eastAsia="Times New Roman" w:hAnsi="Times New Roman"/>
          <w:sz w:val="18"/>
          <w:szCs w:val="18"/>
          <w:color w:val="auto"/>
        </w:rPr>
      </w:pPr>
    </w:p>
    <w:p>
      <w:pPr>
        <w:ind w:left="540" w:right="160" w:hanging="532"/>
        <w:spacing w:after="0" w:line="28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 cost includes $0.2 million for both the three and six months ended June 30, 2019 recorded as restructuring charges as they relate to vacated office spaces. See Note 9 "Restructuring Charges" for additional information on our vacated office spaces.</w:t>
      </w:r>
    </w:p>
    <w:p>
      <w:pPr>
        <w:spacing w:after="0" w:line="1" w:lineRule="exact"/>
        <w:rPr>
          <w:rFonts w:ascii="Times New Roman" w:cs="Times New Roman" w:eastAsia="Times New Roman" w:hAnsi="Times New Roman"/>
          <w:sz w:val="18"/>
          <w:szCs w:val="18"/>
          <w:color w:val="auto"/>
        </w:rPr>
      </w:pPr>
    </w:p>
    <w:p>
      <w:pPr>
        <w:ind w:left="540" w:right="740" w:hanging="532"/>
        <w:spacing w:after="0" w:line="28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 cost includes $0.1 million for both the three and six months ended June 30, 2019 related to vacated office spaces directly related to discontinued operations.</w:t>
      </w:r>
    </w:p>
    <w:p>
      <w:pPr>
        <w:spacing w:after="0" w:line="1" w:lineRule="exact"/>
        <w:rPr>
          <w:rFonts w:ascii="Times New Roman" w:cs="Times New Roman" w:eastAsia="Times New Roman" w:hAnsi="Times New Roman"/>
          <w:sz w:val="18"/>
          <w:szCs w:val="18"/>
          <w:color w:val="auto"/>
        </w:rPr>
      </w:pPr>
    </w:p>
    <w:p>
      <w:pPr>
        <w:ind w:left="540" w:right="380" w:hanging="532"/>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 expense, including operating expenses, real estate taxes and insurance, recorded under ASC 840 for the three and six months ended June 30, 2018 was $3.7 million and $7.6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remaining expected lease payments under our operating leases as of June 30, 2019 and December 31,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65"/>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Future Lease Payments</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20" w:type="dxa"/>
            <w:vAlign w:val="bottom"/>
          </w:tcPr>
          <w:p>
            <w:pPr>
              <w:jc w:val="right"/>
              <w:ind w:right="674"/>
              <w:spacing w:after="0" w:line="265" w:lineRule="exact"/>
              <w:rPr>
                <w:sz w:val="20"/>
                <w:szCs w:val="20"/>
                <w:color w:val="auto"/>
              </w:rPr>
            </w:pPr>
            <w:r>
              <w:rPr>
                <w:rFonts w:ascii="Times New Roman" w:cs="Times New Roman" w:eastAsia="Times New Roman" w:hAnsi="Times New Roman"/>
                <w:sz w:val="30"/>
                <w:szCs w:val="30"/>
                <w:b w:val="1"/>
                <w:bCs w:val="1"/>
                <w:color w:val="auto"/>
                <w:vertAlign w:val="subscript"/>
              </w:rPr>
              <w:t>2018</w:t>
            </w:r>
            <w:r>
              <w:rPr>
                <w:rFonts w:ascii="Times New Roman" w:cs="Times New Roman" w:eastAsia="Times New Roman" w:hAnsi="Times New Roman"/>
                <w:sz w:val="10"/>
                <w:szCs w:val="10"/>
                <w:color w:val="auto"/>
              </w:rPr>
              <w:t xml:space="preserve"> (1, 2)</w:t>
            </w:r>
          </w:p>
        </w:tc>
      </w:tr>
      <w:tr>
        <w:trPr>
          <w:trHeight w:val="244"/>
        </w:trPr>
        <w:tc>
          <w:tcPr>
            <w:tcW w:w="68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13,701</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12,724</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11,590</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10,766</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10,707</w:t>
            </w:r>
          </w:p>
        </w:tc>
      </w:tr>
      <w:tr>
        <w:trPr>
          <w:trHeight w:val="24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4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27,033</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440" w:type="dxa"/>
            <w:vAlign w:val="bottom"/>
            <w:tcBorders>
              <w:bottom w:val="single" w:sz="8" w:color="CCEEFF"/>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86,521</w:t>
            </w:r>
          </w:p>
        </w:tc>
      </w:tr>
      <w:tr>
        <w:trPr>
          <w:trHeight w:val="24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1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440" w:type="dxa"/>
            <w:vAlign w:val="bottom"/>
            <w:tcBorders>
              <w:bottom w:val="single" w:sz="8" w:color="CCEEFF"/>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lease payments as of December 31, 2018 represent our future minimum rental commitments as defined by ASC 840.</w:t>
      </w:r>
    </w:p>
    <w:p>
      <w:pPr>
        <w:spacing w:after="0" w:line="63"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2018, the expected total future minimum sublease income to be received was $10.2 million.</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9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60" w:type="dxa"/>
            <w:vAlign w:val="bottom"/>
          </w:tcPr>
          <w:p>
            <w:pPr>
              <w:spacing w:after="0"/>
              <w:rPr>
                <w:sz w:val="20"/>
                <w:szCs w:val="20"/>
                <w:color w:val="auto"/>
              </w:rPr>
            </w:pPr>
          </w:p>
        </w:tc>
        <w:tc>
          <w:tcPr>
            <w:tcW w:w="19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June 30, 2019</w:t>
            </w:r>
          </w:p>
        </w:tc>
      </w:tr>
      <w:tr>
        <w:trPr>
          <w:trHeight w:val="27"/>
        </w:trPr>
        <w:tc>
          <w:tcPr>
            <w:tcW w:w="9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7,056</w:t>
            </w:r>
          </w:p>
        </w:tc>
      </w:tr>
      <w:tr>
        <w:trPr>
          <w:trHeight w:val="243"/>
        </w:trPr>
        <w:tc>
          <w:tcPr>
            <w:tcW w:w="9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3,611</w:t>
            </w:r>
          </w:p>
        </w:tc>
      </w:tr>
      <w:tr>
        <w:trPr>
          <w:trHeight w:val="27"/>
        </w:trPr>
        <w:tc>
          <w:tcPr>
            <w:tcW w:w="9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324"/>
        </w:trPr>
        <w:tc>
          <w:tcPr>
            <w:tcW w:w="9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43"/>
        </w:trPr>
        <w:tc>
          <w:tcPr>
            <w:tcW w:w="9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26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 years</w:t>
            </w:r>
          </w:p>
        </w:tc>
      </w:tr>
      <w:tr>
        <w:trPr>
          <w:trHeight w:val="27"/>
        </w:trPr>
        <w:tc>
          <w:tcPr>
            <w:tcW w:w="9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9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26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9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Revenues</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For the three months ended June 30, 2019 and 2018, we recognized revenues of $220.8 million and $197.5 million, respectively. Of the $220.8 million recognized in the second quarter of 2019, we recognized revenues of $3.6 million from obligations satisfied, or partially satisfied, in prior periods, primarily due to the release of allowances on unbilled services due to securing contract amendments. During the second quarter of 2019, we recognized a $0.3 million decrease to revenues due to changes in the estimates of our variable consideration under performance-based billing arrangements. Of the $197.5</w:t>
      </w:r>
    </w:p>
    <w:p>
      <w:pPr>
        <w:spacing w:after="0" w:line="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million recognized in the second quarter of 2018, we recognized revenues of $5.2 million from obligations satisfied, or partially satisfied, in prior periods, of which $2.9 million was primarily due to the release of allowances on unbilled services due to securing contract amendments and $2.3 million was due to changes in the estimates of our variable consideration under performance-based billing arrangements.</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2019 and 2018, we recognized revenues of $425.2 million and $391.2 million, respectively. Of the $425.2 million recognized in the first six months of 2019, we recognized revenues of $2.1 million from obligations satisfied, or partially satisfied, in prior periods, primarily due to the release of allowances on unbilled services due to securing contract amendments. During the first six months of 2019, we recognized a $1.5 million decrease to revenues due to changes in the estimates of our variable consideration under performance-based billing arrangements. Of the $391.2</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million recognized in the first six months of 2018, we recognized revenues of $8.1 million from obligations satisfied, or partially satisfied, in prior periods, of which $4.7 million was due to changes in the estimates of our variable consideration under performance-based billing arrangements and $3.4 million was primarily due to the release of allowances on unbilled services due to securing contract amendments.</w:t>
      </w:r>
    </w:p>
    <w:p>
      <w:pPr>
        <w:spacing w:after="0" w:line="7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June 30, 2019, we had $65.1 million of remaining performance obligations under engagements with original expected durations greater than one year. These remaining performance obligations exclude obligations under contracts with an original expected duration of one year or less, variable consideration which has been excluded from the total transaction price due to the constraint, and performance obligations under time-and-expense engagements which are recognized in the amount invoiced. Of the $65.1 million of performance obligations, we expect to recognize approximately $37.5 million as revenue in 2019, $16.4 million in 2020, and the remaining $11.2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as of June 30, 2019 and December 31, 2018 was $29.8 million and $9.1 million, respectively. The $20.7 million increase primarily reflects timing differences between the completion of our performance obligations and the amounts billed or billable to clients in accordance with their contractual billing terms.</w:t>
      </w:r>
    </w:p>
    <w:p>
      <w:pPr>
        <w:spacing w:after="0" w:line="13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Client prepayments and retainers are classified as deferred revenues and recognized over future periods in accordance with the applicable engagement agreement and our revenue recognition policy. Our deferred revenues balance as of June 30, 2019 and December 31, 2018, was $27.6 million and $28.1 million, respectively. The $0.5 million decrease primarily reflects timing differences between client payments in accordance with their contract terms and the completion of our performance obligations. For the three and six months ended June 30, 2019, $10.7 million and $22.5 million, respectively, of revenues recognized were included in the deferred revenue balance as of December 31, 2018.</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Earnings (loss) per share under the basic and diluted computations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10,472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21,651</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stock equivalents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22,356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21,866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per basic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r>
      <w:tr>
        <w:trPr>
          <w:trHeight w:val="67"/>
        </w:trPr>
        <w:tc>
          <w:tcPr>
            <w:tcW w:w="51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64"/>
        </w:trPr>
        <w:tc>
          <w:tcPr>
            <w:tcW w:w="5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per diluted share: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4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anti-dilutive securities excluded from the computation of the weighted average common stock equivalents presented above were as follows:</w:t>
      </w:r>
    </w:p>
    <w:p>
      <w:pPr>
        <w:spacing w:after="0" w:line="167"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36830</wp:posOffset>
            </wp:positionV>
            <wp:extent cx="23837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60" w:type="dxa"/>
            <w:vAlign w:val="bottom"/>
            <w:gridSpan w:val="2"/>
          </w:tcPr>
          <w:p>
            <w:pPr>
              <w:ind w:left="840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8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Outstanding common stock options</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3,129</w:t>
            </w:r>
          </w:p>
        </w:tc>
      </w:tr>
      <w:tr>
        <w:trPr>
          <w:trHeight w:val="243"/>
        </w:trPr>
        <w:tc>
          <w:tcPr>
            <w:tcW w:w="8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Warrants related to the issuance of convertible senior notes</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3,129</w:t>
            </w:r>
          </w:p>
        </w:tc>
      </w:tr>
      <w:tr>
        <w:trPr>
          <w:trHeight w:val="27"/>
        </w:trPr>
        <w:tc>
          <w:tcPr>
            <w:tcW w:w="76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6,258</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“Financing Arrangements” for further information on the convertible senior notes and warrants related to the issuance of convertible notes.</w:t>
      </w:r>
    </w:p>
    <w:p>
      <w:pPr>
        <w:spacing w:after="0" w:line="17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currently have a share repurchase program permitting us to repurchase up to $125 million of our common stock through October 31, 2019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during the first six months of 2019 and 2018. As of June 30, 2019, $35.1 million remains available for share repurchases.</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Financing Arrangements</w:t>
            </w:r>
          </w:p>
        </w:tc>
        <w:tc>
          <w:tcPr>
            <w:tcW w:w="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378"/>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carrying amounts of our debt follows:</w:t>
            </w: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78"/>
        </w:trPr>
        <w:tc>
          <w:tcPr>
            <w:tcW w:w="6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67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1.25% convertible senior notes due 2019</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247,512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242,617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5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Promissory note due 2024</w:t>
            </w:r>
          </w:p>
        </w:tc>
        <w:tc>
          <w:tcPr>
            <w:tcW w:w="5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4,368</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debt</w:t>
            </w: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307,624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296,985</w:t>
            </w: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5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(243,132)</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59,590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53,853</w:t>
            </w:r>
          </w:p>
        </w:tc>
      </w:tr>
      <w:tr>
        <w:trPr>
          <w:trHeight w:val="27"/>
        </w:trPr>
        <w:tc>
          <w:tcPr>
            <w:tcW w:w="67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575"/>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 is a summary of the scheduled remaining principal payments of our debt as of June 30, 2019.</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56"/>
        </w:trPr>
        <w:tc>
          <w:tcPr>
            <w:tcW w:w="6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Principal Payments of</w:t>
            </w:r>
          </w:p>
        </w:tc>
      </w:tr>
      <w:tr>
        <w:trPr>
          <w:trHeight w:val="238"/>
        </w:trPr>
        <w:tc>
          <w:tcPr>
            <w:tcW w:w="6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Long-Term Debt</w:t>
            </w:r>
          </w:p>
        </w:tc>
      </w:tr>
      <w:tr>
        <w:trPr>
          <w:trHeight w:val="27"/>
        </w:trPr>
        <w:tc>
          <w:tcPr>
            <w:tcW w:w="67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250,259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56,575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1,646</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7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 We expect to refinance the principal amount of the outstanding Convertible Notes at maturity with the borrowing capacity available under our revolving credit facility.</w:t>
      </w:r>
    </w:p>
    <w:p>
      <w:pPr>
        <w:spacing w:after="0" w:line="13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convertible note hedge transactions and warrants, which were entered into in connection with the Convertible Notes, effectively raise the price at which economic dilution would occur from the initial conversion price of approximately $79.89 to approximately $97.12 per share.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the Convertible Notes had the option to convert the Convertible Notes any time prior to July 1, 2019, only under the following circumstances:</w:t>
      </w:r>
    </w:p>
    <w:p>
      <w:pPr>
        <w:spacing w:after="0" w:line="198" w:lineRule="exact"/>
        <w:rPr>
          <w:sz w:val="20"/>
          <w:szCs w:val="20"/>
          <w:color w:val="auto"/>
        </w:rPr>
      </w:pPr>
    </w:p>
    <w:p>
      <w:pPr>
        <w:ind w:left="740" w:right="80" w:hanging="732"/>
        <w:spacing w:after="0" w:line="261"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26" w:lineRule="exact"/>
        <w:rPr>
          <w:rFonts w:ascii="Times New Roman" w:cs="Times New Roman" w:eastAsia="Times New Roman" w:hAnsi="Times New Roman"/>
          <w:sz w:val="18"/>
          <w:szCs w:val="18"/>
          <w:color w:val="auto"/>
        </w:rPr>
      </w:pPr>
    </w:p>
    <w:p>
      <w:pPr>
        <w:ind w:left="740" w:right="180" w:hanging="732"/>
        <w:spacing w:after="0" w:line="261"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26"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transactions described in the Indenture.</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June 30, 2019, the remaining life of the Convertible Notes is three months. The equity component will not be remeasured as long as it continues to meet the conditions for equity classification.</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transaction costs related to the issuance of the Convertible Notes were separated into liability and equity components based on their relative values, as determined above. Transaction costs attributable to the liability component are recorded as a deduction to the carrying amount of the liability and amortized to interest expense over the term of the Convertible Notes; and transaction costs attributable to the equity component are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June 30, 2019, and December 31, 2018, the Convertible Notes consisted of the following:</w:t>
            </w: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component:</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spacing w:after="0"/>
              <w:rPr>
                <w:sz w:val="21"/>
                <w:szCs w:val="21"/>
                <w:color w:val="auto"/>
              </w:rPr>
            </w:pPr>
          </w:p>
        </w:tc>
        <w:tc>
          <w:tcPr>
            <w:tcW w:w="67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debt discount, net of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6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debt issuance costs, net of amortization</w:t>
            </w: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7"/>
        </w:trPr>
        <w:tc>
          <w:tcPr>
            <w:tcW w:w="30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0" w:type="dxa"/>
            <w:vAlign w:val="bottom"/>
            <w:tcBorders>
              <w:bottom w:val="single" w:sz="8" w:color="CCEEFF"/>
            </w:tcBorders>
            <w:shd w:val="clear" w:color="auto" w:fill="CCEEFF"/>
          </w:tcPr>
          <w:p>
            <w:pPr>
              <w:spacing w:after="0"/>
              <w:rPr>
                <w:sz w:val="22"/>
                <w:szCs w:val="22"/>
                <w:color w:val="auto"/>
              </w:rPr>
            </w:pPr>
          </w:p>
        </w:tc>
        <w:tc>
          <w:tcPr>
            <w:tcW w:w="67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carrying amount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247,512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242,617</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Equity component </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39,287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39,287</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678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Included in additional paid-in capital on the consolidated balance sheet.</w:t>
            </w: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00" w:type="dxa"/>
            <w:vAlign w:val="bottom"/>
            <w:vMerge w:val="continue"/>
          </w:tcPr>
          <w:p>
            <w:pPr>
              <w:spacing w:after="0"/>
              <w:rPr>
                <w:sz w:val="24"/>
                <w:szCs w:val="24"/>
                <w:color w:val="auto"/>
              </w:rPr>
            </w:pPr>
          </w:p>
        </w:tc>
        <w:tc>
          <w:tcPr>
            <w:tcW w:w="6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00" w:type="dxa"/>
            <w:vAlign w:val="bottom"/>
          </w:tcPr>
          <w:p>
            <w:pPr>
              <w:spacing w:after="0"/>
              <w:rPr>
                <w:sz w:val="24"/>
                <w:szCs w:val="24"/>
                <w:color w:val="auto"/>
              </w:rPr>
            </w:pPr>
          </w:p>
        </w:tc>
        <w:tc>
          <w:tcPr>
            <w:tcW w:w="6780" w:type="dxa"/>
            <w:vAlign w:val="bottom"/>
          </w:tcPr>
          <w:p>
            <w:pPr>
              <w:ind w:left="532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 of interest expense recognized related to the Convertible Notes for the periods presented.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1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120" w:type="dxa"/>
            <w:vAlign w:val="bottom"/>
          </w:tcPr>
          <w:p>
            <w:pPr>
              <w:spacing w:after="0"/>
              <w:rPr>
                <w:sz w:val="18"/>
                <w:szCs w:val="18"/>
                <w:color w:val="auto"/>
              </w:rPr>
            </w:pPr>
          </w:p>
        </w:tc>
      </w:tr>
      <w:tr>
        <w:trPr>
          <w:trHeight w:val="238"/>
        </w:trPr>
        <w:tc>
          <w:tcPr>
            <w:tcW w:w="3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4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interest coupon</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1,563</w:t>
            </w: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4,068</w:t>
            </w: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1220" w:type="dxa"/>
            <w:vAlign w:val="bottom"/>
            <w:tcBorders>
              <w:top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3,241</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6,458</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6,250</w:t>
            </w:r>
          </w:p>
        </w:tc>
      </w:tr>
      <w:tr>
        <w:trPr>
          <w:trHeight w:val="27"/>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convertible note hedge transactions and warrant transactions. The convertible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hedge transactions are intended to reduce the potential future economic dilution associated with the conversion of the Convertible Notes and, combined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effectively raise the price at which economic dilution would occur from the initial conversion price of approximately $79.89 to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$97.12 per share. For purposes of the computation of diluted earnings per share in accordance with GAAP, dilution will occur when the average share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for a given period exceeds the conversion price of the Convertible Notes, which initially is equal to approximately $79.89 per 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 hedge transactions and warrant transactions are discussed separately below.</w:t>
      </w:r>
    </w:p>
    <w:p>
      <w:pPr>
        <w:spacing w:after="0" w:line="178" w:lineRule="exact"/>
        <w:rPr>
          <w:sz w:val="20"/>
          <w:szCs w:val="20"/>
          <w:color w:val="auto"/>
        </w:rPr>
      </w:pPr>
    </w:p>
    <w:p>
      <w:pPr>
        <w:ind w:left="660" w:right="120" w:hanging="652"/>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Convertible Note Hedge Transactions</w:t>
      </w:r>
      <w:r>
        <w:rPr>
          <w:rFonts w:ascii="Times New Roman" w:cs="Times New Roman" w:eastAsia="Times New Roman" w:hAnsi="Times New Roman"/>
          <w:sz w:val="18"/>
          <w:szCs w:val="18"/>
          <w:color w:val="auto"/>
        </w:rPr>
        <w:t>. In connection with the issuance of the Convertible Notes, the Company entered into convertible note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on the consolidated balance sheet. The convertible note hedge transactions are separate transactions and are not part of the terms of the Convertible Notes.</w:t>
      </w:r>
    </w:p>
    <w:p>
      <w:pPr>
        <w:spacing w:after="0" w:line="131" w:lineRule="exact"/>
        <w:rPr>
          <w:rFonts w:ascii="Times New Roman" w:cs="Times New Roman" w:eastAsia="Times New Roman" w:hAnsi="Times New Roman"/>
          <w:sz w:val="18"/>
          <w:szCs w:val="18"/>
          <w:color w:val="auto"/>
        </w:rPr>
      </w:pPr>
    </w:p>
    <w:p>
      <w:pPr>
        <w:ind w:left="660" w:right="20" w:hanging="652"/>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connection with the issuance of the Convertible Notes, the Company sold warrants whereby the holders of the warrants have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on the consolidated balance sheet. The warrants are separate transactions and are not part of the terms of the Convertible Notes or the convertible note hedge transactions.</w:t>
      </w:r>
    </w:p>
    <w:p>
      <w:pPr>
        <w:spacing w:after="0" w:line="13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deferred income taxes, net on the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a $500 million senior secured revolving credit facility, subject to the terms of a Second Amended and Restated Credit Agreement dated as of March 31, 2015, as amended to date (as amended and modified the "Amended Credit Agreement"), that becomes due and payable in full upon maturity on March 23, 2023.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$650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3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LIBOR borrowings, or between 0.25% per annum and 1.00% per annum, in the case of base rate loans, based upon our Consolidated Leverage Ratio at such time.</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3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3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3.50 to 1.00 to 4.00 to 1.00, depending on the measurement period, and</w:t>
      </w:r>
    </w:p>
    <w:p>
      <w:pPr>
        <w:spacing w:after="0" w:line="2" w:lineRule="exact"/>
        <w:rPr>
          <w:sz w:val="20"/>
          <w:szCs w:val="20"/>
          <w:color w:val="auto"/>
        </w:rPr>
      </w:pPr>
    </w:p>
    <w:p>
      <w:pPr>
        <w:ind w:right="220" w:firstLine="8"/>
        <w:spacing w:after="0" w:line="253"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June 30, 2019, we were in compliance with these financial covenants with a Consolidated Leverage Ratio of 2.63 to 1.00 and a Consolidated Interest Coverage Ratio of 13.82 to 1.00.</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Borrowings outstanding under the Amended Credit Agreement at June 30, 2019 totaled $56.0 million. These borrowings carried a weighted average interest rate of 3.9%, including the effect of the interest rate swap described in Note 10 “Derivative Instrument and Hedging Activity." Borrowings outstanding under the Amended Credit Agreement at December 31, 2018 were $50.0 million and carried a weighted average interest rate of 3.7%, including the effect of the interest rate swap described in Note 10 “Derivative Instrument and Hedging Activity." The borrowing capacity under the revolving credit facility is reduced by any outstanding borrowings under the revolving credit facility and outstanding letters of credit. At June 30, 2019, we had outstanding letters of credit totaling $1.6 million, which are primarily used as security deposits for our office facilities. As of June 30, 2019, the unused borrowing capacity under the revolving credit facility was $442.4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due 2024</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 month LIBOR plus 1.97% per annum. The obligations under the promissory note are secured pursuant to a Loan and Aircraft Security Agreement with Banc of America Leasing &amp; Capital, LLC, which grants the lender a first priority security interest in the aircraft. At June 30, 2019, the outstanding principal amount of the promissory note was $4.1 million, and the aircraft had a carrying amount of $5.4 million. At December 31, 2018, the outstanding principal amount of the promissory note was $4.4 million, and the aircraft had a carrying amount of $5.8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Restructuring Charges</w:t>
      </w:r>
    </w:p>
    <w:p>
      <w:pPr>
        <w:spacing w:after="0" w:line="17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Restructuring charges for the three and six months ended June 30, 2019 were $0.8 million and $2.0 million, respectively. During the second quarter of 2019, we exited the remaining portion of our Middleton, Wisconsin office and an office space in Houston, Texas, resulting in restructuring charges of $0.4 million and $0.1 million, respectively, which primarily consisted of accelerated depreciation on furniture and fixtures in those offices. Additionally, we recognized a $0.2 million restructuring charge in the second quarter of 2019 related to workforce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reductions as we continue to better align resources with market demand. During the first quarter of 2019, we exited a portion of our Lake Oswego, Oregon corporate office resulting in a $0.7 million lease impairment charge on the operating lease right-of-use asset and leasehold improvements and $0.2 million of accelerated depreciation on furniture and fixtures in that office. The lease impairment charge was recognized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we adopted on a modified retrospective basis on January 1, 2019. See Note 2 "Basis of Presentation and Significant Accounting Policies" and Note 3 "New Accounting Pronouncements" for additional information on our adoption of ASC 842. See Note 5 "Leases" for additional information on the long-lived asset impairment test. Additionally, we recognized a $0.2 million restructuring charge in the first quarter of 2019 related to workforce reductions in our corporate operations.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Restructuring charges for the three and six months ended June 30, 2018 were $2.0 million and $2.7 million, respectively. Of the $2.0 million charge incurred in the second quarter of 2018, $1.0 million related to workforce reductions to better align resources with market demand; $0.7 million related to the accrual of remaining lease payments, net of estimated sublease income, and accelerated depreciation on leasehold improvements due to exiting a portion of our Middleton, Wisconsin office in the second quarter of 2018, which was accounted for in accordance with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$0.3 million related to the divestiture of our Middle East practice within the Business Advisory segment. During the first quarter of 2018, we recognized a $0.6 million restructuring charge related to updated lease assumptions for our San Francisco office vacated in the third quarter of 2017.</w:t>
      </w:r>
    </w:p>
    <w:p>
      <w:pPr>
        <w:spacing w:after="0" w:line="13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table below sets forth the changes in the carrying amount of our restructuring charge liability by restructuring type for the six months ended June 30,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Office Space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Employee Costs</w:t>
            </w:r>
          </w:p>
        </w:tc>
        <w:tc>
          <w:tcPr>
            <w:tcW w:w="22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Reductions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2,911</w:t>
            </w:r>
          </w:p>
        </w:tc>
      </w:tr>
      <w:tr>
        <w:trPr>
          <w:trHeight w:val="270"/>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Adoption of ASC 842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64"/>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 2019</w:t>
            </w: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1,792</w:t>
            </w:r>
          </w:p>
        </w:tc>
      </w:tr>
      <w:tr>
        <w:trPr>
          <w:trHeight w:val="264"/>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Additions </w:t>
            </w:r>
            <w:r>
              <w:rPr>
                <w:rFonts w:ascii="Times New Roman" w:cs="Times New Roman" w:eastAsia="Times New Roman" w:hAnsi="Times New Roman"/>
                <w:sz w:val="21"/>
                <w:szCs w:val="21"/>
                <w:color w:val="auto"/>
                <w:vertAlign w:val="superscript"/>
              </w:rPr>
              <w:t>(2)</w:t>
            </w:r>
          </w:p>
        </w:tc>
        <w:tc>
          <w:tcPr>
            <w:tcW w:w="1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70"/>
        </w:trPr>
        <w:tc>
          <w:tcPr>
            <w:tcW w:w="6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1"/>
                <w:szCs w:val="21"/>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June 30,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w:t>
            </w: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ind w:left="540" w:right="120" w:hanging="532"/>
        <w:spacing w:after="0" w:line="266"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adoption of ASC 842 on January 1, 2019, we reclassified the restructuring charge liabilities, which represented the present value of remaining lease payments, net of estimated sublease income, for vacated office spaces from restructuring charge liabilities to operating lease right-of-use assets. See Note 3 "New Accounting Pronouncements" for additional information on the impact of adoption.</w:t>
      </w:r>
    </w:p>
    <w:p>
      <w:pPr>
        <w:spacing w:after="0" w:line="14" w:lineRule="exact"/>
        <w:rPr>
          <w:rFonts w:ascii="Times New Roman" w:cs="Times New Roman" w:eastAsia="Times New Roman" w:hAnsi="Times New Roman"/>
          <w:sz w:val="18"/>
          <w:szCs w:val="18"/>
          <w:color w:val="auto"/>
        </w:rPr>
      </w:pPr>
    </w:p>
    <w:p>
      <w:pPr>
        <w:ind w:left="540" w:right="120" w:hanging="532"/>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adjustments exclude non-cash items related to vacated office spaces, such as lease impairment charges and accelerated depreciation on fixed assets, which are recorded as restructuring charges on our consolidated statements of operations.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June 30, 2019, our restructuring charge liability related to office space reductions of $1.0 million represented the present value of the remaining estimated operating expense payments for vacated office spaces, primarily in Chicago, Illinois; Washington, D.C.; and Middleton, Wisconsin. This restructuring charge liability is included as a component of accrued expenses and other current liabilities and deferred compensation and other liabilities. The $0.1 million restructuring charge liability related to employee costs at June 30, 2019 is expected to be paid in the next 12 months. The restructuring charge liability related to employee costs is included as a component of accrued payroll and related benefits.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 and Hedging Activity</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 month LIBOR and we pay to the counterparty a fixed rate of 1.900%.</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recognize all derivative instruments as either assets or liabilities at fair value on the balance sheet. We have designated this derivative instrument as a cash flow hedge. Therefore, changes in the fair value of the derivative instrument are recorded to other comprehensive income (“OCI”) and reclassified into interest expense upon settlement. As of June 30, 2019, it was anticipated that an immaterial amount of the losses, net of tax, currently recorded in accumulated other comprehensive income will be reclassified into earnings within the next 12 months.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table below sets forth additional information relating to the interest rate swap designated as a cash flow hedging instrument as of June 30, 2019 and December 31, 2018.</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 (Derivative Asset and Liability)</w:t>
            </w:r>
          </w:p>
        </w:tc>
        <w:tc>
          <w:tcPr>
            <w:tcW w:w="48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4"/>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80" w:type="dxa"/>
            <w:vAlign w:val="bottom"/>
          </w:tcPr>
          <w:p>
            <w:pPr>
              <w:spacing w:after="0"/>
              <w:rPr>
                <w:sz w:val="18"/>
                <w:szCs w:val="18"/>
                <w:color w:val="auto"/>
              </w:rPr>
            </w:pPr>
          </w:p>
        </w:tc>
      </w:tr>
      <w:tr>
        <w:trPr>
          <w:trHeight w:val="238"/>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80" w:type="dxa"/>
            <w:vAlign w:val="bottom"/>
          </w:tcPr>
          <w:p>
            <w:pPr>
              <w:spacing w:after="0"/>
              <w:rPr>
                <w:sz w:val="20"/>
                <w:szCs w:val="20"/>
                <w:color w:val="auto"/>
              </w:rPr>
            </w:pPr>
          </w:p>
        </w:tc>
      </w:tr>
      <w:tr>
        <w:trPr>
          <w:trHeight w:val="27"/>
        </w:trPr>
        <w:tc>
          <w:tcPr>
            <w:tcW w:w="6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80" w:type="dxa"/>
            <w:vAlign w:val="bottom"/>
            <w:tcBorders>
              <w:bottom w:val="single" w:sz="8" w:color="CCEEFF"/>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5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r>
      <w:tr>
        <w:trPr>
          <w:trHeight w:val="27"/>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580" w:type="dxa"/>
            <w:vAlign w:val="bottom"/>
            <w:tcBorders>
              <w:bottom w:val="single" w:sz="8" w:color="CCEEFF"/>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compensation and other liabilities</w:t>
            </w:r>
          </w:p>
        </w:tc>
        <w:tc>
          <w:tcPr>
            <w:tcW w:w="15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168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3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pacing w:after="0" w:line="12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do not use derivative instruments for trading or other speculative purposes. Refer to Note 12 “Other Comprehensive Income (Loss)” for additional information on our derivative instrument.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1" w:right="239" w:bottom="1440" w:gutter="0" w:footer="0" w:header="0"/>
        </w:sectPr>
      </w:pPr>
    </w:p>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Level 1 Inputs</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Level 2 Inputs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Quoted prices in active markets for identical assets or liabilities that the reporting entity has the ability to access at the measurement date.</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76" w:lineRule="exact"/>
        <w:rPr>
          <w:sz w:val="20"/>
          <w:szCs w:val="20"/>
          <w:color w:val="auto"/>
        </w:rPr>
      </w:pPr>
    </w:p>
    <w:p>
      <w:pPr>
        <w:sectPr>
          <w:pgSz w:w="11900" w:h="16838" w:orient="portrait"/>
          <w:cols w:equalWidth="0" w:num="2">
            <w:col w:w="1820" w:space="720"/>
            <w:col w:w="8880"/>
          </w:cols>
          <w:pgMar w:left="240" w:top="121" w:right="239" w:bottom="1440" w:gutter="0" w:footer="0" w:header="0"/>
          <w:type w:val="continuous"/>
        </w:sectPr>
      </w:pPr>
    </w:p>
    <w:p>
      <w:pPr>
        <w:ind w:left="40"/>
        <w:spacing w:after="0"/>
        <w:tabs>
          <w:tab w:leader="none" w:pos="2520" w:val="left"/>
        </w:tabs>
        <w:rPr>
          <w:sz w:val="20"/>
          <w:szCs w:val="20"/>
          <w:color w:val="auto"/>
        </w:rPr>
      </w:pPr>
      <w:r>
        <w:rPr>
          <w:rFonts w:ascii="Times New Roman" w:cs="Times New Roman" w:eastAsia="Times New Roman" w:hAnsi="Times New Roman"/>
          <w:sz w:val="18"/>
          <w:szCs w:val="18"/>
          <w:color w:val="auto"/>
        </w:rPr>
        <w:t>Level 3 Inputs</w:t>
      </w:r>
      <w:r>
        <w:rPr>
          <w:sz w:val="20"/>
          <w:szCs w:val="20"/>
          <w:color w:val="auto"/>
        </w:rPr>
        <w:tab/>
      </w:r>
      <w:r>
        <w:rPr>
          <w:rFonts w:ascii="Times New Roman" w:cs="Times New Roman" w:eastAsia="Times New Roman" w:hAnsi="Times New Roman"/>
          <w:sz w:val="17"/>
          <w:szCs w:val="17"/>
          <w:color w:val="auto"/>
        </w:rPr>
        <w:t>Unobservable inputs for the asset or liability, and include situations in which there is little, if any, market activity for the</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asset or liability.</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table below sets forth our fair value hierarchy for our financial assets and liabilities measured at fair value on a recurring basis as of June 30, 2019 and December 31,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debt investment</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59,357</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25,066</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84,423</w:t>
            </w:r>
          </w:p>
        </w:tc>
      </w:tr>
      <w:tr>
        <w:trPr>
          <w:trHeight w:val="22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 for business acquisitions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r>
      <w:tr>
        <w:trPr>
          <w:trHeight w:val="22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0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debt investment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50,429</w:t>
            </w:r>
          </w:p>
        </w:tc>
      </w:tr>
      <w:tr>
        <w:trPr>
          <w:trHeight w:val="24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104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18,205</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69,387</w:t>
            </w:r>
          </w:p>
        </w:tc>
      </w:tr>
      <w:tr>
        <w:trPr>
          <w:trHeight w:val="223"/>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41"/>
        </w:trPr>
        <w:tc>
          <w:tcPr>
            <w:tcW w:w="5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 for business acquisitions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11,441</w:t>
            </w: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11,441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11,441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5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rate swap: </w:t>
      </w:r>
      <w:r>
        <w:rPr>
          <w:rFonts w:ascii="Times New Roman" w:cs="Times New Roman" w:eastAsia="Times New Roman" w:hAnsi="Times New Roman"/>
          <w:sz w:val="18"/>
          <w:szCs w:val="18"/>
          <w:color w:val="auto"/>
        </w:rPr>
        <w:t>The fair value of our interest rate swap was derived using estimates to settle the interest rate swap agreement, which is based on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 value of expected future cash flows on each leg of the swap utilizing market-based inputs and a discount rate reflecting the risks involved.</w:t>
      </w:r>
    </w:p>
    <w:p>
      <w:pPr>
        <w:spacing w:after="0" w:line="10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Convertible debt investment: </w:t>
      </w:r>
      <w:r>
        <w:rPr>
          <w:rFonts w:ascii="Times New Roman" w:cs="Times New Roman" w:eastAsia="Times New Roman" w:hAnsi="Times New Roman"/>
          <w:sz w:val="18"/>
          <w:szCs w:val="18"/>
          <w:color w:val="auto"/>
        </w:rPr>
        <w:t>In 2014 and 2015, we invested $27.9 million, in the form of zero coupon convertible debt, in Shorelight Holdings,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(“Shorelight”), the parent company of Shorelight Education, a U.S.-based company that partners with leading universities to increase access to and retention of international students, boost institutional growth, and enhance an institution’s global footprint. In the second quarter of 2019, we amended the convertible notes to extend the maturity date by one year. The notes will mature on July 1, 2021, unless converted earlier.</w:t>
      </w:r>
    </w:p>
    <w:p>
      <w:pPr>
        <w:spacing w:after="0" w:line="12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convertible debt investment is carried at fair value with unrealized holding gains and losses excluded from earnings and reported in other comprehensive income. We estimate the fair value of our investment using a Monte Carlo simulation model, cash flow projections discounted at a risk-adjusted rate, and certain assumptions related to equity volatility and applicable holding period,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 on our consolidated balance sheets.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changes in the balance of the convertible debt investment for the six months ended June 30,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Convertible Debt Investment</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50,429</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fair value of convertible debt investment</w:t>
            </w:r>
          </w:p>
        </w:tc>
        <w:tc>
          <w:tcPr>
            <w:tcW w:w="280" w:type="dxa"/>
            <w:vAlign w:val="bottom"/>
          </w:tcPr>
          <w:p>
            <w:pPr>
              <w:spacing w:after="0"/>
              <w:rPr>
                <w:sz w:val="21"/>
                <w:szCs w:val="21"/>
                <w:color w:val="auto"/>
              </w:rPr>
            </w:pPr>
          </w:p>
        </w:tc>
        <w:tc>
          <w:tcPr>
            <w:tcW w:w="2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8,928</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June 30,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59,357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assets: </w:t>
      </w:r>
      <w:r>
        <w:rPr>
          <w:rFonts w:ascii="Times New Roman" w:cs="Times New Roman" w:eastAsia="Times New Roman" w:hAnsi="Times New Roman"/>
          <w:sz w:val="18"/>
          <w:szCs w:val="18"/>
          <w:color w:val="auto"/>
        </w:rPr>
        <w:t>We have a non-qualified deferred compensation plan (the "Plan") for the members of our board of directors and a select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employees. The deferred compensation liability is funded by the Plan assets, which consist of life insurance policies</w:t>
      </w:r>
    </w:p>
    <w:p>
      <w:pPr>
        <w:sectPr>
          <w:pgSz w:w="11900" w:h="16838" w:orient="portrait"/>
          <w:cols w:equalWidth="0" w:num="1">
            <w:col w:w="11420"/>
          </w:cols>
          <w:pgMar w:left="240" w:top="12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 consolidated balance sheets. Realized and unrealized gains (losses) from the deferred compensation assets are recorded to other income (expense), net in our consolidated statements of operations.</w:t>
      </w:r>
    </w:p>
    <w:p>
      <w:pPr>
        <w:spacing w:after="0" w:line="1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for business acquisitions: </w:t>
      </w:r>
      <w:r>
        <w:rPr>
          <w:rFonts w:ascii="Times New Roman" w:cs="Times New Roman" w:eastAsia="Times New Roman" w:hAnsi="Times New Roman"/>
          <w:sz w:val="18"/>
          <w:szCs w:val="18"/>
          <w:color w:val="auto"/>
        </w:rPr>
        <w:t>We estimate the fair value of acquisition-related contingent consideration using either a probability-weighted assessment of the specific financial performance targets being achieved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discount rates, which typically reflect a risk-free rate.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The table below sets forth the changes in the balance of the contingent consideration for business acquisitions for the six months ended June 30,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Contingent Consideration for Business</w:t>
            </w:r>
          </w:p>
        </w:tc>
      </w:tr>
      <w:tr>
        <w:trPr>
          <w:trHeight w:val="238"/>
        </w:trPr>
        <w:tc>
          <w:tcPr>
            <w:tcW w:w="8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Acquisitions</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11,441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6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Remeasurement of contingent consideration for business acquisitions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loss due to foreign currency translation</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June 30, 2019</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not recorded at fair value are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8 “Financing Arrangements” for additional information on our senior secured credit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due 2024</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8 “Financing Arrangements” for additional information on our promissory note due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and estimated fair value of the Convertible Notes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4"/>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40" w:type="dxa"/>
            <w:vAlign w:val="bottom"/>
          </w:tcPr>
          <w:p>
            <w:pPr>
              <w:spacing w:after="0"/>
              <w:rPr>
                <w:sz w:val="18"/>
                <w:szCs w:val="18"/>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1.25% convertible senior notes due 2019</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247,512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247,683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242,617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242,940</w:t>
            </w: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differences between the $250 million principal amount of the Convertible Notes and the carrying amounts shown above represent the unamortized debt discount and issuance costs. As of June 30, 2019, and December 31, 2018, the carrying value of the equity component of $39.3 million was unchanged from the date of issuance. Refer to Note 8 “Financing Arrangements” for additional information on our Convertible Notes. The estimated fair value of the Convertible Notes was determined based on the quoted bid price of the Convertible Notes in an over-the-counter market, which is a Level 2 input, on the last day of trading for the quarters ended June 30, 2019 and December 31, 2018.</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Based on the closing price of our common stock of $50.38 on June 30, 2019, the if-converted value of the Convertible Notes was less than the principal amount.</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components of other comprehensive income (loss), net of tax, for the three and six months ended June 30, 2019 and 2018.</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9"/>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2018</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4"/>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Tax</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Tax</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Before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Net of</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Before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Net of</w:t>
            </w:r>
          </w:p>
        </w:tc>
      </w:tr>
      <w:tr>
        <w:trPr>
          <w:trHeight w:val="238"/>
        </w:trPr>
        <w:tc>
          <w:tcPr>
            <w:tcW w:w="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2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Taxes</w:t>
            </w:r>
          </w:p>
        </w:tc>
      </w:tr>
      <w:tr>
        <w:trPr>
          <w:trHeight w:val="27"/>
        </w:trPr>
        <w:tc>
          <w:tcPr>
            <w:tcW w:w="4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investment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5,319</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Reclassification adjustments into earnings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gain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4,129</w:t>
            </w:r>
          </w:p>
        </w:tc>
        <w:tc>
          <w:tcPr>
            <w:tcW w:w="12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727"/>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9"/>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7"/>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6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 2018</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Tax</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Tax</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Before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Net of</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2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of</w:t>
            </w:r>
          </w:p>
        </w:tc>
      </w:tr>
      <w:tr>
        <w:trPr>
          <w:trHeight w:val="238"/>
        </w:trPr>
        <w:tc>
          <w:tcPr>
            <w:tcW w:w="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2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Taxes</w:t>
            </w:r>
          </w:p>
        </w:tc>
      </w:tr>
      <w:tr>
        <w:trPr>
          <w:trHeight w:val="27"/>
        </w:trPr>
        <w:tc>
          <w:tcPr>
            <w:tcW w:w="4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(loss) on investment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8,928</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7,195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5,325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Reclassification adjustments into earnings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unrealized gain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7,733</w:t>
            </w:r>
          </w:p>
        </w:tc>
        <w:tc>
          <w:tcPr>
            <w:tcW w:w="140" w:type="dxa"/>
            <w:vAlign w:val="bottom"/>
            <w:gridSpan w:val="2"/>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7,106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5,020</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36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before tax amounts reclassified from accumulated other comprehensive income related to our cash flow hedges are recorded to interest expense, net of interest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income, net of tax, includes the following components: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4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Available-for-Sale</w:t>
            </w: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8"/>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4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48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16,495</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period change</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5,680</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June 30, 2019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22,175</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2019, our effective tax rate was 24.8% as we recognized income tax expense from continuing operations of $3.5 million on income from continuing operations of $14.0 million. The effective tax rate of 24.8% was more favorable than the statutory rate, inclusive of state income taxes, of 26.4% primarily due to non-taxable gains on our investments used to fund our deferred compensation liability and federal tax credits, partially offset by non-deductible business expenses. For the three months ended June 30, 2018, our effective tax rate was 30.4% as we recognized income tax expense from continuing operations of $2.6 million on income from continuing operations of $8.4 million. The effective tax rate of 30.4% was less favorable than the statutory rate, inclusive of state income taxes, of 26.0% primarily due to non-deductible business expenses.</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2019, our effective tax rate was 25.8% as we recognized income tax expense from continuing operations of $4.8 million on income from continuing operations of $18.8 million. The effective tax rate of 25.8% was more favorable than the statutory rate, inclusive of state income taxes, of 26.4% primarily due to non-taxable gains on our investments used to fund our deferred compensation liability, federal tax credits and share-based compensation awards that vested during the year; partially offset by non-deductible business expenses. For the six months ended June 30, 2018, our effective tax rate was 53.0% as we recognized income tax expense from continuing operations of $3.0 million on income from continuing operations of $5.6 million. The effective tax rate of 53.0% was less favorable than the statutory rate, inclusive of state income taxes, of 26.0% primarily due to discrete tax expense for share-based compensation awards that vested during the first quarter of 2018, which had an unfavorable impact of 22.5% on the effective tax rate, and non-deductible business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2019, we had $0.8 million of unrecognized tax benefits which would affect the effective tax rate of continuing operations if recognized.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Contingencies and Guarantees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of 2018, we reached a settlement agreement related to Huron's claim in a class action lawsuit, resulting in a gain of $2.5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collected the $2.5 million cash settlement during the second quarter of 2018.</w:t>
      </w:r>
    </w:p>
    <w:p>
      <w:pPr>
        <w:spacing w:after="0" w:line="153"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Guarantees in the form of letters of credit totaling $1.6 million were outstanding at both June 30, 2019 and December 31, 2018, primarily to support certain office lease obligations.</w:t>
      </w:r>
    </w:p>
    <w:p>
      <w:pPr>
        <w:spacing w:after="0" w:line="108" w:lineRule="exact"/>
        <w:rPr>
          <w:sz w:val="20"/>
          <w:szCs w:val="20"/>
          <w:color w:val="auto"/>
        </w:rPr>
      </w:pPr>
    </w:p>
    <w:p>
      <w:pPr>
        <w:jc w:val="both"/>
        <w:ind w:left="60" w:right="40"/>
        <w:spacing w:after="0" w:line="266" w:lineRule="auto"/>
        <w:rPr>
          <w:sz w:val="20"/>
          <w:szCs w:val="20"/>
          <w:color w:val="auto"/>
        </w:rPr>
      </w:pPr>
      <w:r>
        <w:rPr>
          <w:rFonts w:ascii="Times New Roman" w:cs="Times New Roman" w:eastAsia="Times New Roman" w:hAnsi="Times New Roman"/>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June 30, 2019 and December 31, 2018, the total estimated fair value of our contingent consideration liabilities was $0.6 million and $11.4 million, respectively.</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pacing w:after="0" w:line="12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Healthcare</w:t>
      </w:r>
    </w:p>
    <w:p>
      <w:pPr>
        <w:spacing w:after="0" w:line="175" w:lineRule="exact"/>
        <w:rPr>
          <w:rFonts w:ascii="Times New Roman" w:cs="Times New Roman" w:eastAsia="Times New Roman" w:hAnsi="Times New Roman"/>
          <w:sz w:val="18"/>
          <w:szCs w:val="18"/>
          <w:b w:val="1"/>
          <w:bCs w:val="1"/>
          <w:color w:val="auto"/>
        </w:rPr>
      </w:pPr>
    </w:p>
    <w:p>
      <w:pPr>
        <w:ind w:left="660" w:right="2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Healthcare segment has a depth of expertise in care transformation, financial and operational excellence, technology and analytics, and leadership development.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align leaders, improve organizational culture, and drive physician, patient, and employee engagement across the enterprise to deliver better consumer outcomes.</w:t>
      </w:r>
    </w:p>
    <w:p>
      <w:pPr>
        <w:spacing w:after="0" w:line="129" w:lineRule="exact"/>
        <w:rPr>
          <w:rFonts w:ascii="Times New Roman" w:cs="Times New Roman" w:eastAsia="Times New Roman" w:hAnsi="Times New Roman"/>
          <w:sz w:val="18"/>
          <w:szCs w:val="18"/>
          <w:b w:val="1"/>
          <w:bCs w:val="1"/>
          <w:color w:val="auto"/>
        </w:rPr>
      </w:pPr>
    </w:p>
    <w:p>
      <w:pPr>
        <w:ind w:left="6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operational and organizational change and who transform the consumer experience.</w:t>
      </w:r>
    </w:p>
    <w:p>
      <w:pPr>
        <w:spacing w:after="0" w:line="1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Advisory</w:t>
      </w:r>
    </w:p>
    <w:p>
      <w:pPr>
        <w:spacing w:after="0" w:line="175" w:lineRule="exact"/>
        <w:rPr>
          <w:rFonts w:ascii="Times New Roman" w:cs="Times New Roman" w:eastAsia="Times New Roman" w:hAnsi="Times New Roman"/>
          <w:sz w:val="18"/>
          <w:szCs w:val="18"/>
          <w:b w:val="1"/>
          <w:bCs w:val="1"/>
          <w:color w:val="auto"/>
        </w:rPr>
      </w:pPr>
    </w:p>
    <w:p>
      <w:pPr>
        <w:ind w:left="660" w:right="1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Business Advisory segment provides services to large and middle market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28"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Education</w:t>
      </w:r>
    </w:p>
    <w:p>
      <w:pPr>
        <w:spacing w:after="0" w:line="175" w:lineRule="exact"/>
        <w:rPr>
          <w:rFonts w:ascii="Times New Roman" w:cs="Times New Roman" w:eastAsia="Times New Roman" w:hAnsi="Times New Roman"/>
          <w:sz w:val="18"/>
          <w:szCs w:val="18"/>
          <w:color w:val="auto"/>
        </w:rPr>
      </w:pPr>
    </w:p>
    <w:p>
      <w:pPr>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Education segment provides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 cycle management solutions align missions with business priorities, improve quality and reduce costs institution-wide. Our student solutions improve attraction, retention and graduation rates, increase student satisfaction and help generate quality outcomes.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3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about our operating segments for the three and six months ended June 30, 2019 and 2018, along with the items necessary to reconcile the segment information to the totals reported in the accompanying consolidated financial statements.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101,939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91,500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195,621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181,395</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33,344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61,195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51,532</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Advisory:</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62,277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57,720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121,083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113,615</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23,216</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56,538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48,324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108,495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96,213</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16,204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28,822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22,680</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220,754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197,544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425,199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391,223</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23,534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20,733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42,151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38,352</w:t>
            </w:r>
          </w:p>
        </w:tc>
      </w:tr>
      <w:tr>
        <w:trPr>
          <w:trHeight w:val="237"/>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244,288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218,277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467,350</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429,575</w:t>
            </w:r>
          </w:p>
        </w:tc>
      </w:tr>
      <w:tr>
        <w:trPr>
          <w:trHeight w:val="67"/>
        </w:trPr>
        <w:tc>
          <w:tcPr>
            <w:tcW w:w="53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51"/>
        </w:trPr>
        <w:tc>
          <w:tcPr>
            <w:tcW w:w="5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61,022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52,545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111,072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97,428</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Items not allocated at the segment level:</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36,481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31,197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73,059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64,125</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Litigation and other gains,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(5,877)</w:t>
            </w: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17,720</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15,846</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taxes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14,046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8,423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18,761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5,614</w:t>
            </w:r>
          </w:p>
        </w:tc>
      </w:tr>
      <w:tr>
        <w:trPr>
          <w:trHeight w:val="27"/>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56"/>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disaggregation of revenues by billing arrangements, employee types, and timing of revenue recognition, including a reconciliation of the disaggregated revenues to revenues from our three operating segments for the three and six months ended June 30, 2019 and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20" w:type="dxa"/>
            <w:vAlign w:val="bottom"/>
            <w:gridSpan w:val="1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2019</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4"/>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Healthcare</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Advisory</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Billing Arrangements</w:t>
            </w:r>
          </w:p>
        </w:tc>
        <w:tc>
          <w:tcPr>
            <w:tcW w:w="1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Fixed-fee</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59,681</w:t>
            </w:r>
          </w:p>
        </w:tc>
        <w:tc>
          <w:tcPr>
            <w:tcW w:w="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13,125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99,494</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Time and expense</w:t>
            </w:r>
          </w:p>
        </w:tc>
        <w:tc>
          <w:tcPr>
            <w:tcW w:w="1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33,804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39,076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87,155</w:t>
            </w:r>
          </w:p>
        </w:tc>
        <w:tc>
          <w:tcPr>
            <w:tcW w:w="40" w:type="dxa"/>
            <w:vAlign w:val="bottom"/>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Performance-based</w:t>
            </w:r>
          </w:p>
        </w:tc>
        <w:tc>
          <w:tcPr>
            <w:tcW w:w="1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22,553</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 support, maintenance and subscriptions</w:t>
            </w:r>
          </w:p>
        </w:tc>
        <w:tc>
          <w:tcPr>
            <w:tcW w:w="17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4,337</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11,552</w:t>
            </w:r>
          </w:p>
        </w:tc>
        <w:tc>
          <w:tcPr>
            <w:tcW w:w="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tcPr>
          <w:p>
            <w:pPr>
              <w:spacing w:after="0"/>
              <w:rPr>
                <w:sz w:val="20"/>
                <w:szCs w:val="20"/>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101,939</w:t>
            </w:r>
          </w:p>
        </w:tc>
        <w:tc>
          <w:tcPr>
            <w:tcW w:w="6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62,277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56,538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220,754</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Employee Type </w:t>
            </w:r>
            <w:r>
              <w:rPr>
                <w:rFonts w:ascii="Times New Roman" w:cs="Times New Roman" w:eastAsia="Times New Roman" w:hAnsi="Times New Roman"/>
                <w:sz w:val="21"/>
                <w:szCs w:val="21"/>
                <w:i w:val="1"/>
                <w:iCs w:val="1"/>
                <w:color w:val="auto"/>
                <w:vertAlign w:val="superscript"/>
              </w:rPr>
              <w:t>(1)</w:t>
            </w:r>
          </w:p>
        </w:tc>
        <w:tc>
          <w:tcPr>
            <w:tcW w:w="1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generated by full-time billable consultants</w:t>
            </w: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69,548</w:t>
            </w:r>
          </w:p>
        </w:tc>
        <w:tc>
          <w:tcPr>
            <w:tcW w:w="3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60,054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49,403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179,005</w:t>
            </w:r>
          </w:p>
        </w:tc>
        <w:tc>
          <w:tcPr>
            <w:tcW w:w="40" w:type="dxa"/>
            <w:vAlign w:val="bottom"/>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 generated by full-time equivalents</w:t>
            </w:r>
          </w:p>
        </w:tc>
        <w:tc>
          <w:tcPr>
            <w:tcW w:w="1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41,749</w:t>
            </w:r>
          </w:p>
        </w:tc>
        <w:tc>
          <w:tcPr>
            <w:tcW w:w="4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101,939</w:t>
            </w:r>
          </w:p>
        </w:tc>
        <w:tc>
          <w:tcPr>
            <w:tcW w:w="3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56,538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220,754</w:t>
            </w:r>
          </w:p>
        </w:tc>
        <w:tc>
          <w:tcPr>
            <w:tcW w:w="40" w:type="dxa"/>
            <w:vAlign w:val="bottom"/>
          </w:tcPr>
          <w:p>
            <w:pPr>
              <w:spacing w:after="0"/>
              <w:rPr>
                <w:sz w:val="21"/>
                <w:szCs w:val="21"/>
                <w:color w:val="auto"/>
              </w:rPr>
            </w:pPr>
          </w:p>
        </w:tc>
      </w:tr>
      <w:tr>
        <w:trPr>
          <w:trHeight w:val="284"/>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tc>
        <w:tc>
          <w:tcPr>
            <w:tcW w:w="1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99,606</w:t>
            </w:r>
          </w:p>
        </w:tc>
        <w:tc>
          <w:tcPr>
            <w:tcW w:w="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62,277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56,179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218,062</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7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2,692</w:t>
            </w:r>
          </w:p>
        </w:tc>
        <w:tc>
          <w:tcPr>
            <w:tcW w:w="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tcPr>
          <w:p>
            <w:pPr>
              <w:spacing w:after="0"/>
              <w:rPr>
                <w:sz w:val="20"/>
                <w:szCs w:val="20"/>
                <w:color w:val="auto"/>
              </w:rPr>
            </w:pPr>
          </w:p>
        </w:tc>
        <w:tc>
          <w:tcPr>
            <w:tcW w:w="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101,939</w:t>
            </w:r>
          </w:p>
        </w:tc>
        <w:tc>
          <w:tcPr>
            <w:tcW w:w="6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62,277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56,538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220,754</w:t>
            </w:r>
          </w:p>
        </w:tc>
        <w:tc>
          <w:tcPr>
            <w:tcW w:w="40" w:type="dxa"/>
            <w:vAlign w:val="bottom"/>
          </w:tcPr>
          <w:p>
            <w:pPr>
              <w:spacing w:after="0"/>
              <w:rPr>
                <w:sz w:val="20"/>
                <w:szCs w:val="20"/>
                <w:color w:val="auto"/>
              </w:rPr>
            </w:pPr>
          </w:p>
        </w:tc>
      </w:tr>
      <w:tr>
        <w:trPr>
          <w:trHeight w:val="513"/>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2019</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4"/>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Advisory</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Billing Arrangements</w:t>
            </w:r>
          </w:p>
        </w:tc>
        <w:tc>
          <w:tcPr>
            <w:tcW w:w="1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Fixed-fee</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123,265</w:t>
            </w:r>
          </w:p>
        </w:tc>
        <w:tc>
          <w:tcPr>
            <w:tcW w:w="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197,133</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and expense</w:t>
            </w:r>
          </w:p>
        </w:tc>
        <w:tc>
          <w:tcPr>
            <w:tcW w:w="1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170,585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1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35,027</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support, maintenance and subscriptions</w:t>
            </w:r>
          </w:p>
        </w:tc>
        <w:tc>
          <w:tcPr>
            <w:tcW w:w="17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22,454</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gridSpan w:val="2"/>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195,621</w:t>
            </w:r>
          </w:p>
        </w:tc>
        <w:tc>
          <w:tcPr>
            <w:tcW w:w="100" w:type="dxa"/>
            <w:vAlign w:val="bottom"/>
            <w:tcBorders>
              <w:top w:val="single" w:sz="8" w:color="auto"/>
            </w:tcBorders>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121,083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108,495</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425,199</w:t>
            </w:r>
          </w:p>
        </w:tc>
        <w:tc>
          <w:tcPr>
            <w:tcW w:w="4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84"/>
        </w:trPr>
        <w:tc>
          <w:tcPr>
            <w:tcW w:w="40" w:type="dxa"/>
            <w:vAlign w:val="bottom"/>
          </w:tcPr>
          <w:p>
            <w:pPr>
              <w:spacing w:after="0"/>
              <w:rPr>
                <w:sz w:val="24"/>
                <w:szCs w:val="24"/>
                <w:color w:val="auto"/>
              </w:rPr>
            </w:pPr>
          </w:p>
        </w:tc>
        <w:tc>
          <w:tcPr>
            <w:tcW w:w="46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Employee Type </w:t>
            </w:r>
            <w:r>
              <w:rPr>
                <w:rFonts w:ascii="Times New Roman" w:cs="Times New Roman" w:eastAsia="Times New Roman" w:hAnsi="Times New Roman"/>
                <w:sz w:val="21"/>
                <w:szCs w:val="21"/>
                <w:i w:val="1"/>
                <w:iCs w:val="1"/>
                <w:color w:val="auto"/>
                <w:vertAlign w:val="superscript"/>
              </w:rPr>
              <w:t>(1)</w:t>
            </w:r>
          </w:p>
        </w:tc>
        <w:tc>
          <w:tcPr>
            <w:tcW w:w="1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50"/>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generated by full-time billable consultants</w:t>
            </w: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134,366</w:t>
            </w:r>
          </w:p>
        </w:tc>
        <w:tc>
          <w:tcPr>
            <w:tcW w:w="3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346,924</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generated by full-time equivalents</w:t>
            </w:r>
          </w:p>
        </w:tc>
        <w:tc>
          <w:tcPr>
            <w:tcW w:w="1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78,275</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195,621</w:t>
            </w:r>
          </w:p>
        </w:tc>
        <w:tc>
          <w:tcPr>
            <w:tcW w:w="3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121,083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425,199</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84"/>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tc>
        <w:tc>
          <w:tcPr>
            <w:tcW w:w="17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191,248</w:t>
            </w:r>
          </w:p>
        </w:tc>
        <w:tc>
          <w:tcPr>
            <w:tcW w:w="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121,083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420,221</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7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46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gridSpan w:val="2"/>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195,621</w:t>
            </w:r>
          </w:p>
        </w:tc>
        <w:tc>
          <w:tcPr>
            <w:tcW w:w="100" w:type="dxa"/>
            <w:vAlign w:val="bottom"/>
            <w:tcBorders>
              <w:top w:val="single" w:sz="8" w:color="auto"/>
            </w:tcBorders>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121,083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108,495</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425,199</w:t>
            </w:r>
          </w:p>
        </w:tc>
        <w:tc>
          <w:tcPr>
            <w:tcW w:w="40" w:type="dxa"/>
            <w:vAlign w:val="bottom"/>
            <w:tcBorders>
              <w:top w:val="single" w:sz="8" w:color="auto"/>
            </w:tcBorders>
          </w:tcPr>
          <w:p>
            <w:pPr>
              <w:spacing w:after="0"/>
              <w:rPr>
                <w:sz w:val="20"/>
                <w:szCs w:val="20"/>
                <w:color w:val="auto"/>
              </w:rPr>
            </w:pPr>
          </w:p>
        </w:tc>
      </w:tr>
      <w:tr>
        <w:trPr>
          <w:trHeight w:val="486"/>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20" w:type="dxa"/>
            <w:vAlign w:val="bottom"/>
            <w:gridSpan w:val="9"/>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2018</w:t>
            </w:r>
          </w:p>
        </w:tc>
        <w:tc>
          <w:tcPr>
            <w:tcW w:w="900" w:type="dxa"/>
            <w:vAlign w:val="bottom"/>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4"/>
        </w:trPr>
        <w:tc>
          <w:tcPr>
            <w:tcW w:w="6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Healthcare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Billing Arrangements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Fixed-fee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8,134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93,448</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and expense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81,989</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11,481</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support, maintenance and subscriptions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10,626</w:t>
            </w:r>
          </w:p>
        </w:tc>
      </w:tr>
      <w:tr>
        <w:trPr>
          <w:trHeight w:val="237"/>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57,720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48,324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197,544</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Employee Type </w:t>
            </w:r>
            <w:r>
              <w:rPr>
                <w:rFonts w:ascii="Times New Roman" w:cs="Times New Roman" w:eastAsia="Times New Roman" w:hAnsi="Times New Roman"/>
                <w:sz w:val="21"/>
                <w:szCs w:val="21"/>
                <w:i w:val="1"/>
                <w:iCs w:val="1"/>
                <w:color w:val="auto"/>
                <w:vertAlign w:val="superscript"/>
              </w:rPr>
              <w:t>(1)</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generated by full-time billable consultants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158,812</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generated by full-time equivalents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38,732</w:t>
            </w:r>
          </w:p>
        </w:tc>
      </w:tr>
      <w:tr>
        <w:trPr>
          <w:trHeight w:val="27"/>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197,544</w:t>
            </w:r>
          </w:p>
        </w:tc>
      </w:tr>
      <w:tr>
        <w:trPr>
          <w:trHeight w:val="284"/>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89,607</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57,720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47,429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194,756</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2,788</w:t>
            </w:r>
          </w:p>
        </w:tc>
      </w:tr>
      <w:tr>
        <w:trPr>
          <w:trHeight w:val="237"/>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57,720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48,324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197,544</w:t>
            </w:r>
          </w:p>
        </w:tc>
      </w:tr>
      <w:tr>
        <w:trPr>
          <w:trHeight w:val="513"/>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2018</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6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4"/>
        </w:trPr>
        <w:tc>
          <w:tcPr>
            <w:tcW w:w="6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6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Healthcare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Billing Arrangements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Fixed-fee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122,029</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45,974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19,440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187,443</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and expense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159,557</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22,581</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support, maintenance and subscriptions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21,642</w:t>
            </w:r>
          </w:p>
        </w:tc>
      </w:tr>
      <w:tr>
        <w:trPr>
          <w:trHeight w:val="237"/>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181,395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113,615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96,213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391,223</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Employee Type </w:t>
            </w:r>
            <w:r>
              <w:rPr>
                <w:rFonts w:ascii="Times New Roman" w:cs="Times New Roman" w:eastAsia="Times New Roman" w:hAnsi="Times New Roman"/>
                <w:sz w:val="21"/>
                <w:szCs w:val="21"/>
                <w:i w:val="1"/>
                <w:iCs w:val="1"/>
                <w:color w:val="auto"/>
                <w:vertAlign w:val="superscript"/>
              </w:rPr>
              <w:t>(1)</w:t>
            </w: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generated by full-time billable consultants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121,411</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83,537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313,133</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generated by full-time equivalents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78,090</w:t>
            </w:r>
          </w:p>
        </w:tc>
      </w:tr>
      <w:tr>
        <w:trPr>
          <w:trHeight w:val="27"/>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113,615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391,223</w:t>
            </w:r>
          </w:p>
        </w:tc>
      </w:tr>
      <w:tr>
        <w:trPr>
          <w:trHeight w:val="284"/>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177,948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113,615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94,014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385,577</w:t>
            </w:r>
          </w:p>
        </w:tc>
      </w:tr>
      <w:tr>
        <w:trPr>
          <w:trHeight w:val="27"/>
        </w:trPr>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5,646</w:t>
            </w:r>
          </w:p>
        </w:tc>
      </w:tr>
      <w:tr>
        <w:trPr>
          <w:trHeight w:val="237"/>
        </w:trPr>
        <w:tc>
          <w:tcPr>
            <w:tcW w:w="64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181,395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113,615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96,213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391,223</w:t>
            </w:r>
          </w:p>
        </w:tc>
      </w:tr>
    </w:tbl>
    <w:p>
      <w:pPr>
        <w:spacing w:after="0" w:line="117" w:lineRule="exact"/>
        <w:rPr>
          <w:sz w:val="20"/>
          <w:szCs w:val="20"/>
          <w:color w:val="auto"/>
        </w:rPr>
      </w:pPr>
    </w:p>
    <w:p>
      <w:pPr>
        <w:ind w:left="6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Full-time billable consultants consist of our full-time professionals who provide consulting services to our clients and are billable to our clients based on the number of hours worked. Full-time equivalent professionals consist of leadership coaches and their support staff within our Healthcare Leadership solution, consultants who work variable schedules as needed by our clients, and full-time employees who provide software support and maintenance services to our clients.</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June 30, 2019, one client in our Healthcare segment had a total receivable and unbilled services balance that accounted for 11.1% of our combined balance of receivables from clients, net and unbilled services, net. The outstanding balance for this client is the result of services performed in advance of the contractual billing schedule. At December 31, 2018, no single client accounted for greater than 10% of our combined balance of receivables from clients, net and unbilled services, net. During the three and six months ended June 30, 2019 and 2018, no single client generated greater than 10% of our consolidated revenues.</w:t>
      </w:r>
    </w:p>
    <w:p>
      <w:pPr>
        <w:sectPr>
          <w:pgSz w:w="11900" w:h="16838" w:orient="portrait"/>
          <w:cols w:equalWidth="0" w:num="1">
            <w:col w:w="11400"/>
          </w:cols>
          <w:pgMar w:left="240" w:top="121" w:right="25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1" w:right="25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unless the context otherwise requires, the terms “Huron,” “Company,” “we,” “us” and “our” refer to Huron Consulting Group Inc. and its subsidiaries.</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2018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Huron is a global consultancy that helps clients drive growth, enhance performance and sustain leadership in the markets they serve. We partner with clients to develop strategies and implement solutions that enable the transformative change our clients need to own their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professional services through three operating segments: Healthcare, Business Advisory, and Education.</w:t>
      </w:r>
    </w:p>
    <w:p>
      <w:pPr>
        <w:spacing w:after="0" w:line="16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Healthcare</w:t>
      </w:r>
    </w:p>
    <w:p>
      <w:pPr>
        <w:spacing w:after="0" w:line="175" w:lineRule="exact"/>
        <w:rPr>
          <w:rFonts w:ascii="Times New Roman" w:cs="Times New Roman" w:eastAsia="Times New Roman" w:hAnsi="Times New Roman"/>
          <w:sz w:val="18"/>
          <w:szCs w:val="18"/>
          <w:b w:val="1"/>
          <w:bCs w:val="1"/>
          <w:color w:val="auto"/>
        </w:rPr>
      </w:pPr>
    </w:p>
    <w:p>
      <w:pPr>
        <w:ind w:left="660" w:right="2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Healthcare segment has a depth of expertise in care transformation, financial and operational excellence, technology and analytics, and leadership development.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align leaders, improve organizational culture, and drive physician, patient, and employee engagement across the enterprise to deliver better consumer outcomes.</w:t>
      </w:r>
    </w:p>
    <w:p>
      <w:pPr>
        <w:spacing w:after="0" w:line="129"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operational and organizational change and who transform the consumer experience.</w:t>
      </w:r>
    </w:p>
    <w:p>
      <w:pPr>
        <w:spacing w:after="0" w:line="1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Business Advisory</w:t>
      </w:r>
    </w:p>
    <w:p>
      <w:pPr>
        <w:spacing w:after="0" w:line="175" w:lineRule="exact"/>
        <w:rPr>
          <w:rFonts w:ascii="Times New Roman" w:cs="Times New Roman" w:eastAsia="Times New Roman" w:hAnsi="Times New Roman"/>
          <w:sz w:val="18"/>
          <w:szCs w:val="18"/>
          <w:color w:val="auto"/>
        </w:rPr>
      </w:pPr>
    </w:p>
    <w:p>
      <w:pPr>
        <w:ind w:left="660" w:right="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Advisory segment provides services to large and middle market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ectPr>
          <w:pgSz w:w="11900" w:h="16838" w:orient="portrait"/>
          <w:cols w:equalWidth="0" w:num="1">
            <w:col w:w="11360"/>
          </w:cols>
          <w:pgMar w:left="240" w:top="121" w:right="299" w:bottom="1440" w:gutter="0" w:footer="0" w:header="0"/>
        </w:sect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121" w:right="29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Education</w:t>
      </w:r>
    </w:p>
    <w:p>
      <w:pPr>
        <w:spacing w:after="0" w:line="175" w:lineRule="exact"/>
        <w:rPr>
          <w:rFonts w:ascii="Times New Roman" w:cs="Times New Roman" w:eastAsia="Times New Roman" w:hAnsi="Times New Roman"/>
          <w:sz w:val="18"/>
          <w:szCs w:val="18"/>
          <w:b w:val="1"/>
          <w:bCs w:val="1"/>
          <w:color w:val="auto"/>
        </w:rPr>
      </w:pPr>
    </w:p>
    <w:p>
      <w:pPr>
        <w:ind w:left="6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Education segment provides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 cycle management solutions align missions with business priorities, improve quality and reduce costs institution-wide. Our student solutions improve attraction, retention and graduation rates, increase student satisfaction and help generate quality outcomes.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3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Huron is a Platinum level member of the Oracle PartnerNetwork, an Oracle Cloud Premier Partner within North America, a Workday Services Partner, and a Gold level consulting partner with Salesforce.com.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leadership coaches and their support staff from our Healthcare Leadership solution, specialized finance and operational consultants,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leadership coaches are largely dependent on the number of coaches we employ and the total value, scope, and terms of the consulting contracts under which they provide services, which are primarily fixed-fee contracts.</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generate our revenues from providing professional services under four types of billing arrangements: fixed-fee (including software license revenue); time-and-expense; performance-based; and software support, maintenance and subscriptions.</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Healthcare Leadership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Fixed-fee engagements represented 45.1% and 47.3% of our revenues for the three months ended June 30, 2019 and 2018, respectively, and 46.4% and 47.9% of our revenues for the six months ended June 30, 2019 and 2018, respectively.</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Healthcare Leadership solution. We recognize revenues under time-and-expense billing arrangements as the related services or publications are provided. Time-and-expense engagements represented 39.5% and 41.5% of our revenues for the three months ended June 30, 2019 and 2018, respectively, and 40.1% and 40.8% of our revenues for the six months ended June 30, 2019 and 2018, respectively.</w:t>
      </w:r>
    </w:p>
    <w:p>
      <w:pPr>
        <w:spacing w:after="0" w:line="130" w:lineRule="exact"/>
        <w:rPr>
          <w:sz w:val="20"/>
          <w:szCs w:val="20"/>
          <w:color w:val="auto"/>
        </w:rPr>
      </w:pPr>
    </w:p>
    <w:p>
      <w:pPr>
        <w:ind w:right="800"/>
        <w:spacing w:after="0" w:line="313" w:lineRule="auto"/>
        <w:rPr>
          <w:sz w:val="20"/>
          <w:szCs w:val="20"/>
          <w:color w:val="auto"/>
        </w:rPr>
      </w:pPr>
      <w:r>
        <w:rPr>
          <w:rFonts w:ascii="Times New Roman" w:cs="Times New Roman" w:eastAsia="Times New Roman" w:hAnsi="Times New Roman"/>
          <w:sz w:val="17"/>
          <w:szCs w:val="17"/>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result of adopting our recommendations for improving operational and cost effectiveness in the areas we review. Second, we have performance-based engagements in which we earn a success fee when and if certain predefined outcomes occur. Often, performance-based fees supplement our fixed-fee or time-and-expense engagements. We recognize revenues under performance-based billing arrangements by estimating the amount of variable consideration that is probable of being earned and recognizing that estimate over the length of the contract using a proportionate performance approach. Performance-based fee revenues represented 10.2% and 5.8% of our revenues for the three months ended June 30, 2019 and 2018, respectively, and 8.2% and 5.8% of our revenues for the six months ended June 30, 2019 and 2018, respectively. The level of performance-based fees earned may vary based on our clients' risk sharing preferences and the mix of services we provide.</w:t>
      </w:r>
    </w:p>
    <w:p>
      <w:pPr>
        <w:spacing w:after="0" w:line="13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billed in advance and included in deferred revenues until recognized. Software support, maintenance and subscription revenues represented 5.2% and 5.4% of our revenues for the three months ended June 30, 2019 and 2018, respectively, and 5.3% and 5.5% of our revenues for the six months ended June 30, 2019 and 2018, respectively.</w:t>
      </w:r>
    </w:p>
    <w:p>
      <w:pPr>
        <w:spacing w:after="0" w:line="1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quarterly results are impacted principally by our full-time consultants’ utilization rate, the bill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 Opportunities and Challenges</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2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To expand our business, we will remain focused on growing our existing relationships and developing new relationships, executing our managing director compensation plan to attract and retain senior practitioners, continuing to promote and provide an integrated approach to service delivery, broadening the scope of our existing services, and acquiring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and endorsed messages.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selected segment and consolidated operating results and other operating data.</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0" w:right="1120"/>
        <w:spacing w:after="0" w:line="306" w:lineRule="auto"/>
        <w:rPr>
          <w:sz w:val="20"/>
          <w:szCs w:val="20"/>
          <w:color w:val="auto"/>
        </w:rPr>
      </w:pPr>
      <w:r>
        <w:rPr>
          <w:rFonts w:ascii="Times New Roman" w:cs="Times New Roman" w:eastAsia="Times New Roman" w:hAnsi="Times New Roman"/>
          <w:sz w:val="17"/>
          <w:szCs w:val="17"/>
          <w:b w:val="1"/>
          <w:bCs w:val="1"/>
          <w:color w:val="auto"/>
        </w:rPr>
        <w:t>Segment and Consolidated Operating Results (in thousands, except per share amounts):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Healthcare: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1040" w:type="dxa"/>
            <w:vAlign w:val="bottom"/>
          </w:tcPr>
          <w:p>
            <w:pPr>
              <w:spacing w:after="0"/>
              <w:rPr>
                <w:sz w:val="20"/>
                <w:szCs w:val="20"/>
                <w:color w:val="auto"/>
              </w:rPr>
            </w:pPr>
          </w:p>
        </w:tc>
        <w:tc>
          <w:tcPr>
            <w:tcW w:w="2040" w:type="dxa"/>
            <w:vAlign w:val="bottom"/>
            <w:gridSpan w:val="4"/>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Pr>
          <w:p>
            <w:pPr>
              <w:spacing w:after="0"/>
              <w:rPr>
                <w:sz w:val="20"/>
                <w:szCs w:val="20"/>
                <w:color w:val="auto"/>
              </w:rPr>
            </w:pPr>
          </w:p>
        </w:tc>
        <w:tc>
          <w:tcPr>
            <w:tcW w:w="194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7"/>
        </w:trPr>
        <w:tc>
          <w:tcPr>
            <w:tcW w:w="10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r>
      <w:tr>
        <w:trPr>
          <w:trHeight w:val="237"/>
        </w:trPr>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9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9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-8255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640" w:space="720"/>
            <w:col w:w="60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101,939</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91,500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195,621</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181,395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33,344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27,072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61,195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51,532</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Business Advisory:</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62,277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57,720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121,083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113,615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14,218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21,055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23,216</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56,538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48,324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108,495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96,213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16,204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28,822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22,680</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220,754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197,544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425,199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391,223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23,534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20,733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42,151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38,352</w:t>
            </w:r>
          </w:p>
        </w:tc>
        <w:tc>
          <w:tcPr>
            <w:tcW w:w="0" w:type="dxa"/>
            <w:vAlign w:val="bottom"/>
          </w:tcPr>
          <w:p>
            <w:pPr>
              <w:spacing w:after="0"/>
              <w:rPr>
                <w:sz w:val="1"/>
                <w:szCs w:val="1"/>
                <w:color w:val="auto"/>
              </w:rPr>
            </w:pPr>
          </w:p>
        </w:tc>
      </w:tr>
      <w:tr>
        <w:trPr>
          <w:trHeight w:val="237"/>
        </w:trPr>
        <w:tc>
          <w:tcPr>
            <w:tcW w:w="5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244,288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218,277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467,350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429,575</w:t>
            </w:r>
          </w:p>
        </w:tc>
        <w:tc>
          <w:tcPr>
            <w:tcW w:w="0" w:type="dxa"/>
            <w:vAlign w:val="bottom"/>
          </w:tcPr>
          <w:p>
            <w:pPr>
              <w:spacing w:after="0"/>
              <w:rPr>
                <w:sz w:val="1"/>
                <w:szCs w:val="1"/>
                <w:color w:val="auto"/>
              </w:rPr>
            </w:pPr>
          </w:p>
        </w:tc>
      </w:tr>
      <w:tr>
        <w:trPr>
          <w:trHeight w:val="67"/>
        </w:trPr>
        <w:tc>
          <w:tcPr>
            <w:tcW w:w="53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Statements of Operations reconciliation:</w:t>
            </w: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61,022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52,545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111,072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97,428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Items not allocated at the segment level:</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36,481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73,059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64,125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Litigation and other gains, net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(5,877)</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17,720</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17,875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19,138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24,631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21,460</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expense, net</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(15,846)</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taxes</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14,046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5,614</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10,569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share from continuing operations:</w:t>
            </w: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Data:</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5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Number of full-time billable consultants (at period end)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Healthcare</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Advisory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Education</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70"/>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Average number of full-time billable consultants (for the period)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Healthcare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Business Advisory</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Education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7"/>
        </w:trPr>
        <w:tc>
          <w:tcPr>
            <w:tcW w:w="54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Full-time billable consultant utilization rate </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Healthcare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Advisory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Education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70"/>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Full-time billable consultant average billing rate per hour </w:t>
            </w: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Healthcare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0"/>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Business Advisory </w:t>
            </w:r>
            <w:r>
              <w:rPr>
                <w:rFonts w:ascii="Times New Roman" w:cs="Times New Roman" w:eastAsia="Times New Roman" w:hAnsi="Times New Roman"/>
                <w:sz w:val="21"/>
                <w:szCs w:val="21"/>
                <w:color w:val="auto"/>
                <w:vertAlign w:val="superscript"/>
              </w:rPr>
              <w:t>(4) (5)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Education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0"/>
        </w:trPr>
        <w:tc>
          <w:tcPr>
            <w:tcW w:w="5420" w:type="dxa"/>
            <w:vAlign w:val="bottom"/>
            <w:gridSpan w:val="2"/>
          </w:tcPr>
          <w:p>
            <w:pPr>
              <w:ind w:left="380"/>
              <w:spacing w:after="0" w:line="269" w:lineRule="exact"/>
              <w:rPr>
                <w:sz w:val="20"/>
                <w:szCs w:val="20"/>
                <w:color w:val="auto"/>
              </w:rPr>
            </w:pPr>
            <w:r>
              <w:rPr>
                <w:rFonts w:ascii="Times New Roman" w:cs="Times New Roman" w:eastAsia="Times New Roman" w:hAnsi="Times New Roman"/>
                <w:sz w:val="31"/>
                <w:szCs w:val="31"/>
                <w:color w:val="auto"/>
                <w:vertAlign w:val="subscript"/>
              </w:rPr>
              <w:t>Total</w:t>
            </w:r>
            <w:r>
              <w:rPr>
                <w:rFonts w:ascii="Times New Roman" w:cs="Times New Roman" w:eastAsia="Times New Roman" w:hAnsi="Times New Roman"/>
                <w:sz w:val="10"/>
                <w:szCs w:val="10"/>
                <w:color w:val="auto"/>
              </w:rPr>
              <w:t xml:space="preserve"> (4) (5)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 per full-time billable consultant (in thousands):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Healthcare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Advisory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Education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70"/>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Average number of full-time equivalents (for the period) </w:t>
            </w:r>
            <w:r>
              <w:rPr>
                <w:rFonts w:ascii="Times New Roman" w:cs="Times New Roman" w:eastAsia="Times New Roman" w:hAnsi="Times New Roman"/>
                <w:sz w:val="21"/>
                <w:szCs w:val="21"/>
                <w:b w:val="1"/>
                <w:bCs w:val="1"/>
                <w:color w:val="auto"/>
                <w:vertAlign w:val="superscript"/>
              </w:rPr>
              <w:t>(6)</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Healthcare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Business Advisory</w:t>
            </w:r>
          </w:p>
        </w:tc>
        <w:tc>
          <w:tcPr>
            <w:tcW w:w="320" w:type="dxa"/>
            <w:vAlign w:val="bottom"/>
          </w:tcPr>
          <w:p>
            <w:pPr>
              <w:spacing w:after="0"/>
              <w:rPr>
                <w:sz w:val="21"/>
                <w:szCs w:val="21"/>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Education</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7"/>
        </w:trPr>
        <w:tc>
          <w:tcPr>
            <w:tcW w:w="54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 per full-time equivalent (in thousands):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Healthcare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Advisory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43"/>
        </w:trPr>
        <w:tc>
          <w:tcPr>
            <w:tcW w:w="5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Education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4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7"/>
        </w:trPr>
        <w:tc>
          <w:tcPr>
            <w:tcW w:w="5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full-time professionals who provide consulting services and generate revenues based on the number of hours worked.</w:t>
      </w:r>
    </w:p>
    <w:p>
      <w:pPr>
        <w:spacing w:after="0" w:line="63" w:lineRule="exact"/>
        <w:rPr>
          <w:rFonts w:ascii="Times New Roman" w:cs="Times New Roman" w:eastAsia="Times New Roman" w:hAnsi="Times New Roman"/>
          <w:sz w:val="18"/>
          <w:szCs w:val="18"/>
          <w:color w:val="auto"/>
        </w:rPr>
      </w:pPr>
    </w:p>
    <w:p>
      <w:pPr>
        <w:ind w:left="540" w:right="100" w:hanging="532"/>
        <w:spacing w:after="0" w:line="26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rate for our full-time billable consultants is calculated by dividing the number of hours our full-time billable consultants worked on client assignments during a period by the total available working hours for these consultants during the same period, assuming a forty-hour work week, less paid holidays and vacation days.</w:t>
      </w:r>
    </w:p>
    <w:p>
      <w:pPr>
        <w:spacing w:after="0" w:line="14" w:lineRule="exact"/>
        <w:rPr>
          <w:rFonts w:ascii="Times New Roman" w:cs="Times New Roman" w:eastAsia="Times New Roman" w:hAnsi="Times New Roman"/>
          <w:sz w:val="18"/>
          <w:szCs w:val="18"/>
          <w:color w:val="auto"/>
        </w:rPr>
      </w:pPr>
    </w:p>
    <w:p>
      <w:pPr>
        <w:ind w:left="540" w:right="220" w:hanging="532"/>
        <w:spacing w:after="0" w:line="281"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billing rate per hour for our full-time billable consultants is calculated by dividing revenues for a period by the number of hours worked on client assignments during the same period.</w:t>
      </w:r>
    </w:p>
    <w:p>
      <w:pPr>
        <w:spacing w:after="0" w:line="1" w:lineRule="exact"/>
        <w:rPr>
          <w:rFonts w:ascii="Times New Roman" w:cs="Times New Roman" w:eastAsia="Times New Roman" w:hAnsi="Times New Roman"/>
          <w:sz w:val="18"/>
          <w:szCs w:val="18"/>
          <w:color w:val="auto"/>
        </w:rPr>
      </w:pPr>
    </w:p>
    <w:p>
      <w:pPr>
        <w:ind w:left="540" w:right="140" w:hanging="532"/>
        <w:spacing w:after="0" w:line="26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Advisory segment includes operations of Huron Eurasia India. Absent the impact of Huron Eurasia India, the average billing rate per hour for the Business Advisory segment would have been $215 and $246 for the three months ended June 30, 2019 and 2018, respectively; and $219 and $243 for the six months ended June 30, 2019 and 2018, respectively.</w:t>
      </w:r>
    </w:p>
    <w:p>
      <w:pPr>
        <w:spacing w:after="0" w:line="14" w:lineRule="exact"/>
        <w:rPr>
          <w:rFonts w:ascii="Times New Roman" w:cs="Times New Roman" w:eastAsia="Times New Roman" w:hAnsi="Times New Roman"/>
          <w:sz w:val="18"/>
          <w:szCs w:val="18"/>
          <w:color w:val="auto"/>
        </w:rPr>
      </w:pPr>
    </w:p>
    <w:p>
      <w:pPr>
        <w:ind w:left="540" w:right="1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the impact of Huron Eurasia India, Huron's consolidated average billing rate per hour would have been $214 for both the three months ended June 30, 2019 and 2018; and $216 and $214 for the six months ended June 30, 2019 and 2018, respectively.</w:t>
      </w:r>
    </w:p>
    <w:p>
      <w:pPr>
        <w:spacing w:after="0" w:line="1" w:lineRule="exact"/>
        <w:rPr>
          <w:rFonts w:ascii="Times New Roman" w:cs="Times New Roman" w:eastAsia="Times New Roman" w:hAnsi="Times New Roman"/>
          <w:sz w:val="18"/>
          <w:szCs w:val="18"/>
          <w:color w:val="auto"/>
        </w:rPr>
      </w:pPr>
    </w:p>
    <w:p>
      <w:pPr>
        <w:ind w:left="540" w:right="120" w:hanging="532"/>
        <w:spacing w:after="0" w:line="266"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third quarter of 2018, the average billing rate per hour excludes the number of hours charged on internal assignments by consultants within Huron Eurasia India to provide a more meaningful average billing rate charged to external clients. Prior year periods have been revised for consistent presentation.</w:t>
      </w:r>
    </w:p>
    <w:p>
      <w:pPr>
        <w:spacing w:after="0" w:line="14" w:lineRule="exact"/>
        <w:rPr>
          <w:rFonts w:ascii="Times New Roman" w:cs="Times New Roman" w:eastAsia="Times New Roman" w:hAnsi="Times New Roman"/>
          <w:sz w:val="18"/>
          <w:szCs w:val="18"/>
          <w:color w:val="auto"/>
        </w:rPr>
      </w:pPr>
    </w:p>
    <w:p>
      <w:pPr>
        <w:ind w:left="540" w:right="180" w:hanging="532"/>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leadership coaches and their support staff within the Healthcare Leadership solution, consultants who work variable schedules as needed by our clients, and full-time employees who provide software support and maintenance services to our clients.</w:t>
      </w:r>
    </w:p>
    <w:p>
      <w:pPr>
        <w:sectPr>
          <w:pgSz w:w="11900" w:h="16838" w:orient="portrait"/>
          <w:cols w:equalWidth="0" w:num="1">
            <w:col w:w="11420"/>
          </w:cols>
          <w:pgMar w:left="240" w:top="121" w:right="239" w:bottom="293"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293"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assess our results of operations using certain non-GAAP financial measures. These non-GAAP financial measures differ from GAAP because the non-GAAP financial measures we calculate to measure earnings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3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of these financial measures from GAAP to non-GAAP are as follows (in thousands, except per share amounts):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220,754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197,544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425,199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391,223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10,569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13,919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back:</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10,008</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9,885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19,906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38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90"/>
              <w:spacing w:after="0" w:line="201" w:lineRule="exact"/>
              <w:rPr>
                <w:sz w:val="20"/>
                <w:szCs w:val="20"/>
                <w:color w:val="auto"/>
              </w:rPr>
            </w:pPr>
            <w:r>
              <w:rPr>
                <w:rFonts w:ascii="Times New Roman" w:cs="Times New Roman" w:eastAsia="Times New Roman" w:hAnsi="Times New Roman"/>
                <w:sz w:val="18"/>
                <w:szCs w:val="18"/>
                <w:color w:val="auto"/>
              </w:rPr>
              <w:t>26,892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line="201" w:lineRule="exact"/>
              <w:rPr>
                <w:sz w:val="20"/>
                <w:szCs w:val="20"/>
                <w:color w:val="auto"/>
              </w:rPr>
            </w:pPr>
            <w:r>
              <w:rPr>
                <w:rFonts w:ascii="Times New Roman" w:cs="Times New Roman" w:eastAsia="Times New Roman" w:hAnsi="Times New Roman"/>
                <w:sz w:val="18"/>
                <w:szCs w:val="18"/>
                <w:color w:val="auto"/>
              </w:rPr>
              <w:t>23,330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0"/>
              <w:spacing w:after="0" w:line="201" w:lineRule="exact"/>
              <w:rPr>
                <w:sz w:val="20"/>
                <w:szCs w:val="20"/>
                <w:color w:val="auto"/>
              </w:rPr>
            </w:pPr>
            <w:r>
              <w:rPr>
                <w:rFonts w:ascii="Times New Roman" w:cs="Times New Roman" w:eastAsia="Times New Roman" w:hAnsi="Times New Roman"/>
                <w:sz w:val="18"/>
                <w:szCs w:val="18"/>
                <w:color w:val="auto"/>
              </w:rPr>
              <w:t>44,154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0"/>
              <w:spacing w:after="0" w:line="201" w:lineRule="exact"/>
              <w:rPr>
                <w:sz w:val="20"/>
                <w:szCs w:val="20"/>
                <w:color w:val="auto"/>
              </w:rPr>
            </w:pPr>
            <w:r>
              <w:rPr>
                <w:rFonts w:ascii="Times New Roman" w:cs="Times New Roman" w:eastAsia="Times New Roman" w:hAnsi="Times New Roman"/>
                <w:sz w:val="18"/>
                <w:szCs w:val="18"/>
                <w:color w:val="auto"/>
              </w:rPr>
              <w:t>35,528</w:t>
            </w:r>
          </w:p>
        </w:tc>
        <w:tc>
          <w:tcPr>
            <w:tcW w:w="0" w:type="dxa"/>
            <w:vAlign w:val="bottom"/>
          </w:tcPr>
          <w:p>
            <w:pPr>
              <w:spacing w:after="0"/>
              <w:rPr>
                <w:sz w:val="1"/>
                <w:szCs w:val="1"/>
                <w:color w:val="auto"/>
              </w:rPr>
            </w:pPr>
          </w:p>
        </w:tc>
      </w:tr>
      <w:tr>
        <w:trPr>
          <w:trHeight w:val="245"/>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back:</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Litigation and other gains, net</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(5,877)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5,831</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transaction losses (gains), net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29,215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24,678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47,214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38,365</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Adjusted EBITDA as a percentage of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10,569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13,919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Diluted earnings per share from continuing operations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Add back: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12,299</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Litigation and other gains,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interest on convertible notes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sale of business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5,831</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expense related to the enactment of Tax Cut and Jobs Act of 2017</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adjustments,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14,351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 from continuing operations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17,065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12,780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25,918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16,991</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9" w:lineRule="exact"/>
              <w:rPr>
                <w:sz w:val="20"/>
                <w:szCs w:val="20"/>
                <w:color w:val="auto"/>
              </w:rPr>
            </w:pPr>
            <w:r>
              <w:rPr>
                <w:rFonts w:ascii="Times New Roman" w:cs="Times New Roman" w:eastAsia="Times New Roman" w:hAnsi="Times New Roman"/>
                <w:sz w:val="18"/>
                <w:szCs w:val="18"/>
                <w:b w:val="1"/>
                <w:bCs w:val="1"/>
                <w:color w:val="auto"/>
              </w:rPr>
              <w:t>Weighted average shares - diluted</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22,400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22,356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21,866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diluted earnings per share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non-GAAP financial measures include adjustments for the following items:</w:t>
      </w:r>
    </w:p>
    <w:p>
      <w:pPr>
        <w:spacing w:after="0" w:line="169" w:lineRule="exact"/>
        <w:rPr>
          <w:sz w:val="20"/>
          <w:szCs w:val="20"/>
          <w:color w:val="auto"/>
        </w:rPr>
      </w:pPr>
    </w:p>
    <w:p>
      <w:pPr>
        <w:ind w:right="5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w:t>
      </w:r>
      <w:r>
        <w:rPr>
          <w:rFonts w:ascii="Times New Roman" w:cs="Times New Roman" w:eastAsia="Times New Roman" w:hAnsi="Times New Roman"/>
          <w:sz w:val="18"/>
          <w:szCs w:val="18"/>
          <w:color w:val="auto"/>
        </w:rPr>
        <w:t>We have excluded the effect of amortization of intangible assets from the calculation of adjusted net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continuing operations presented above. Amortization of intangible assets is inconsistent in its amount and frequency and is significantly affected by the timing and size of our acquisitions.</w:t>
      </w:r>
    </w:p>
    <w:p>
      <w:pPr>
        <w:spacing w:after="0" w:line="12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We have incurred charges due to the restructuring of various parts of our business. These restructuring charges have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 costs associated with office space consolidations, including lease impairment charges and accelerated depreciation on lease-related property and equipment,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26"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Litigation and other gains, net: </w:t>
      </w:r>
      <w:r>
        <w:rPr>
          <w:rFonts w:ascii="Times New Roman" w:cs="Times New Roman" w:eastAsia="Times New Roman" w:hAnsi="Times New Roman"/>
          <w:sz w:val="18"/>
          <w:szCs w:val="18"/>
          <w:color w:val="auto"/>
        </w:rPr>
        <w:t>We have excluded the effects of litigation and other gains, net which primarily consist of net remeasurement gains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acquisition liabilities and the litigation settlement gain recorded in the second quarter of 2018 to permit comparability with periods that were not impacted by these items.</w:t>
      </w:r>
    </w:p>
    <w:p>
      <w:pPr>
        <w:spacing w:after="0" w:line="12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Non-cash interest on convertible notes: </w:t>
      </w:r>
      <w:r>
        <w:rPr>
          <w:rFonts w:ascii="Times New Roman" w:cs="Times New Roman" w:eastAsia="Times New Roman" w:hAnsi="Times New Roman"/>
          <w:sz w:val="18"/>
          <w:szCs w:val="18"/>
          <w:color w:val="auto"/>
        </w:rPr>
        <w:t>We incur non-cash interest expense relating to the implied value of the equity conversion component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26"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sale of business: </w:t>
      </w:r>
      <w:r>
        <w:rPr>
          <w:rFonts w:ascii="Times New Roman" w:cs="Times New Roman" w:eastAsia="Times New Roman" w:hAnsi="Times New Roman"/>
          <w:sz w:val="18"/>
          <w:szCs w:val="18"/>
          <w:color w:val="auto"/>
        </w:rPr>
        <w:t>We have excluded the effect of the loss on the sale of the Middle East practice within the Business Advisory segment in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2018. Divestitures of businesses are infrequent and are not indicative of the ongoing performance of our business.</w:t>
      </w:r>
    </w:p>
    <w:p>
      <w:pPr>
        <w:spacing w:after="0" w:line="104"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Transaction-related expenses: </w:t>
      </w:r>
      <w:r>
        <w:rPr>
          <w:rFonts w:ascii="Times New Roman" w:cs="Times New Roman" w:eastAsia="Times New Roman" w:hAnsi="Times New Roman"/>
          <w:sz w:val="18"/>
          <w:szCs w:val="18"/>
          <w:color w:val="auto"/>
        </w:rPr>
        <w:t>To permit comparability with prior periods, we excluded the impact of third-party legal and accounting fees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of a potential acquisition that ultimately did not consummate.</w:t>
      </w:r>
    </w:p>
    <w:p>
      <w:pPr>
        <w:spacing w:after="0" w:line="10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transaction losses (gains), net: </w:t>
      </w:r>
      <w:r>
        <w:rPr>
          <w:rFonts w:ascii="Times New Roman" w:cs="Times New Roman" w:eastAsia="Times New Roman" w:hAnsi="Times New Roman"/>
          <w:sz w:val="18"/>
          <w:szCs w:val="18"/>
          <w:color w:val="auto"/>
        </w:rPr>
        <w:t>We have excluded the effect of foreign currency transaction losses and gains from the calculation of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because the amount of each loss or gain is significantly affected by changes in foreign exchange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Tax effect of adjustments: </w:t>
      </w:r>
      <w:r>
        <w:rPr>
          <w:rFonts w:ascii="Times New Roman" w:cs="Times New Roman" w:eastAsia="Times New Roman" w:hAnsi="Times New Roman"/>
          <w:sz w:val="18"/>
          <w:szCs w:val="18"/>
          <w:color w:val="auto"/>
        </w:rPr>
        <w:t>The non-GAAP income tax adjustment reflects the incremental tax impact applicable to the non-GAAP adjustments.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Tax expense related to the enactment of Tax Cuts and Jobs Act of 2017 ("2017 Tax Reform"): </w:t>
      </w:r>
      <w:r>
        <w:rPr>
          <w:rFonts w:ascii="Times New Roman" w:cs="Times New Roman" w:eastAsia="Times New Roman" w:hAnsi="Times New Roman"/>
          <w:sz w:val="18"/>
          <w:szCs w:val="18"/>
          <w:color w:val="auto"/>
        </w:rPr>
        <w:t>We have excluded the impact of the 2017 Tax Reform,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enacted in the fourth quarter of 2017. In the first quarter of 2018, we recorded an adjustment to our estimated one-time income tax expense related to the transition tax on accumulated foreign earnings. The exclusion of the 2017 Tax Reform impact permits comparability with periods that were not impacted by this item.</w:t>
      </w:r>
    </w:p>
    <w:p>
      <w:pPr>
        <w:sectPr>
          <w:pgSz w:w="11900" w:h="16838" w:orient="portrait"/>
          <w:cols w:equalWidth="0" w:num="1">
            <w:col w:w="11420"/>
          </w:cols>
          <w:pgMar w:left="240" w:top="121"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Interest expense, net of interest income, Depreciation and amortization: </w:t>
      </w:r>
      <w:r>
        <w:rPr>
          <w:rFonts w:ascii="Times New Roman" w:cs="Times New Roman" w:eastAsia="Times New Roman" w:hAnsi="Times New Roman"/>
          <w:sz w:val="18"/>
          <w:szCs w:val="18"/>
          <w:color w:val="auto"/>
        </w:rPr>
        <w:t>We have excluded the effects of income tax expense,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net of interest income, and depreciation and amortization in the calculation of EBITDA as these are customary exclusions as defined by the calculation of EBITDA to arrive at meaningful earnings from core operations excluding the effect of such items.</w:t>
      </w:r>
    </w:p>
    <w:p>
      <w:pPr>
        <w:spacing w:after="0" w:line="118" w:lineRule="exact"/>
        <w:rPr>
          <w:sz w:val="20"/>
          <w:szCs w:val="20"/>
          <w:color w:val="auto"/>
        </w:rPr>
      </w:pPr>
    </w:p>
    <w:p>
      <w:pPr>
        <w:ind w:right="4860"/>
        <w:spacing w:after="0" w:line="440" w:lineRule="auto"/>
        <w:rPr>
          <w:sz w:val="20"/>
          <w:szCs w:val="20"/>
          <w:color w:val="auto"/>
        </w:rPr>
      </w:pPr>
      <w:r>
        <w:rPr>
          <w:rFonts w:ascii="Times New Roman" w:cs="Times New Roman" w:eastAsia="Times New Roman" w:hAnsi="Times New Roman"/>
          <w:sz w:val="18"/>
          <w:szCs w:val="18"/>
          <w:b w:val="1"/>
          <w:bCs w:val="1"/>
          <w:color w:val="auto"/>
        </w:rPr>
        <w:t>Three Months Ended June 30, 2019 Compared to Three Months Ended June 30, 2018 Revenues</w:t>
      </w:r>
    </w:p>
    <w:p>
      <w:pPr>
        <w:spacing w:after="0" w:line="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Revenues increased $23.2 million, or 11.7%, to $220.8 million for the second quarter of 2019 from $197.5 million for the second quarter of 2018. Of the overall $23.2 million increase in revenues, $20.2 million was attributable to an increase in revenues from our full-time billable consultants and $3.0 million was attributable to an increase in revenues from our full-time equivalents.</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increase in full-time billable consultant revenues reflected strengthened demand for services in all of our segments, as discussed below in Segment Results, and was primarily attributable to increases in the average number of billable consultants and the consultant utilization rate for the second quarter of 2019 compared to the same prior year period.</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increase in full-time equivalent revenues was primarily attributable to our Healthcare segment, as discussed below in Segment Results; and reflected an increase in the average number of full-time equivalents, partially offset by a decrease in revenue per full-time equivalent for the second quarter of 2019 compared to the same prior year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Direct Costs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total direct costs, including amortization of intangible assets and software development costs, increased $14.3 million, or 11.1%, to $142.8 million in the three months ended June 30, 2019, from $128.5 million in the three months ended June 30, 2018. The $14.3 million increase primarily related to a $6.7 million increase in performance bonus expense for our revenue-generating professionals and a $5.3 million increase in salaries and related expenses for our revenue-generating professionals, which was largely driven by increased headcount in our Business Advisory and Education segments. Additional increases to our total direct costs include a $1.4 million increase in contractor expense and a $1.0 million increase in share-based compensation expense for our revenue-generating professionals. As a percentage of revenues, our total direct costs decreased to 64.7% during the second quarter of 2019 compared to 65.1% during the second quarter of 2018, primarily due to revenue growth that outpaced the increase in salaries and related expenses for our revenue-generating professionals, partially offset by the increases in performance bonus expense for our revenue-generating professionals and contractor expense, as percentages of revenues.</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Total direct costs for the three months ended June 30, 2019 included $1.2 million of amortization expense for internal software development costs and intangible assets, compared to $1.0 million of amortization expense for the same prior year period. The $0.2 million increase in amortization expense was primarily attributable to an increase in amortization for internal software development costs. Intangible asset amortization included within direct costs for the three months ended June 30, 2019 and 2018 primarily related to technology and software, certain customer relationships and customer contracts acquired in connection with our business acquisitions. See Note 4 "Goodwill and Intangible Assets" within the notes to our consolidated financial statements for additional information on our intangible 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and Other Gains, Net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increased by $7.0 million, or 15.5%, to $52.5 million in the second quarter of 2019 from $45.5 million in the second quarter of 2018. The overall $7.0 million increase primarily related to a $1.3 million increase in salaries and related expenses for our support personnel; a $1.2 million increase in legal expenses; a $0.9 million increase in computer and related equipment expenses; a $0.8 million increase in share-based compensation expense for our support personnel; a $0.8 million increase in accounting, tax and audit fees; a $0.5 million increase in performance bonus expense for our support personnel; a $0.4 million increase in practice administration and meetings expenses; and a $0.3 million increase in training expenses. The increase in legal and accounting fees was primarily due to third-party transaction-related expenses related to the evaluation of a potential acquisition that ultimately did not consummate. As a percentage of revenues, selling, general and administrative expenses increased to 23.8% during the second quarter of 2019 compared to 23.0% during the second quarter of 2018. This increase was primarily due to the increases in legal expenses, accounting, tax and audit fees, computer and related equipment expenses, and share-based compensation expense for our support personnel, all as percentages of revenues; largely offset by revenue growth that outpaced the increase in salaries and related expenses for our support personnel and a decrease in facilities expense.</w:t>
      </w:r>
    </w:p>
    <w:p>
      <w:pPr>
        <w:spacing w:after="0" w:line="1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Restructuring charges for the second quarter of 2019 were $0.8 million, compared to $2.0 million for the second quarter of 2018. During the second quarter of 2019, we exited the remaining portion of our Middleton, Wisconsin office and an office space in Houston, Texas, resulting in restructuring charges of $0.4 million and $0.1 million, respectively, which primarily related to accelerated depreciation on furniture and fixtures in those offices. Additionally, we recognized a $0.2 million restructuring charge in the second quarter of 2019 related to workforce reductions as we continue to better align resources with market demand. The $2.0 million charge incurred in the second quarter of 2018 consisted of $1.0 million related to workforce reductions to better align resources with market demand; $0.7 million related to the accrual of remaining lease payments, net of estimated sublease income, and accelerated depreciation on leasehold improvements due to exiting a portion of our Middleton, Wisconsin office in the second quarter of 2018, which was accounted for in accordance with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$0.3 million related to the divestiture of our Middle East practice within the</w:t>
      </w:r>
    </w:p>
    <w:p>
      <w:pPr>
        <w:sectPr>
          <w:pgSz w:w="11900" w:h="16838" w:orient="portrait"/>
          <w:cols w:equalWidth="0" w:num="1">
            <w:col w:w="11420"/>
          </w:cols>
          <w:pgMar w:left="240" w:top="121"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Business Advisory segment. See Note 9 "Restructuring Charges" within the notes to our consolidated financial statements for additional information on our restructuring charges.</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Litigation and other gains, net totaled $0.5 million for the second quarter of 2019, and consisted of remeasurement gains for the decrease in the estimated fair value of our liabilities for contingent consideration payments related to a business acquisition. Litigation and other gains, net totaled $6.7 million for the second quarter of 2018, and consisted of $4.2 million of net remeasurement gains for the decrease in the estimated fair value of contingent consideration liabilities and a $2.5 million litigation settlement gain for the resolution of Huron's claim in a class action lawsuit. In connection with certain business acquisitions, we may be required to pay post-closing consideration to the sellers if specific financial performance targets are met over a number of years as specified in the related purchase agreements. See Note 11 "Fair Value of Financial Instruments" within the notes to our consolidated financial statements for additional information on the fair value of contingent consideration liabilities.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was $7.2 million in the three months ended June 30, 2019 compared to $8.9 million in the three months ended</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June 30, 2018. The $1.8 million decrease in depreciation and amortization expense was primarily attributable to decreasing amortization expense of the trade name and customer relationships acquired in our Studer Group acquisition, due to the accelerated basis of amortization in prior periods, as well as certain customer relationships acquired in other business acquisitions that were fully amortized in prior periods. Intangible asset amortization expense included within operating expenses primarily related to certain customer relationships, trade names, and non-competition agreements acquired in connection with our business acquisitions. See Note 4 "Goodwill and Intangible Assets" within the notes to our consolidated financial statements for additional information on our intangible assets.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income decreased $1.3 million to $17.9 million in the second quarter of 2019 from $19.1 million in the second quarter of 2018. Operating margin, which is defined as operating income expressed as a percentage of revenues, was 8.1% in the three months ended June 30, 2019, compared to 9.7% in the three months ended June 30, 2018. The decrease in operating margin was primarily attributable to the increase in performance bonus expense for our revenue-generating professionals, as a percentage of revenues, and the decrease in litigation and other gains, net; partially offset by the revenue growth that outpaced the increase in salaries and related expenses for our revenue-generating professionals and the decrease in restructuring charges.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Total other expense, net decreased $6.9 million to $3.8 million in the second quarter of 2019 from $10.7 million in the second quarter of 2018. The decrease in total other expense, net was primarily attributable to a $5.8 million loss on the divestiture of our Middle East practice within our Business Advisory segment recorded in the second quarter of 2018. During the second quarter of 2018, we sold our Middle East business to a former employee who was the practice leader of that business at the time. Interest expense, net of interest income decreased $0.5 million to $4.5 million in the second quarter of 2019 from $5.0 million in the second quarter of 2018. The decrease in interest expense was due to lower levels of borrowing under our credit facility, partially offset by higher interest rates during the second quarter of 2019 compared to the second quarter of 2018.</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2019, our effective tax rate was 24.8% as we recognized income tax expense from continuing operations of $3.5 million on income from continuing operations of $14.0 million. The effective tax rate of 24.8% was more favorable than the statutory rate, inclusive of state income taxes, of 26.4% primarily due to non-taxable gains on our investments used to fund our deferred compensation liability and federal tax credits, partially offset by non-deductible business expenses. For the three months ended June 30, 2018, our effective tax rate was 30.4% as we recognized income tax expense from continuing operations of $2.6 million on income from continuing operations of $8.4 million. The effective tax rate of 30.4% was less favorable than the statutory rate, inclusive of state income taxes, of 26.0% primarily due to non-deductible business expenses.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p>
      <w:pPr>
        <w:spacing w:after="0" w:line="17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Net income from continuing operations increased $4.7 million to $10.6 million for the three months ended June 30, 2019 from $5.9 million for the same period last year. As a result of the increase in net income from continuing operations, diluted income per share from continuing operations for the second quarter of 2019 was $0.47 compared to $0.27 for the second quarter of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17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EBITDA increased $3.6 million to $26.9 million for the three months ended June 30, 2019 from $23.3 million for the three months ended June 30, 2018. Adjusted EBITDA increased $4.5 million to $29.2 million in the second quarter of 2019 from $24.7 million in the second quarter of 2018. The increase in EBITDA was primarily attributable to the increase in revenues for the second quarter of 2019 compared to the second quarter of 2018 and the loss on the divestiture of our Middle East business within our Business Advisory segment recorded in the second quarter of 2018. These increases to EBITDA were partially offset by the increases in selling, general and administrative expenses, salaries and related expenses for our revenue-generating professionals, and performance bonus expense for our revenue-generating professionals; as well as the decrease in litigation and other gains, net recognized in the second quarter of 2019 compared to the same prior year period. The increase in adjusted EBITDA was</w:t>
      </w:r>
    </w:p>
    <w:p>
      <w:pPr>
        <w:sectPr>
          <w:pgSz w:w="11900" w:h="16838" w:orient="portrait"/>
          <w:cols w:equalWidth="0" w:num="1">
            <w:col w:w="11400"/>
          </w:cols>
          <w:pgMar w:left="240" w:top="121" w:right="25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21" w:right="25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primarily attributable to the increase in revenues, partially offset by the increases in selling, general and administrative expenses, salaries and related expenses for our revenue-generating professionals, and performance bonus expense for our revenue-generating professionals in the second quarter of 2019 compared to the second quarter of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from Continuing Operations</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Adjusted net income from continuing operations increased $4.3 million to $17.1 million in the second quarter of 2019 compared to $12.8 million in the second quarter of 2018. As a result of the increase in adjusted net income from continuing operations, adjusted diluted earnings per share from continuing operations was $0.76 for the second quarter of 2019, compared to $0.58 for the second quarter of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Healthcare segment revenues increased $10.4 million, or 11.4%, to $101.9 million for the second quarter of 2019 from $91.5 million for the second quarter of 2018.</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2019, revenues from fixed-fee engagements; time-and-expense engagements; performance-based arrangements; and software support, maintenance and subscription arrangements represented 58.5%, 14.0%, 21.6%, and 5.9% of this segment’s revenues, respectively, compared to 67.5%, 15.5%, 10.1%, and 6.9% of this segment’s revenues, respectively, for the same prior year period. Performance-based fee revenue was $22.0 million for the second quarter of 2019 compared to $9.2 million for the second quarter of 2018. The level of performance-based fees earned may vary based on our clients’ risk sharing preferences and the mix of services we provide.</w:t>
      </w:r>
    </w:p>
    <w:p>
      <w:pPr>
        <w:spacing w:after="0" w:line="13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Of the overall $10.4 million increase in revenues, $7.4 million was attributable to an increase in revenues from our full-time billable consultants and $3.0 million was attributable to an increase in revenues generated by our full-time equivalents.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increase in revenues attributable to our full-time billable consultants reflected increases in the average billing rate and the average number of billable consultants, partially offset by a decrease in the consultant utilization rate in the second quarter of 2019 compared to the same prior year period. The increase in revenues attributable to our full-time equivalents was driven by a temporary increase in the usage of contractors; and reflected an increase in the average number of full-time equivalents, partially offset by a decrease in revenue per full-time equivalent in the second quarter of 2019 compared to the same prior year period.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Healthcare segment operating income increased $6.3 million, or 23.2%, to $33.3 million for the three months ended June 30, 2019 from $27.1 million for the three months ended June 30, 2018. The Healthcare segment operating margin, defined as segment operating income expressed as a percentage of segment revenues, increased to 32.7% for the second quarter of 2019 from 29.6% in the same period last year. The increase in this segment’s operating margin was primarily attributable to a slight decrease in salaries and related expenses for our revenue-generating professionals and revenue growth that outpaced a slight increase in salaries and related expenses for our support personnel. These increases to the operating margin were partially offset by increases in contractor expense, share-based compensation expense for our revenue-generating professionals and performance bonus expense for our revenue-generating professionals, all as percentages of revenues.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Business Advisory segment revenues increased $4.6 million, or 7.9%, to $62.3 million for the second quarter of 2019 from $57.7 million for the second quarter of 2018.</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2019, revenues from fixed-fee engagements; time-and-expense engagements; performance-based arrangements; and software support, maintenance and subscription arrangements represented 42.9%, 54.3%, 0.8%, and 2.0% of this segment’s revenues, respectively, compared to 40.8%, 53.4%, 3.9%, and 1.9% of this segment's revenues, respectively, for the same prior year period. Performance-based fee revenue was $0.5 million for the second quarter of 2019 compared to $2.3 million for the second quarter of 2018. The level of performance-based fees earned may vary based on our clients’ preferences and the mix of services we provide.</w:t>
      </w:r>
    </w:p>
    <w:p>
      <w:pPr>
        <w:spacing w:after="0" w:line="13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Of the overall $4.6 million increase in revenues, $5.3 million was attributable to an increase in revenues from our full-time billable consultants; partially offset by a $0.7 million decrease in revenues generated by our full-time equivalents. The increase in revenues from our full-time billable consultants reflected increases in the average number of billable consultants and the consultant utilization rate, partially offset by a decrease in the average billing rate in the second quarter of 2019 compared to the same prior year period. The decrease in revenues generated by our full-time equivalents was driven by a decreased use of contractors; and reflected a decrease in the average number of full-time equivalents, partially offset by an increase in revenue per full-time equivalent in the second quarter of 2019 compared to the same prior year period.</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Business Advisory segment operating income decreased by $2.7 million, or 19.3%, to $11.5 million for the three months ended June 30, 2019 from $14.2 million for the three months ended June 30, 2018. The Business Advisory segment operating margin decreased to 18.4% for the second quarter of 2019 from 24.6% in the same period last year. The decrease in this segment’s operating margin was primarily attributable to an increase in performance bonus expense for our revenue-generating professionals, as well as increases in share-based compensation expense for our revenue-generating professionals and promotion and marketing expenses, all as percentages of revenues. These decreases to the operating margin were partially offset by decreases in restructuring charges and contractor expense.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Education segment revenues increased $8.2 million, or 17.0%, to $56.5 million for the second quarter of 2019 from $48.3 million for the second quarter of 2018.</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2019, revenues from fixed-fee engagements; time-and-expense engagements; and software support, maintenance and subscription arrangements represented 23.2%, 69.1%, and 7.7% of this segment’s revenues, respectively, compared to 16.8%, 76.4%, and 6.8% of this segment’s revenues, respectively, for the same prior year period.</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Of the overall $8.2 million increase in revenues, $7.5 million was attributable to our full-time billable consultants and $0.7 million was attributable to our full-time equivalents. The increase in revenues attributable to our full-time billable consultants reflected increases in the average number of full-time billable consultants, the average billing rate, and the consultant utilization rate in the second quarter of 2019 compared to the same prior year period. The increase in revenues from our full-time equivalents was primarily driven by an increase in software and data hosting revenues; and reflected an increase in revenue per full-time equivalent, partially offset by a decrease in the average number of full-time equivalents in the second quarter of 2019 compared to the same prior year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Education segment operating income increased $4.9 million, or 44.0%, to $16.2 million for the three months ended June 30, 2019 from $11.3 million for the three months ended June 30, 2018. The Education segment operating margin increased to 28.7% for the second quarter of 2019 from 23.3% in the same period last year. The increase in this segment’s operating margin was primarily attributable to revenue growth that outpaced the increases in salaries and related expenses and performance bonus expense for our revenue-generating professionals, as well as decreases in promotion and marketing expense and share-based compensation for our revenue-generating professionals. These increases to the operating margin were partially offset by an increase in contractor expense, as a percentage of revenues.</w:t>
      </w:r>
    </w:p>
    <w:p>
      <w:pPr>
        <w:spacing w:after="0" w:line="130" w:lineRule="exact"/>
        <w:rPr>
          <w:sz w:val="20"/>
          <w:szCs w:val="20"/>
          <w:color w:val="auto"/>
        </w:rPr>
      </w:pPr>
    </w:p>
    <w:p>
      <w:pPr>
        <w:ind w:right="5220"/>
        <w:spacing w:after="0" w:line="440" w:lineRule="auto"/>
        <w:rPr>
          <w:sz w:val="20"/>
          <w:szCs w:val="20"/>
          <w:color w:val="auto"/>
        </w:rPr>
      </w:pPr>
      <w:r>
        <w:rPr>
          <w:rFonts w:ascii="Times New Roman" w:cs="Times New Roman" w:eastAsia="Times New Roman" w:hAnsi="Times New Roman"/>
          <w:sz w:val="18"/>
          <w:szCs w:val="18"/>
          <w:b w:val="1"/>
          <w:bCs w:val="1"/>
          <w:color w:val="auto"/>
        </w:rPr>
        <w:t>Six Months Ended June 30, 2019 Compared to Six Months Ended June 30, 2018 Revenues</w:t>
      </w:r>
    </w:p>
    <w:p>
      <w:pPr>
        <w:spacing w:after="0" w:line="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Revenues increased $34.0 million, or 8.7%, to $425.2 million for the first six months of 2019 from $391.2 million for the first six months of 2018. Of the overall $34.0 million increase in revenues, $33.8 million was attributable to an increase in revenues from our full-time billable consultants and $0.2 million was attributable to our full-time equivalents.</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increase in full-time billable consultant revenues was attributable to strengthened demand for services in all of our segments, as discussed below in Segment Results; and reflected increases in the average number of full-time billable consultants, the consultant utilization rate, and the average billing rate during the first six months of 2019 compared to the same prior year period.</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increase in full-time equivalent revenues was attributable to increases in full-time equivalent revenues in our Healthcare and Education segments, largely offset by a decrease in full-time equivalent revenues in our Business Advisory segment, as discussed below in Segment Results; and reflected an overall increase in the average number of full-time equivalents, partially offset by an overall decrease in revenue per full-time equivalent.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Direct Costs</w:t>
      </w:r>
    </w:p>
    <w:p>
      <w:pPr>
        <w:spacing w:after="0" w:line="175"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Our total direct costs, including amortization of intangible assets and software development costs, increased $19.2 million, or 7.3%, to $281.7 million for the six months ended June 30, 2019, from $262.5 million for the six months ended June 30, 2018. The overall $19.2 million increase primarily related to an $8.4 million increase in salaries and related expenses for our revenue-generating professionals, which was largely driven by increased headcount in our Education and Business Advisory segments; a $7.8 million increase in performance bonus expense for our revenue-generating professionals; a $1.4 million increase in share-based compensation expense for our revenue-generating professionals; and a $0.8 million increase in contractor expense. As a percentage of revenues, our total direct costs decreased to 66.3% during the first six months of 2019 compared to 67.1% during the first six months of 2018 primarily due to revenue growth that outpaced the increase in salaries and related expenses for our revenue-</w:t>
      </w:r>
    </w:p>
    <w:p>
      <w:pPr>
        <w:sectPr>
          <w:pgSz w:w="11900" w:h="16838" w:orient="portrait"/>
          <w:cols w:equalWidth="0" w:num="1">
            <w:col w:w="11360"/>
          </w:cols>
          <w:pgMar w:left="240" w:top="121" w:right="299" w:bottom="1440" w:gutter="0" w:footer="0" w:header="0"/>
        </w:sect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0"/>
          </w:cols>
          <w:pgMar w:left="240" w:top="121" w:right="29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generating professionals, partially offset by the increase in performance bonus expense for our revenue-generating professionals, as a percentage of revenues.</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Total direct costs for the six months ended June 30, 2019 included $2.3 million of amortization expense for internal software development costs and intangible assets, compared to $2.2 million of amortization expense for the same prior year period. The $0.1 million increase in amortization expense was attributable to a $0.6 million increase in amortization for internal software development costs, largely offset by a $0.5 million decrease in intangible asset amortization attributable to certain intangible assets acquired in our Studer Group acquisition which were fully amortized in prior periods. Intangible asset amortization included within direct costs for the six months ended June 30, 2019 and 2018 primarily related to technology and software, certain customer relationships, publishing content and customer contracts acquired in connection with our business acquisitions. See Note 4 "Goodwill and Intangible Assets" within the notes to our consolidated financial statements for additional information about our intangible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and Other Losses (Gains), Net</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increased $10.7 million, or 11.6%, to $103.3 million in the six months ended June 30, 2019, from $92.6 million in the six months ended June 30, 2018. The overall $10.7 million increase primarily related to a $4.7 million increase in salaries and related expenses for our support personnel; a $1.4 million increase in legal expenses; a $1.3 million increase in computer and related equipment expenses; a $1.2 million increase in share-based compensation expense for our support personnel; and a $0.5 million increase in accounting, tax and audit fees. The increase in legal and accounting fees was primarily due to third-party transaction-related expenses related to the evaluation of a potential acquisition that ultimately did not consummate. As a percentage of revenues, selling, general and administrative expenses increased to 24.3% during the first six months of 2019 compared to 23.7% during the first six months of 2018, primarily due to the increases in salaries and related expenses for our support personnel, legal expenses, share-based compensation expense for our support personnel and computer and related equipment expenses, all as percentages of revenues. These increases were partially offset by a decrease in facilities expense.</w:t>
      </w:r>
    </w:p>
    <w:p>
      <w:pPr>
        <w:spacing w:after="0" w:line="13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Restructuring charges for the first six months of 2019 totaled $2.0 million, compared to $2.7 million for the first six months of 2018. During the first quarter of 2019, we exited a portion of our Lake Oswego, Oregon corporate office resulting in a $0.7 million lease impairment charge on the related operating lease right-of-use ("ROU") asset and leasehold improvements and $0.2 million of accelerated depreciation on furniture and fixtures in that office. The lease impairment charge recognized in the first quarter of 2019 was recognized in accordance with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which we adopted on a modified retrospective basis on January 1, 2019. See Note 2 "Basis of Presentation and Significant Accounting Policies" and Note 3 "New Accounting Pronouncements" within the notes to our consolidated financial statements for additional information on our adoption of ASC 842. See Note 5 "Leases" within the notes to our consolidated financial statements for additional information on the long-lived asset impairment test performed in the first quarter of 2019. In the second quarter of 2019, we exited the remaining portion of our Middleton, Wisconsin office and an office space in Houston, Texas, resulting in restructuring charges of $0.4 million and $0.1 million, respectively, which primarily related to accelerated depreciation on related furniture and fixtures. Additional restructuring charges during the first six months of 2019 include $0.4 million related to workforce reductions as we continue to better align resources with market demand.</w:t>
      </w:r>
    </w:p>
    <w:p>
      <w:pPr>
        <w:spacing w:after="0" w:line="1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$2.7 million restructuring charge incurred in the first six months of 2018 primarily consisted of $1.0 million related to workforce reductions to better align resources with market demand; $0.7 million related to the accrual of remaining lease payments, net of estimated sublease income, and accelerated depreciation on leasehold improvements due to exiting a portion of our Middleton, Wisconsin office in the second quarter of 2018; $0.6 million related to updated lease assumptions for our San Francisco office vacated in the third quarter of 2017; and $0.3 million related to the divestiture of our Middle East practice within the Business Advisory segment in the second quarter of 2018. The restructuring charges recorded in the first six months of 2018 which related to office space reductions were accounted for in accordance with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See Note 9 "Restructuring Charges" within the notes to our consolidated financial statements for additional information on our restructuring charges.</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Litigation and other gains, net totaled a gain of $0.9 million for the six months ended June 30, 2019, which primarily consisted of $0.9 million of remeasurement gains to decrease the estimated fair value of our liabilities for contingent consideration payments related to business acquisitions. Litigation and other gains, net totaled $5.9 million for the six months ended June 30, 2018, which consisted of $3.4 million of net remeasurement gains for the decrease in the estimated fair value of our contingent consideration liabilities and a $2.5 million litigation settlement gain for the resolution of Huron's claim in a class action lawsuit. In connection with certain business acquisitions, we may be required to pay post-closing consideration to the sellers if specific financial performance targets are met over a number of years as specified in the related purchase agreements. See Note 11 "Fair Value of Financial Instruments" within the notes to our consolidated financial statements for additional information on the fair value of contingent consideration liabilities.</w:t>
      </w:r>
    </w:p>
    <w:p>
      <w:pPr>
        <w:spacing w:after="0" w:line="13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Depreciation and amortization expense decreased by $3.4 million to $14.3 million in the six months ended June 30, 2019, from $17.7 million in the six months ended June 30, 2018. The decrease was primarily attributable to decreasing amortization expense of the trade name and customer relationships acquired in our Studer Group acquisition and other business acquisitions, due to the accelerated basis of amortization in prior periods, as well as certain customer relationships acquired in other business acquisitions that were fully amortized in prior periods. Intangible asset amortization included within operating expenses for the six months ended June 30, 2019 and 2018 primarily related to certain customer relationships, trade names and non-competition agreements acquired in connection with our business acquisitions. See Note 4 "Goodwill and Intangible Assets" within the notes to our consolidated financial statements for additional information about our intangible assets.</w:t>
      </w:r>
    </w:p>
    <w:p>
      <w:pPr>
        <w:sectPr>
          <w:pgSz w:w="11900" w:h="16838" w:orient="portrait"/>
          <w:cols w:equalWidth="0" w:num="1">
            <w:col w:w="11400"/>
          </w:cols>
          <w:pgMar w:left="240" w:top="121" w:right="25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121" w:right="25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income increased $3.2 million to $24.6 million in the first six months of 2019 from $21.5 million in the first six months of 2018. Operating margin, which is defined as operating income expressed as a percentage of revenues, increased to 5.8% for the six months ended June 30, 2019, compared to 5.5% for the six months ended June 30, 2018. The increase in operating margin was primarily attributable to the revenue growth that outpaced the increase in salaries and related expenses for our revenue-generating professionals and the decrease in intangible asset amortization expense; partially offset by the increase in performance bonus expense for our revenue-generating professionals, as a percentage of revenues, and the decrease in litigation and other gains.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Total other expense, net decreased by $10.0 million to $5.9 million in the first six months of 2019 from $15.8 million in the first six months of 2018. The decrease in total other expense, net was primarily attributable to a $5.8 million loss on the divestiture of our Middle East practice within our Business Advisory segment recorded in the second quarter of 2018. During the second quarter of 2018, we sold our Middle East business to a former employee who was the practice leader of that business at the time. The decrease in total other expense, net was also attributable to a $2.8 million gain recognized during the first six months of 2019 for the market value of our investments that are used to fund our deferred compensation liability, compared to a gain of $0.2 million during the first six months of 2018. Interest expense, net of interest income decreased $1.2 million to $8.8 million in the first six months of 2019 from $10.0 million in the first six months of 2018. The decrease in interest expense was due to lower levels of borrowing under our credit facility during the first six months of 2019 compared to the same prior year period, partially offset by higher interest rates during the first six months of 2019 compared to the same prior year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2019, our effective tax rate was 25.8% as we recognized income tax expense from continuing operations of $4.8 million on income from continuing operations of $18.8 million. The effective tax rate of 25.8% was more favorable than the statutory rate, inclusive of state income taxes, of 26.4% primarily due to non-taxable gains on our investments used to fund our deferred compensation liability, federal tax credits and share-based compensation awards that vested during the year; partially offset by non-deductible business expenses. For the six months ended June 30, 2018, our effective tax rate was 53.0% as we recognized income tax expense from continuing operations of $3.0 million on income from continuing operations of $5.6 million. The effective tax rate of 53.0% was less favorable than the statutory rate, inclusive of state income taxes, of 26.0% primarily due to discrete tax expense for share-based compensation awards that vested during the first quarter of 2018, which had an unfavorable impact of 22.5% on the effective tax rate, and non-deductible business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Net income from continuing operations increased by $11.3 million to $13.9 million for the six months ended June 30, 2019, from $2.6 million for the same prior year period. As a result of the increase in net income from continuing operations, diluted earnings per share from continuing operations for the first six months of 2019 was $0.62 compared to $0.12 for the first six months of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EBITDA increased $8.6 million to $44.2 million for the six months ended June 30, 2019, from $35.5 million for the six months ended June 30, 2018. Adjusted EBITDA increased $8.8 million to $47.2 million in the first six months of 2019 from $38.4 million in the first six months of 2018. The increase in EBITDA was primarily attributable to the increase in revenues for the first six months of 2019 compared to the same prior year period and the loss on the divestiture of our Middle East business within our Business Advisory segment recorded in the second quarter of 2018. These increases to EBITDA were partially offset by the increases in selling, general and administrative expenses, salaries and related expenses for our revenue-generating professionals, and performance bonus expense for our revenue-generating professionals; as well as the decrease in litigation and other gains, net recognized in the first six months of 2019 compared to the same prior year period. The increase in adjusted EBITDA was primarily attributable to the increase in revenues, partially offset by the increases in selling, general and administrative expenses, salaries and related expenses for our revenue-generating professionals and performance bonus expense for our revenue-generating professionals in the first six months of 2019 compared to the same prior year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from Continuing Operations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Adjusted net income from continuing operations increased $8.9 million to $25.9 million in the first six months of 2019 compared to $17.0 million in the first six months of 2018. As a result of the increase in adjusted net income from continuing operations, adjusted diluted earnings per share from continuing operations for the first six months of 2019 was $1.16 compared to $0.78 for the first six months of 2018.</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21"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Healthcare segment revenues increased $14.2 million, or 7.8%, to $195.6 million for the first six months of 2019 from $181.4 million for the first six months of 2018.</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2019, revenues from fixed-fee engagements; time-and-expense engagements; performance-based arrangements; and software support, maintenance and subscription arrangements represented 63.0%, 13.8%, 17.3%, and 5.9% of this segment’s revenues, respectively, compared to 67.3%, 14.9%, 10.7%, and 7.1% of this segment’s revenues, respectively, for the same prior year period. Performance-based fee revenue was $33.8 million during the first six months of 2019, compared to $19.4 million during the first six months of 2018. The level of performance-based fees earned may vary based on our clients’ risk sharing preferences and the mix of services we provide.</w:t>
      </w:r>
    </w:p>
    <w:p>
      <w:pPr>
        <w:spacing w:after="0" w:line="13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Of the overall $14.2 million increase in revenues, $12.9 million was attributable to an increase in revenues from our full-time billable consultants and $1.3 million was attributable to our full-time equivalents. The increase in revenues attributable to our full-time billable consultants reflected increases in the average billing rate and the average number of full-time billable consultants, partially offset by a decrease in the consultant utilization rate in the first six months of 2019 compared to the same prior year period. The increase in revenues attributable to our full-time equivalents reflected an increase in the average number of full-time equivalents, partially offset by a decrease in revenue per full-time equivalent in the first six months of 2019 compared to the same prior year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Healthcare segment operating income increased $9.7 million, or 18.8%, to $61.2 million for the six months ended June 30, 2019, from $51.5 million for the six months ended June 30, 2018. The Healthcare segment operating margin increased to 31.3% for the first six months of 2019 from 28.4% in the same period last year. The increase in this segment’s operating margin was primarily attributable to a slight decrease in salaries and related expenses for our revenue-generating professionals, partially offset by increases in performance bonus expense for our revenue-generating professionals and amortization of internal software development costs, both as percentages of revenues.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Business Advisory segment revenues increased $7.5 million, or 6.6%, to $121.1 million for the first six months of 2019 from $113.6 million for the first six months of 2018.</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first six months of 2019, revenues from fixed-fee engagements; time-and-expense engagements; performance-based arrangements; and software support, maintenance and subscription arrangements represented 39.9%, 57.1%, 1.0%, and 2.0% of this segment’s revenues, respectively, compared to 40.5%, 54.7%, 2.8%, and 2.0% of this segment’s revenues, respectively, during the same prior year period. Performance-based fee revenue was $1.2 million for the first six months of 2019, compared to $3.2 million for the first six months of 2018. The level of performance-based fees earned may vary based on our clients’ preferences and the mix of services we provide.</w:t>
      </w:r>
    </w:p>
    <w:p>
      <w:pPr>
        <w:spacing w:after="0" w:line="130"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Of the overall $7.5 million increase in revenues, $9.0 million was attributable to an increase in revenues from our full-time billable consultants, partially offset by a $1.5 million decrease in revenues attributable to our full-time equivalents. The increase in revenues from our full-time billable consultants was primarily driven by increases in the average number of full-time billable consultants and the consultant utilization rate, partially offset by a decrease in the average billing rate in the first six months of 2019 compared to the same prior year period. The decrease in revenues from our full-time equivalents was driven by a decreased use of contractors and our part-time project consultants; and reflected a decrease in the average number of full-time equivalents, partially offset by an increase in revenue per full-time equivalent in the first six months of 2019 compared to the same prior year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Business Advisory segment operating income decreased by $2.2 million, or 9.3%, to $21.1 million for the six months ended June 30, 2019, from $23.2 million for the six months ended June 30, 2018. The Business Advisory segment operating margin decreased to 17.4% for the first six months of 2019 from 20.4% in the same period last year. The decrease in this segment’s operating margin was primarily attributable to an increase in performance bonus expense for our revenue-generating professionals, as a percentage of revenues.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Education segment revenues increased $12.3 million, or 12.8%, to $108.5 million for the first six months of 2019 from $96.2 million for the first six months of 2018.</w:t>
      </w:r>
    </w:p>
    <w:p>
      <w:pPr>
        <w:spacing w:after="0" w:line="10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2019, revenues from fixed-fee engagements; time-and-expense engagements; and software support, maintenance and subscription arrangements represented 23.5%, 68.6%, and 7.9% of this segment’s revenues, respectively, compared to 20.2%, 73.1%, and 6.7% of this segment's revenues, respectively, during the same prior year period.</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Of the overall $12.3 million increase in revenues, $11.9 million was attributable to revenues generated by our full-time billable consultants and $0.4 million was attributable to revenues generated by our full-time equivalents. The increase in revenues from our full-time billable consultants reflected increases in the average number of full-time billable consultants and the consultant utilization rate in the first six months of 2019 compared to the same prior year period. The increase in revenues from our full-time equivalents was primarily driven by an increase in software and data hosting revenues; and reflected an increase in revenue per full-time equivalent, partially offset by a decrease in the average number of full-time equivalents in the first six months of 2019 compared to the same prior year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Education segment operating income increased $6.1 million, or 27.1%, to $28.8 million for the six months ended June 30, 2019, from $22.7 million for the six months ended June 30, 2018. The Education segment operating margin increased to 26.6% for the first six months of 2019 from 23.6% in the same period last year. The increase in this segment’s operating margin was primarily attributable to revenue growth that outpaced the increase in salaries and related expenses for our revenue-generating professionals as well as decreases in practice administration and meetings expenses, promotion and marketing expenses, and share-based compensation expense for our revenue-generating professionals. These increases to the segment's operating margin were partially offset by an increase in contractor expense, as a percentage of revenue.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Cash and cash equivalents decreased $23.9 million to $9.2 million at June 30, 2019 from $33.1 million at December 31, 2018. As of June 30, 2019, our primary sources of liquidity are cash on hand, cash flows from our U.S. operations, and borrowing capacity available under our credit facility.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(in thousands):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6,913</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totaled $6.2 million for the six months ended June 30, 2019, compared to net cash provided by operating activities of</w:t>
      </w:r>
    </w:p>
    <w:p>
      <w:pPr>
        <w:spacing w:after="0" w:line="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$6.9 million for the six months ended June 30, 2018,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32"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8"/>
          <w:szCs w:val="18"/>
          <w:color w:val="auto"/>
        </w:rPr>
        <w:t>The increase in cash used in operating activities for the first six months of 2019 compared to cash provided by operating activities in the same prior year period was primarily attributable to an increase in the amount paid for annual performance bonuses during the first quarter of 2019 compared to the first quarter of 2018, largely offset by an increase in cash collections from clients for the six months ended June 30, 2019 compared to the six months ended June 30, 2018.</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$14.9 million and $10.0 million for the six months ended June 30, 2019 and 2018, respectively.</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use of cash in the first six months of 2019 primarily consisted of $6.4 million for purchases of property and equipment, primarily related to purchases of computers and related equipment and leasehold improvements for new office spaces in certain locations; $4.4 million for payments related to internally developed software; and $4.1 million for contributions to our life insurance policies which fund our deferred compensation plan.</w:t>
      </w:r>
    </w:p>
    <w:p>
      <w:pPr>
        <w:sectPr>
          <w:pgSz w:w="11900" w:h="16838" w:orient="portrait"/>
          <w:cols w:equalWidth="0" w:num="1">
            <w:col w:w="11420"/>
          </w:cols>
          <w:pgMar w:left="240" w:top="121"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use of cash in the first six months of 2018 primarily consisted of $5.1 million for purchases of property and equipment, primarily related to purchases of computers and related equipment; $2.1 million for payments related to internally developed software; $1.9 million for payments related to the divestiture of our Middle East practice within the Business Advisory segment; and $1.7 million for contributions to our life insurance policies which fund our deferred compensation plan.</w:t>
      </w:r>
    </w:p>
    <w:p>
      <w:pPr>
        <w:spacing w:after="0" w:line="12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estimate that cash utilized for purchases of property and equipment and software development in 2019 will be approximately $18 million to $22 million, primarily consisting of information technology related equipment to support our corporate infrastructure, leasehold improvements for certain office locations, and software development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was $2.9 million for the six months ended June 30, 2019. During the first six months of 2019, we paid $10.0 million to the sellers of certain business acquisitions for achieving specified financial performance targets in accordance with the related purchase agreements. Of the total $10.0 million payments made, $4.7 million is classified as a cash outflow from financing activities and represents the amount paid up to the fair value of the contingent consideration liability recorded as of the acquisition date. The remaining $5.3 million is classified as a cash outflow from operating activities. During the first six months of 2019, we borrowed $87.5 million under our credit facility, primarily to fund our annual performance bonus payment, and made repayments on our borrowings of $81.8 million.</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was $3.3 million for the six months ended June 30, 2018. During the first six months of 2018, we borrowed $139.3 million under our credit facility, primarily to fund our annual performance bonus payment, and made repayments on our borrowings of $134.0 million. During the first six months of 2018, we paid $7.8 million to the sellers of certain business acquisitions for achieving specified financial performance targets in accordance with the related purchase agreements. Of the total $7.8 million payments made, $4.9 million is classified as a cash outflow from financing activities and represents the amount paid up to the fair value of the contingent consideration liability recorded as of the acquisition date. The remaining $2.9 million is classified as a cash outflow from operating activities.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currently have a share repurchase program permitting us to repurchase up to $125 million of our common stock through October 31, 2019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in the first six months of 2019 or 2018. As of June 30, 2019, $35.1 million remains available for share repurchases.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At June 30, 2019, we had $250.0 million principal amount of our 1.25% convertible senior notes outstanding, $56.0 million outstanding under our senior secured credit facility, and $4.1 million outstanding under a promissory note, as discussed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1.25% Convertible Senior Notes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September 2014, we issued $250.0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 We expect to refinance the principal amount of the outstanding notes at maturity with the borrowing capacity available under our revolving credit facility.</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0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2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carrying amount of our Convertible Notes as of June 30, 2019 and December 31, 2018, was $247.5 million and $242.6 million, respectively, which represented the $250.0 million principal amount net of unamortized debt discount and issuance costs. The carrying amount of our Convertible Notes is included in current maturities of long-term debt on the consolidated balance sheet.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8 “Financing Arrangements” within the notes to our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121" w:right="25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a $500 million senior secured revolving credit facility, subject to the terms of a Second Amended and Restated Credit Agreement dated as of March 31, 2015, as amended to date (as amended and modified the "Amended Credit Agreement"), that becomes due and payable in full upon maturity on March 23, 2023.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$650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3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2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31"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3.50 to 1.00 to 4.00 to 1.00, depending on the measurement period, and</w:t>
      </w:r>
    </w:p>
    <w:p>
      <w:pPr>
        <w:spacing w:after="0" w:line="2" w:lineRule="exact"/>
        <w:rPr>
          <w:sz w:val="20"/>
          <w:szCs w:val="20"/>
          <w:color w:val="auto"/>
        </w:rPr>
      </w:pPr>
    </w:p>
    <w:p>
      <w:pPr>
        <w:ind w:right="240" w:firstLine="8"/>
        <w:spacing w:after="0" w:line="253"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June 30, 2019, we were in compliance with these financial covenants with a Consolidated Leverage Ratio of 2.63 to 1.00 and a Consolidated Interest Coverage Ratio of 13.82 to 1.00.</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3.00, the amount of dividends and other Restricted Payments (as defined in the Amended Credit Agreement) we may pay is limited to an amount up to $75 million plus 50% of cumulative consolidated net income (as defined in the Amended Credit Agreement) from the closing date of the Amended Credit Agreement plus 50% of the net cash proceeds from equity issuances after the closing date of the Amended Credit Agreement.</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Borrowings outstanding under the Amended Credit Agreement at June 30, 2019 totaled $56.0 million. These borrowings carried a weighted average interest rate of 3.9%, including the impact of the interest rate swap in effect as of June 30, 2019 and described in Note 10 “Derivative Instrument and Hedging Activity” within the notes to the consolidated financial statements. Borrowings outstanding under the Amended Credit Agreement at December 31, 2018 were $50.0 million and carried a weighted average interest rate of 3.7%, including the impact of the interest rate swap described in Note 10 “Derivative Instrument and Hedging Activity” within the notes to the consolidated financial statements. The borrowing capacity under the revolving credit facility is reduced by any outstanding borrowings under the revolving credit facility and outstanding letters of credit. At June 30, 2019, we had outstanding letters of credit totaling $1.6 million, which are primarily used as security deposits for our office facilities. As of June 30, 2019, the unused borrowing capacity under the revolving credit facility was $442.4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 due 2024</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June 30, 2019, the outstanding principal amount of the promissory note was $4.1 million, and the aircraft had a carrying amount of $5.4 million. At December 31, 2018, the outstanding principal amount of the promissory note was $4.4 million, and the aircraft had a carrying amount of $5.8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8 “Financing Arrangements” within the notes to the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Needs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For a summary of our commitments to make future payments under contractual obligations, see Item 7. "Management’s Discussion and Analysis of Financial Condition and Results of Operations – Contractual Obligations" in our Annual Report on Form 10-K for the year ended December 31, 2018. There have been no material changes to our contractual obligations since December 31, 2018. See Note 2 "Basis of Presentation and Significant Accounting Policies" and Note 3 "New Accounting Pronouncements" within the notes to our consolidated financial statements for information on our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See Note 5 "Leases" within the notes to our consolidated financial statements for information on our future lease payments and a reconciliation of those lease payments to our operating lease liabilities recorded on our consolidated balance sheet.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there are five accounting policies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2018. There have been no material changes to our critical accounting policies during the first six months of 2019.</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5"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Refer to Note 3 "New Accounting Pronouncements" within the notes to the consolidated financial statements for information on new accounting pronouncements.</w:t>
      </w:r>
    </w:p>
    <w:p>
      <w:pPr>
        <w:spacing w:after="0" w:line="266"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primarily from changes in interest rates and changes in the market value of our investments.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and Interest Rate Risk</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value of our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$247.5 million as of June 30, 2019, which represents the liability component of the $250.0 million principal balance. The estimated fair value of our Convertible Notes at June 30, 2019 was $247.7 million, and was determined based on the quoted bid price of the Convertible Notes in an over-the-counter market as of the last day of trading for the quarter ended June 30, 2019, which was $99.073 per $100 principal amount. At December 31, 2018, the carrying value of our Convertible Notes was $242.6 million, and the estimated fair value of our Convertible Notes was $242.9 million, which was determined based on the quoted bid price of the Convertible Notes in an over-the-counter market as of the last day of trading for the year ended December 31, 2018, which was $97.176 per $100 principal amount.</w:t>
      </w:r>
    </w:p>
    <w:p>
      <w:pPr>
        <w:spacing w:after="0" w:line="13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Concurrent with the issuance of the Convertible Notes, we entered into separate convertible note hedge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 Under the convertible note hedge transactions, we have the option to purchase a total of approximately</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3.1 million shares of our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Under the warrant transactions, the holders of the warrants have the option to purchase a total of approximately 3.1 million shares of our common stock at a price of approximately $97.12. If the average market value per share of our common stock for the reporting period exceeds the strike price of the warrants, the warrants will have a dilutive effect on our earnings per share.</w:t>
      </w:r>
    </w:p>
    <w:p>
      <w:pPr>
        <w:spacing w:after="0" w:line="1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exposure to changes in interest rates associated with borrowings under our bank credit facility, which has variable interest rates tied to LIBOR or an alternate base rate, at our option. At June 30, 2019, we had borrowings outstanding under the credit facility totaling $56.0 million that carried a weighted average interest rate of 3.9%, including the impact of the interest rate swap described below. A hypothetical 100 basis point change in this interest rate would have a $0.1 million effect on our pretax income, on an annualized basis, including the effect of the interest rate swap. At December 31, 2018, we had borrowings outstanding under the credit facility totaling $50.0 million that carried a weighted average interest rate of 3.7% including the impact of the interest rate swap described below. As of December 31, 2018, these variable rate borrowings were fully hedged against changes in interest rates by the interest rate swap, which had a notional amount of $50.0 million. As our variable rate borrowings were fully hedged as of December 31, 2018, a change in the interest rate would have had no impact on our consolidated financial statements.</w:t>
      </w:r>
    </w:p>
    <w:p>
      <w:pPr>
        <w:spacing w:after="0" w:line="13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2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also have exposure to changes in interest rates associated with the promissory note assumed on June 30, 2017 in connection with our purchase of an aircraft, which has variable interest rates tied to LIBOR. At June 30, 2019, the outstanding principal amount of the promissory note was $4.1 million and carried an interest rate of 4.5%. A hypothetical 100 basis point change in this interest rate would not have a material effect on our pretax income. At December 31, 2018, the outstanding principal amount of the promissory note was $4.4 million and carried an interest rate of 4.3%. A hypothetical 100 basis point change in the interest rate as of December 31, 2018 would not have had a material effect on our pretax income.</w:t>
      </w:r>
    </w:p>
    <w:p>
      <w:pPr>
        <w:spacing w:after="0" w:line="13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 non-interest bearing convertible debt investment in a privately-held company, which we account for as an available-for-sale debt security. As such, the investment is carried at fair value with unrealized holding gains and losses excluded from earnings and reported in other comprehensive income. As of June 30, 2019, the fair value of the investment was $59.4 million, with a total cost basis of $27.9 million. At December 31, 2018, the fair value of the investment was $50.4 million, with a total cost basis of $27.9 million.</w:t>
      </w:r>
    </w:p>
    <w:p>
      <w:pPr>
        <w:spacing w:after="0" w:line="284"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2019. Based on this evaluation, our Chief Executive Officer and Chief Financial Officer have concluded that, as of June 30, 2019,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three months ended June 30, 2019 that has materially affected, or is reasonably likely to materially affect, our internal control over financial reporting.</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60"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Note 14 "Commitments, Contingencies and Guarantees" included in Part I, Item 1 of this Quarterly Report on Form 10-Q.</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legal proceedings and litigation arising in the ordinary course of business. As of the date of this Quarterly Report on Form 10-Q,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84"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See Part 1, Item 1A, "Risk Factors" in our Annual Report on Form 10-K for the fiscal year ended December 31, 2018, which was filed with the Securities and Exchange Commission on February 27, 2019, for a complete description of the material risks we face.</w:t>
      </w:r>
    </w:p>
    <w:p>
      <w:pPr>
        <w:spacing w:after="0" w:line="266"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0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June 30, 2019, we reacquired 1,538 shares of common stock with a weighted average fair market value of $49.03 as a result of such tax withholdings.</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October 2014, our board of directors authorized a share repurchase program pursuant to which we may, from time to time, repurchase up to $125 million of our common stock, which expires on October 31, 2019 (the "Share Repurchase Program"). The amount and timing of the repurchases will be determined by management and will depend on a variety of factors, including the trading price of our common stock, capacity under our line of credit, general market and business conditions, and applicable legal requirements. The following table provides information with respect to purchases we made of our common stock during the quarter ended June 30,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Dollar Value of Shares</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that may yet be</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65"/>
        </w:trPr>
        <w:tc>
          <w:tcPr>
            <w:tcW w:w="3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Shares Purchased </w:t>
            </w:r>
            <w:r>
              <w:rPr>
                <w:rFonts w:ascii="Times New Roman" w:cs="Times New Roman" w:eastAsia="Times New Roman" w:hAnsi="Times New Roman"/>
                <w:sz w:val="21"/>
                <w:szCs w:val="21"/>
                <w:b w:val="1"/>
                <w:bCs w:val="1"/>
                <w:color w:val="auto"/>
                <w:w w:val="98"/>
                <w:vertAlign w:val="superscript"/>
              </w:rPr>
              <w:t>(1)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00" w:type="dxa"/>
            <w:vAlign w:val="bottom"/>
            <w:tcBorders>
              <w:bottom w:val="single" w:sz="8" w:color="CCEEFF"/>
            </w:tcBorders>
          </w:tcPr>
          <w:p>
            <w:pPr>
              <w:spacing w:after="0"/>
              <w:rPr>
                <w:sz w:val="23"/>
                <w:szCs w:val="23"/>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 xml:space="preserve">Plans or Programs </w:t>
            </w:r>
            <w:r>
              <w:rPr>
                <w:rFonts w:ascii="Times New Roman" w:cs="Times New Roman" w:eastAsia="Times New Roman" w:hAnsi="Times New Roman"/>
                <w:sz w:val="21"/>
                <w:szCs w:val="21"/>
                <w:b w:val="1"/>
                <w:bCs w:val="1"/>
                <w:color w:val="auto"/>
                <w:w w:val="97"/>
                <w:vertAlign w:val="superscript"/>
              </w:rPr>
              <w:t>(2)</w:t>
            </w: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April 1, 2019 - April 30, 2019</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35,143,546</w:t>
            </w:r>
          </w:p>
        </w:tc>
      </w:tr>
      <w:tr>
        <w:trPr>
          <w:trHeight w:val="243"/>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May 1, 2019 - May 31, 2019</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35,143,546</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June 1, 2019 - June 30, 2019</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49.41</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35,143,546</w:t>
            </w:r>
          </w:p>
        </w:tc>
      </w:tr>
      <w:tr>
        <w:trPr>
          <w:trHeight w:val="25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80" w:type="dxa"/>
            <w:vAlign w:val="bottom"/>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36" w:lineRule="exact"/>
        <w:rPr>
          <w:sz w:val="20"/>
          <w:szCs w:val="20"/>
          <w:color w:val="auto"/>
        </w:rPr>
      </w:pPr>
    </w:p>
    <w:p>
      <w:pPr>
        <w:ind w:left="980" w:right="440" w:hanging="972"/>
        <w:spacing w:after="0" w:line="28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repurchased for each period represents shares to satisfy employee tax withholding requirements. These shares do not reduce the repurchase authority under the Share Repurchase Program.</w:t>
      </w:r>
    </w:p>
    <w:p>
      <w:pPr>
        <w:spacing w:after="0" w:line="1"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end of the period.</w:t>
      </w:r>
    </w:p>
    <w:p>
      <w:pPr>
        <w:spacing w:after="0" w:line="27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exhibits are filed as part of this Quarterly Report on Form 10-Q.</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78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20" w:type="dxa"/>
            <w:vAlign w:val="bottom"/>
            <w:gridSpan w:val="8"/>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100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78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Period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vMerge w:val="restart"/>
          </w:tcPr>
          <w:p>
            <w:pPr>
              <w:spacing w:after="0"/>
              <w:rPr>
                <w:sz w:val="13"/>
                <w:szCs w:val="13"/>
                <w:color w:val="auto"/>
              </w:rPr>
            </w:pPr>
          </w:p>
        </w:tc>
        <w:tc>
          <w:tcPr>
            <w:tcW w:w="9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95"/>
        </w:trPr>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8"/>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88"/>
        </w:trPr>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80" w:type="dxa"/>
            <w:vAlign w:val="bottom"/>
            <w:gridSpan w:val="11"/>
          </w:tcPr>
          <w:p>
            <w:pPr>
              <w:spacing w:after="0"/>
              <w:rPr>
                <w:rFonts w:ascii="Times New Roman" w:cs="Times New Roman" w:eastAsia="Times New Roman" w:hAnsi="Times New Roman"/>
                <w:sz w:val="16"/>
                <w:szCs w:val="16"/>
                <w:color w:val="0000FF"/>
              </w:rPr>
            </w:pPr>
            <w:hyperlink r:id="rId37">
              <w:r>
                <w:rPr>
                  <w:rFonts w:ascii="Times New Roman" w:cs="Times New Roman" w:eastAsia="Times New Roman" w:hAnsi="Times New Roman"/>
                  <w:sz w:val="16"/>
                  <w:szCs w:val="16"/>
                  <w:color w:val="0000FF"/>
                </w:rPr>
                <w:t>Amendment to the Huron Consulting Group Inc. Amended and Restated</w:t>
              </w:r>
            </w:hyperlink>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tcBorders>
              <w:top w:val="single" w:sz="8" w:color="0000FF"/>
              <w:bottom w:val="single" w:sz="8" w:color="0000FF"/>
            </w:tcBorders>
            <w:gridSpan w:val="3"/>
          </w:tcPr>
          <w:p>
            <w:pPr>
              <w:spacing w:after="0" w:line="183" w:lineRule="exact"/>
              <w:rPr>
                <w:rFonts w:ascii="Times New Roman" w:cs="Times New Roman" w:eastAsia="Times New Roman" w:hAnsi="Times New Roman"/>
                <w:sz w:val="16"/>
                <w:szCs w:val="16"/>
                <w:color w:val="0000FF"/>
              </w:rPr>
            </w:pPr>
            <w:hyperlink r:id="rId37">
              <w:r>
                <w:rPr>
                  <w:rFonts w:ascii="Times New Roman" w:cs="Times New Roman" w:eastAsia="Times New Roman" w:hAnsi="Times New Roman"/>
                  <w:sz w:val="16"/>
                  <w:szCs w:val="16"/>
                  <w:color w:val="0000FF"/>
                </w:rPr>
                <w:t>2012 Omnibus Incentive Plan.</w:t>
              </w:r>
            </w:hyperlink>
          </w:p>
        </w:tc>
        <w:tc>
          <w:tcPr>
            <w:tcW w:w="2720" w:type="dxa"/>
            <w:vAlign w:val="bottom"/>
            <w:tcBorders>
              <w:top w:val="single" w:sz="8" w:color="0000FF"/>
            </w:tcBorders>
            <w:gridSpan w:val="4"/>
          </w:tcPr>
          <w:p>
            <w:pPr>
              <w:spacing w:after="0"/>
              <w:rPr>
                <w:sz w:val="15"/>
                <w:szCs w:val="15"/>
                <w:color w:val="auto"/>
              </w:rPr>
            </w:pPr>
          </w:p>
        </w:tc>
        <w:tc>
          <w:tcPr>
            <w:tcW w:w="280" w:type="dxa"/>
            <w:vAlign w:val="bottom"/>
            <w:gridSpan w:val="4"/>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rPr>
              <w:t>DEF 14A</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6"/>
                <w:szCs w:val="16"/>
                <w:color w:val="auto"/>
              </w:rPr>
              <w:t>Appendix A</w:t>
            </w:r>
          </w:p>
        </w:tc>
        <w:tc>
          <w:tcPr>
            <w:tcW w:w="9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color w:val="auto"/>
              </w:rPr>
              <w:t>3/22/2019</w:t>
            </w: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1"/>
          </w:tcPr>
          <w:p>
            <w:pPr>
              <w:spacing w:after="0"/>
              <w:rPr>
                <w:rFonts w:ascii="Times New Roman" w:cs="Times New Roman" w:eastAsia="Times New Roman" w:hAnsi="Times New Roman"/>
                <w:sz w:val="16"/>
                <w:szCs w:val="16"/>
                <w:color w:val="0000FF"/>
              </w:rPr>
            </w:pPr>
            <w:hyperlink w:anchor="page49">
              <w:r>
                <w:rPr>
                  <w:rFonts w:ascii="Times New Roman" w:cs="Times New Roman" w:eastAsia="Times New Roman" w:hAnsi="Times New Roman"/>
                  <w:sz w:val="16"/>
                  <w:szCs w:val="16"/>
                  <w:color w:val="0000FF"/>
                </w:rPr>
                <w:t>Certification of the Chief Executive Officer, pursuant to Rule 13a-</w:t>
              </w:r>
            </w:hyperlink>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11"/>
          </w:tcPr>
          <w:p>
            <w:pPr>
              <w:spacing w:after="0" w:line="183" w:lineRule="exact"/>
              <w:rPr>
                <w:rFonts w:ascii="Times New Roman" w:cs="Times New Roman" w:eastAsia="Times New Roman" w:hAnsi="Times New Roman"/>
                <w:sz w:val="16"/>
                <w:szCs w:val="16"/>
                <w:color w:val="0000FF"/>
              </w:rPr>
            </w:pPr>
            <w:hyperlink w:anchor="page49">
              <w:r>
                <w:rPr>
                  <w:rFonts w:ascii="Times New Roman" w:cs="Times New Roman" w:eastAsia="Times New Roman" w:hAnsi="Times New Roman"/>
                  <w:sz w:val="16"/>
                  <w:szCs w:val="16"/>
                  <w:color w:val="0000FF"/>
                </w:rPr>
                <w:t>14(a)/15d-14(a), as adopted pursuant to Section 302 of the Sarbanes-</w:t>
              </w:r>
            </w:hyperlink>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Times New Roman" w:cs="Times New Roman" w:eastAsia="Times New Roman" w:hAnsi="Times New Roman"/>
                <w:sz w:val="16"/>
                <w:szCs w:val="16"/>
                <w:color w:val="0000FF"/>
              </w:rPr>
            </w:pPr>
            <w:hyperlink w:anchor="page49">
              <w:r>
                <w:rPr>
                  <w:rFonts w:ascii="Times New Roman" w:cs="Times New Roman" w:eastAsia="Times New Roman" w:hAnsi="Times New Roman"/>
                  <w:sz w:val="16"/>
                  <w:szCs w:val="16"/>
                  <w:color w:val="0000FF"/>
                </w:rPr>
                <w:t>Oxley Act of 2002.</w:t>
              </w:r>
            </w:hyperlink>
          </w:p>
        </w:tc>
        <w:tc>
          <w:tcPr>
            <w:tcW w:w="3200" w:type="dxa"/>
            <w:vAlign w:val="bottom"/>
            <w:tcBorders>
              <w:top w:val="single" w:sz="8" w:color="0000FF"/>
            </w:tcBorders>
            <w:gridSpan w:val="3"/>
          </w:tcPr>
          <w:p>
            <w:pPr>
              <w:spacing w:after="0"/>
              <w:rPr>
                <w:sz w:val="15"/>
                <w:szCs w:val="15"/>
                <w:color w:val="auto"/>
              </w:rPr>
            </w:pPr>
          </w:p>
        </w:tc>
        <w:tc>
          <w:tcPr>
            <w:tcW w:w="520" w:type="dxa"/>
            <w:vAlign w:val="bottom"/>
            <w:gridSpan w:val="6"/>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80" w:type="dxa"/>
            <w:vAlign w:val="bottom"/>
            <w:gridSpan w:val="11"/>
          </w:tcPr>
          <w:p>
            <w:pPr>
              <w:spacing w:after="0"/>
              <w:rPr>
                <w:rFonts w:ascii="Times New Roman" w:cs="Times New Roman" w:eastAsia="Times New Roman" w:hAnsi="Times New Roman"/>
                <w:sz w:val="16"/>
                <w:szCs w:val="16"/>
                <w:color w:val="0000FF"/>
              </w:rPr>
            </w:pPr>
            <w:hyperlink w:anchor="page50">
              <w:r>
                <w:rPr>
                  <w:rFonts w:ascii="Times New Roman" w:cs="Times New Roman" w:eastAsia="Times New Roman" w:hAnsi="Times New Roman"/>
                  <w:sz w:val="16"/>
                  <w:szCs w:val="16"/>
                  <w:color w:val="0000FF"/>
                </w:rPr>
                <w:t>Certification of the Chief Financial Officer, pursuant to Rule 13a-</w:t>
              </w:r>
            </w:hyperlink>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11"/>
          </w:tcPr>
          <w:p>
            <w:pPr>
              <w:spacing w:after="0" w:line="183" w:lineRule="exact"/>
              <w:rPr>
                <w:rFonts w:ascii="Times New Roman" w:cs="Times New Roman" w:eastAsia="Times New Roman" w:hAnsi="Times New Roman"/>
                <w:sz w:val="16"/>
                <w:szCs w:val="16"/>
                <w:color w:val="0000FF"/>
              </w:rPr>
            </w:pPr>
            <w:hyperlink w:anchor="page50">
              <w:r>
                <w:rPr>
                  <w:rFonts w:ascii="Times New Roman" w:cs="Times New Roman" w:eastAsia="Times New Roman" w:hAnsi="Times New Roman"/>
                  <w:sz w:val="16"/>
                  <w:szCs w:val="16"/>
                  <w:color w:val="0000FF"/>
                </w:rPr>
                <w:t>14(a)/15d-14(a), as adopted pursuant to Section 302 of the Sarbanes-</w:t>
              </w:r>
            </w:hyperlink>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3" w:lineRule="exact"/>
              <w:rPr>
                <w:rFonts w:ascii="Times New Roman" w:cs="Times New Roman" w:eastAsia="Times New Roman" w:hAnsi="Times New Roman"/>
                <w:sz w:val="16"/>
                <w:szCs w:val="16"/>
                <w:color w:val="0000FF"/>
              </w:rPr>
            </w:pPr>
            <w:hyperlink w:anchor="page50">
              <w:r>
                <w:rPr>
                  <w:rFonts w:ascii="Times New Roman" w:cs="Times New Roman" w:eastAsia="Times New Roman" w:hAnsi="Times New Roman"/>
                  <w:sz w:val="16"/>
                  <w:szCs w:val="16"/>
                  <w:color w:val="0000FF"/>
                </w:rPr>
                <w:t>Oxley Act of 2002.</w:t>
              </w:r>
            </w:hyperlink>
          </w:p>
        </w:tc>
        <w:tc>
          <w:tcPr>
            <w:tcW w:w="3200" w:type="dxa"/>
            <w:vAlign w:val="bottom"/>
            <w:tcBorders>
              <w:top w:val="single" w:sz="8" w:color="0000FF"/>
            </w:tcBorders>
            <w:gridSpan w:val="3"/>
          </w:tcPr>
          <w:p>
            <w:pPr>
              <w:spacing w:after="0"/>
              <w:rPr>
                <w:sz w:val="15"/>
                <w:szCs w:val="15"/>
                <w:color w:val="auto"/>
              </w:rPr>
            </w:pPr>
          </w:p>
        </w:tc>
        <w:tc>
          <w:tcPr>
            <w:tcW w:w="520" w:type="dxa"/>
            <w:vAlign w:val="bottom"/>
            <w:gridSpan w:val="6"/>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w:anchor="page51">
              <w:r>
                <w:rPr>
                  <w:rFonts w:ascii="Times New Roman" w:cs="Times New Roman" w:eastAsia="Times New Roman" w:hAnsi="Times New Roman"/>
                  <w:sz w:val="16"/>
                  <w:szCs w:val="16"/>
                  <w:color w:val="0000FF"/>
                </w:rPr>
                <w:t>Certification of the Chief Executive Officer, pursuant to 18 U.S.C. Section</w:t>
              </w:r>
            </w:hyperlink>
          </w:p>
        </w:tc>
        <w:tc>
          <w:tcPr>
            <w:tcW w:w="14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w:anchor="page51">
              <w:r>
                <w:rPr>
                  <w:rFonts w:ascii="Times New Roman" w:cs="Times New Roman" w:eastAsia="Times New Roman" w:hAnsi="Times New Roman"/>
                  <w:sz w:val="16"/>
                  <w:szCs w:val="16"/>
                  <w:color w:val="0000FF"/>
                </w:rPr>
                <w:t>1350, as adopted pursuant to Section 906 of the Sarbanes-Oxley Act of</w:t>
              </w:r>
            </w:hyperlink>
          </w:p>
        </w:tc>
        <w:tc>
          <w:tcPr>
            <w:tcW w:w="360" w:type="dxa"/>
            <w:vAlign w:val="bottom"/>
            <w:gridSpan w:val="5"/>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4"/>
              </w:rPr>
            </w:pPr>
            <w:hyperlink w:anchor="page51">
              <w:r>
                <w:rPr>
                  <w:rFonts w:ascii="Times New Roman" w:cs="Times New Roman" w:eastAsia="Times New Roman" w:hAnsi="Times New Roman"/>
                  <w:sz w:val="16"/>
                  <w:szCs w:val="16"/>
                  <w:color w:val="0000FF"/>
                  <w:w w:val="94"/>
                </w:rPr>
                <w:t>2002.</w:t>
              </w:r>
            </w:hyperlink>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Certification of the Chief Financial Officer, pursuant to 18 U.S.C. Section</w:t>
              </w:r>
            </w:hyperlink>
          </w:p>
        </w:tc>
        <w:tc>
          <w:tcPr>
            <w:tcW w:w="180" w:type="dxa"/>
            <w:vAlign w:val="bottom"/>
            <w:gridSpan w:val="3"/>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w:anchor="page52">
              <w:r>
                <w:rPr>
                  <w:rFonts w:ascii="Times New Roman" w:cs="Times New Roman" w:eastAsia="Times New Roman" w:hAnsi="Times New Roman"/>
                  <w:sz w:val="16"/>
                  <w:szCs w:val="16"/>
                  <w:color w:val="0000FF"/>
                </w:rPr>
                <w:t>1350, as adopted pursuant to Section 906 of the Sarbanes-Oxley Act of</w:t>
              </w:r>
            </w:hyperlink>
          </w:p>
        </w:tc>
        <w:tc>
          <w:tcPr>
            <w:tcW w:w="360" w:type="dxa"/>
            <w:vAlign w:val="bottom"/>
            <w:gridSpan w:val="5"/>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4"/>
              </w:rPr>
            </w:pPr>
            <w:hyperlink w:anchor="page52">
              <w:r>
                <w:rPr>
                  <w:rFonts w:ascii="Times New Roman" w:cs="Times New Roman" w:eastAsia="Times New Roman" w:hAnsi="Times New Roman"/>
                  <w:sz w:val="16"/>
                  <w:szCs w:val="16"/>
                  <w:color w:val="0000FF"/>
                  <w:w w:val="94"/>
                </w:rPr>
                <w:t>2002.</w:t>
              </w:r>
            </w:hyperlink>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tcPr>
          <w:p>
            <w:pPr>
              <w:spacing w:after="0"/>
              <w:rPr>
                <w:sz w:val="22"/>
                <w:szCs w:val="22"/>
                <w:color w:val="auto"/>
              </w:rPr>
            </w:pPr>
          </w:p>
        </w:tc>
        <w:tc>
          <w:tcPr>
            <w:tcW w:w="49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22"/>
                <w:szCs w:val="22"/>
                <w:color w:val="auto"/>
              </w:rPr>
            </w:pPr>
          </w:p>
        </w:tc>
        <w:tc>
          <w:tcPr>
            <w:tcW w:w="49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tcPr>
          <w:p>
            <w:pPr>
              <w:spacing w:after="0"/>
              <w:rPr>
                <w:sz w:val="23"/>
                <w:szCs w:val="23"/>
                <w:color w:val="auto"/>
              </w:rPr>
            </w:pPr>
          </w:p>
        </w:tc>
        <w:tc>
          <w:tcPr>
            <w:tcW w:w="49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tcPr>
          <w:p>
            <w:pPr>
              <w:spacing w:after="0"/>
              <w:rPr>
                <w:sz w:val="23"/>
                <w:szCs w:val="23"/>
                <w:color w:val="auto"/>
              </w:rPr>
            </w:pPr>
          </w:p>
        </w:tc>
        <w:tc>
          <w:tcPr>
            <w:tcW w:w="49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23"/>
                <w:szCs w:val="23"/>
                <w:color w:val="auto"/>
              </w:rPr>
            </w:pPr>
          </w:p>
        </w:tc>
        <w:tc>
          <w:tcPr>
            <w:tcW w:w="49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23"/>
                <w:szCs w:val="23"/>
                <w:color w:val="auto"/>
              </w:rPr>
            </w:pPr>
          </w:p>
        </w:tc>
        <w:tc>
          <w:tcPr>
            <w:tcW w:w="49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40"/>
        <w:spacing w:after="0"/>
        <w:tabs>
          <w:tab w:leader="none" w:pos="1280" w:val="left"/>
          <w:tab w:leader="none" w:pos="8040" w:val="left"/>
          <w:tab w:leader="none" w:pos="8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30, 2019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J</w:t>
      </w:r>
      <w:r>
        <w:rPr>
          <w:rFonts w:ascii="Times New Roman" w:cs="Times New Roman" w:eastAsia="Times New Roman" w:hAnsi="Times New Roman"/>
          <w:sz w:val="13"/>
          <w:szCs w:val="13"/>
          <w:color w:val="auto"/>
        </w:rPr>
        <w:t>OHN</w:t>
      </w:r>
      <w:r>
        <w:rPr>
          <w:rFonts w:ascii="Times New Roman" w:cs="Times New Roman" w:eastAsia="Times New Roman" w:hAnsi="Times New Roman"/>
          <w:sz w:val="17"/>
          <w:szCs w:val="17"/>
          <w:color w:val="auto"/>
        </w:rPr>
        <w:t xml:space="preserve"> D. K</w:t>
      </w:r>
      <w:r>
        <w:rPr>
          <w:rFonts w:ascii="Times New Roman" w:cs="Times New Roman" w:eastAsia="Times New Roman" w:hAnsi="Times New Roman"/>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34290</wp:posOffset>
            </wp:positionV>
            <wp:extent cx="15265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John D. Kelly</w:t>
      </w:r>
    </w:p>
    <w:p>
      <w:pPr>
        <w:spacing w:after="0" w:line="6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240" w:top="121" w:right="4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Huron Consulting Group Inc.;</w:t>
      </w:r>
    </w:p>
    <w:p>
      <w:pPr>
        <w:spacing w:after="0" w:line="63" w:lineRule="exact"/>
        <w:rPr>
          <w:rFonts w:ascii="Times New Roman" w:cs="Times New Roman" w:eastAsia="Times New Roman" w:hAnsi="Times New Roman"/>
          <w:sz w:val="18"/>
          <w:szCs w:val="18"/>
          <w:color w:val="auto"/>
        </w:rPr>
      </w:pPr>
    </w:p>
    <w:p>
      <w:pPr>
        <w:ind w:left="340" w:right="120" w:hanging="332"/>
        <w:spacing w:after="0" w:line="298" w:lineRule="auto"/>
        <w:tabs>
          <w:tab w:leader="none" w:pos="3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8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340" w:right="500" w:hanging="332"/>
        <w:spacing w:after="0" w:line="281"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right="460" w:hanging="328"/>
        <w:spacing w:after="0" w:line="281"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1640" w:val="left"/>
          <w:tab w:leader="none" w:pos="7120" w:val="left"/>
          <w:tab w:leader="none" w:pos="8600" w:val="left"/>
          <w:tab w:leader="none" w:pos="8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30,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34290</wp:posOffset>
            </wp:positionV>
            <wp:extent cx="24612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34290</wp:posOffset>
            </wp:positionV>
            <wp:extent cx="12179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RULE 13a-14(a)/15d-14(a),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Huron Consulting Group Inc.;</w:t>
      </w:r>
    </w:p>
    <w:p>
      <w:pPr>
        <w:spacing w:after="0" w:line="63" w:lineRule="exact"/>
        <w:rPr>
          <w:rFonts w:ascii="Times New Roman" w:cs="Times New Roman" w:eastAsia="Times New Roman" w:hAnsi="Times New Roman"/>
          <w:sz w:val="18"/>
          <w:szCs w:val="18"/>
          <w:color w:val="auto"/>
        </w:rPr>
      </w:pPr>
    </w:p>
    <w:p>
      <w:pPr>
        <w:ind w:left="340" w:right="120" w:hanging="332"/>
        <w:spacing w:after="0" w:line="298" w:lineRule="auto"/>
        <w:tabs>
          <w:tab w:leader="none" w:pos="3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8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340" w:right="500" w:hanging="332"/>
        <w:spacing w:after="0" w:line="28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660" w:right="460" w:hanging="328"/>
        <w:spacing w:after="0" w:line="281"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1640" w:val="left"/>
          <w:tab w:leader="none" w:pos="7120" w:val="left"/>
          <w:tab w:leader="none" w:pos="8620" w:val="left"/>
          <w:tab w:leader="none" w:pos="90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30,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34290</wp:posOffset>
            </wp:positionV>
            <wp:extent cx="24612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34290</wp:posOffset>
            </wp:positionV>
            <wp:extent cx="12179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420"/>
          </w:cols>
          <w:pgMar w:left="240" w:top="576"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ind w:left="260" w:right="2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 AS ADOPTED PURSUANT TO SECTION 906 OF THE SARBANES-OXLEY ACT OF 2002</w:t>
      </w:r>
    </w:p>
    <w:p>
      <w:pPr>
        <w:spacing w:after="0" w:line="121"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Huron Consulting Group Inc. (the "Company") on Form 10-Q for the quarter ended June 30, 2019 as filed with the Securities and Exchange Commission on the date hereof (the "Report"), I, James H. Roth, Chief Executive Officer of the Company, hereby certify, pursuant to 18 U.S.C. Section 1350, as adopted pursuant to Section 906 of the Sarbanes-Oxley Act of 2002, that:</w:t>
      </w:r>
    </w:p>
    <w:p>
      <w:pPr>
        <w:spacing w:after="0" w:line="122"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08" w:lineRule="exact"/>
        <w:rPr>
          <w:sz w:val="20"/>
          <w:szCs w:val="20"/>
          <w:color w:val="auto"/>
        </w:rPr>
      </w:pPr>
    </w:p>
    <w:p>
      <w:pPr>
        <w:ind w:left="40"/>
        <w:spacing w:after="0"/>
        <w:tabs>
          <w:tab w:leader="none" w:pos="1640" w:val="left"/>
          <w:tab w:leader="none" w:pos="7120" w:val="left"/>
          <w:tab w:leader="none" w:pos="8700" w:val="left"/>
          <w:tab w:leader="none" w:pos="9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30,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H. R</w:t>
      </w:r>
      <w:r>
        <w:rPr>
          <w:rFonts w:ascii="Times New Roman" w:cs="Times New Roman" w:eastAsia="Times New Roman" w:hAnsi="Times New Roman"/>
          <w:sz w:val="14"/>
          <w:szCs w:val="14"/>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34290</wp:posOffset>
            </wp:positionV>
            <wp:extent cx="24612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34290</wp:posOffset>
            </wp:positionV>
            <wp:extent cx="12261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8"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576"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ind w:left="260" w:right="2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 AS ADOPTED PURSUANT TO SECTION 906 OF THE SARBANES-OXLEY ACT OF 2002</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Huron Consulting Group Inc. (the "Company") on Form 10-Q for the quarter ended June 30, 2019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22"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08" w:lineRule="exact"/>
        <w:rPr>
          <w:sz w:val="20"/>
          <w:szCs w:val="20"/>
          <w:color w:val="auto"/>
        </w:rPr>
      </w:pPr>
    </w:p>
    <w:p>
      <w:pPr>
        <w:ind w:left="40"/>
        <w:spacing w:after="0"/>
        <w:tabs>
          <w:tab w:leader="none" w:pos="1640" w:val="left"/>
          <w:tab w:leader="none" w:pos="7120" w:val="left"/>
          <w:tab w:leader="none" w:pos="8720" w:val="left"/>
          <w:tab w:leader="none" w:pos="9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30,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J</w:t>
      </w:r>
      <w:r>
        <w:rPr>
          <w:rFonts w:ascii="Times New Roman" w:cs="Times New Roman" w:eastAsia="Times New Roman" w:hAnsi="Times New Roman"/>
          <w:sz w:val="13"/>
          <w:szCs w:val="13"/>
          <w:color w:val="auto"/>
        </w:rPr>
        <w:t>OHN</w:t>
      </w:r>
      <w:r>
        <w:rPr>
          <w:rFonts w:ascii="Times New Roman" w:cs="Times New Roman" w:eastAsia="Times New Roman" w:hAnsi="Times New Roman"/>
          <w:sz w:val="17"/>
          <w:szCs w:val="17"/>
          <w:color w:val="auto"/>
        </w:rPr>
        <w:t xml:space="preserve"> D. K</w:t>
      </w:r>
      <w:r>
        <w:rPr>
          <w:rFonts w:ascii="Times New Roman" w:cs="Times New Roman" w:eastAsia="Times New Roman" w:hAnsi="Times New Roman"/>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34290</wp:posOffset>
            </wp:positionV>
            <wp:extent cx="24612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34290</wp:posOffset>
            </wp:positionV>
            <wp:extent cx="12261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80"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lowerRoman"/>
      <w:start w:val="2"/>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Roman"/>
      <w:start w:val="2"/>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37" Type="http://schemas.openxmlformats.org/officeDocument/2006/relationships/hyperlink" Target="http://www.sec.gov/Archives/edgar/data/1289848/000119312519083293/d595221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2019-12-28T09:41:50Z</dcterms:created>
  <dcterms:modified xsi:type="dcterms:W3CDTF">2019-12-28T09:41:50Z</dcterms:modified>
</cp:coreProperties>
</file>