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795020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-199390</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186055</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900" w:right="1480" w:hanging="3865"/>
        <w:spacing w:after="0" w:line="328" w:lineRule="auto"/>
        <w:tabs>
          <w:tab w:leader="none" w:pos="682" w:val="left"/>
        </w:tabs>
        <w:numPr>
          <w:ilvl w:val="0"/>
          <w:numId w:val="1"/>
        </w:numPr>
        <w:rPr>
          <w:rFonts w:ascii="MS PGothic" w:cs="MS PGothic" w:eastAsia="MS PGothic" w:hAnsi="MS PGothic"/>
          <w:sz w:val="17"/>
          <w:szCs w:val="17"/>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320" w:right="1480" w:hanging="4285"/>
        <w:spacing w:after="0" w:line="376" w:lineRule="auto"/>
        <w:tabs>
          <w:tab w:leader="none" w:pos="690" w:val="left"/>
        </w:tabs>
        <w:numPr>
          <w:ilvl w:val="0"/>
          <w:numId w:val="2"/>
        </w:numPr>
        <w:rPr>
          <w:rFonts w:ascii="Arial" w:cs="Arial" w:eastAsia="Arial" w:hAnsi="Arial"/>
          <w:sz w:val="17"/>
          <w:szCs w:val="17"/>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150"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-302895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172085</wp:posOffset>
            </wp:positionV>
            <wp:extent cx="1311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2140" w:type="dxa"/>
            <w:vAlign w:val="bottom"/>
          </w:tcPr>
          <w:p>
            <w:pPr>
              <w:jc w:val="center"/>
              <w:ind w:right="182"/>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left="3459"/>
              <w:spacing w:after="0"/>
              <w:rPr>
                <w:sz w:val="20"/>
                <w:szCs w:val="20"/>
                <w:color w:val="auto"/>
              </w:rPr>
            </w:pPr>
            <w:r>
              <w:rPr>
                <w:rFonts w:ascii="Arial" w:cs="Arial" w:eastAsia="Arial" w:hAnsi="Arial"/>
                <w:sz w:val="18"/>
                <w:szCs w:val="18"/>
                <w:b w:val="1"/>
                <w:bCs w:val="1"/>
                <w:color w:val="auto"/>
                <w:w w:val="89"/>
              </w:rPr>
              <w:t>01-0666114</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3"/>
              </w:rPr>
              <w:t>(State or other jurisdiction of</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incorporation or organization)</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Identification Number)</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89"/>
              </w:rPr>
              <w:t>550 West Van Buren Street</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91"/>
              </w:rPr>
              <w:t>Chicago, Illinois</w:t>
            </w:r>
          </w:p>
        </w:tc>
      </w:tr>
      <w:tr>
        <w:trPr>
          <w:trHeight w:val="212"/>
        </w:trPr>
        <w:tc>
          <w:tcPr>
            <w:tcW w:w="2140" w:type="dxa"/>
            <w:vAlign w:val="bottom"/>
          </w:tcPr>
          <w:p>
            <w:pPr>
              <w:spacing w:after="0"/>
              <w:rPr>
                <w:sz w:val="18"/>
                <w:szCs w:val="18"/>
                <w:color w:val="auto"/>
              </w:rPr>
            </w:pPr>
          </w:p>
        </w:tc>
        <w:tc>
          <w:tcPr>
            <w:tcW w:w="5000" w:type="dxa"/>
            <w:vAlign w:val="bottom"/>
          </w:tcPr>
          <w:p>
            <w:pPr>
              <w:jc w:val="right"/>
              <w:ind w:right="2799"/>
              <w:spacing w:after="0"/>
              <w:rPr>
                <w:sz w:val="20"/>
                <w:szCs w:val="20"/>
                <w:color w:val="auto"/>
              </w:rPr>
            </w:pPr>
            <w:r>
              <w:rPr>
                <w:rFonts w:ascii="Arial" w:cs="Arial" w:eastAsia="Arial" w:hAnsi="Arial"/>
                <w:sz w:val="18"/>
                <w:szCs w:val="18"/>
                <w:b w:val="1"/>
                <w:bCs w:val="1"/>
                <w:color w:val="auto"/>
              </w:rPr>
              <w:t>60607</w:t>
            </w:r>
          </w:p>
        </w:tc>
      </w:tr>
      <w:tr>
        <w:trPr>
          <w:trHeight w:val="162"/>
        </w:trPr>
        <w:tc>
          <w:tcPr>
            <w:tcW w:w="2140" w:type="dxa"/>
            <w:vAlign w:val="bottom"/>
          </w:tcPr>
          <w:p>
            <w:pPr>
              <w:spacing w:after="0"/>
              <w:rPr>
                <w:sz w:val="14"/>
                <w:szCs w:val="14"/>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140" w:type="dxa"/>
            <w:vAlign w:val="bottom"/>
          </w:tcPr>
          <w:p>
            <w:pPr>
              <w:spacing w:after="0"/>
              <w:rPr>
                <w:sz w:val="24"/>
                <w:szCs w:val="24"/>
                <w:color w:val="auto"/>
              </w:rPr>
            </w:pPr>
          </w:p>
        </w:tc>
        <w:tc>
          <w:tcPr>
            <w:tcW w:w="5000" w:type="dxa"/>
            <w:vAlign w:val="bottom"/>
          </w:tcPr>
          <w:p>
            <w:pPr>
              <w:jc w:val="right"/>
              <w:ind w:right="2459"/>
              <w:spacing w:after="0"/>
              <w:rPr>
                <w:sz w:val="20"/>
                <w:szCs w:val="20"/>
                <w:color w:val="auto"/>
              </w:rPr>
            </w:pPr>
            <w:r>
              <w:rPr>
                <w:rFonts w:ascii="Arial" w:cs="Arial" w:eastAsia="Arial" w:hAnsi="Arial"/>
                <w:sz w:val="18"/>
                <w:szCs w:val="18"/>
                <w:b w:val="1"/>
                <w:bCs w:val="1"/>
                <w:color w:val="auto"/>
              </w:rPr>
              <w:t>(312) 583-8700</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161925</wp:posOffset>
            </wp:positionV>
            <wp:extent cx="1311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85" w:lineRule="exact"/>
        <w:rPr>
          <w:sz w:val="24"/>
          <w:szCs w:val="24"/>
          <w:color w:val="auto"/>
        </w:rPr>
      </w:pPr>
    </w:p>
    <w:p>
      <w:pPr>
        <w:ind w:right="80"/>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2" w:lineRule="exact"/>
        <w:rPr>
          <w:sz w:val="24"/>
          <w:szCs w:val="24"/>
          <w:color w:val="auto"/>
        </w:rPr>
      </w:pPr>
    </w:p>
    <w:p>
      <w:pPr>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21" w:lineRule="exact"/>
        <w:rPr>
          <w:sz w:val="24"/>
          <w:szCs w:val="24"/>
          <w:color w:val="auto"/>
        </w:rPr>
      </w:pPr>
    </w:p>
    <w:p>
      <w:pPr>
        <w:ind w:right="2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69"/>
        </w:trPr>
        <w:tc>
          <w:tcPr>
            <w:tcW w:w="19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00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4840" w:type="dxa"/>
            <w:vAlign w:val="bottom"/>
          </w:tcPr>
          <w:p>
            <w:pPr>
              <w:ind w:left="2420"/>
              <w:spacing w:after="0"/>
              <w:rPr>
                <w:sz w:val="20"/>
                <w:szCs w:val="20"/>
                <w:color w:val="auto"/>
              </w:rPr>
            </w:pPr>
            <w:r>
              <w:rPr>
                <w:rFonts w:ascii="Arial" w:cs="Arial" w:eastAsia="Arial" w:hAnsi="Arial"/>
                <w:sz w:val="17"/>
                <w:szCs w:val="17"/>
                <w:color w:val="auto"/>
              </w:rPr>
              <w:t>Accelerated filer</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r>
        <w:trPr>
          <w:trHeight w:val="358"/>
        </w:trPr>
        <w:tc>
          <w:tcPr>
            <w:tcW w:w="1940" w:type="dxa"/>
            <w:vAlign w:val="bottom"/>
          </w:tcPr>
          <w:p>
            <w:pPr>
              <w:spacing w:after="0"/>
              <w:rPr>
                <w:sz w:val="20"/>
                <w:szCs w:val="20"/>
                <w:color w:val="auto"/>
              </w:rPr>
            </w:pPr>
            <w:r>
              <w:rPr>
                <w:rFonts w:ascii="Arial" w:cs="Arial" w:eastAsia="Arial" w:hAnsi="Arial"/>
                <w:sz w:val="17"/>
                <w:szCs w:val="17"/>
                <w:color w:val="auto"/>
              </w:rPr>
              <w:t>Non-accelerated filer</w:t>
            </w:r>
          </w:p>
        </w:tc>
        <w:tc>
          <w:tcPr>
            <w:tcW w:w="3000" w:type="dxa"/>
            <w:vAlign w:val="bottom"/>
          </w:tcPr>
          <w:p>
            <w:pPr>
              <w:ind w:left="400"/>
              <w:spacing w:after="0"/>
              <w:rPr>
                <w:sz w:val="20"/>
                <w:szCs w:val="20"/>
                <w:color w:val="auto"/>
              </w:rPr>
            </w:pPr>
            <w:r>
              <w:rPr>
                <w:rFonts w:ascii="Arial" w:cs="Arial" w:eastAsia="Arial" w:hAnsi="Arial"/>
                <w:sz w:val="17"/>
                <w:szCs w:val="17"/>
                <w:color w:val="auto"/>
              </w:rPr>
              <w:t>o</w:t>
            </w:r>
          </w:p>
        </w:tc>
        <w:tc>
          <w:tcPr>
            <w:tcW w:w="4840" w:type="dxa"/>
            <w:vAlign w:val="bottom"/>
          </w:tcPr>
          <w:p>
            <w:pPr>
              <w:ind w:left="2420"/>
              <w:spacing w:after="0"/>
              <w:rPr>
                <w:sz w:val="20"/>
                <w:szCs w:val="20"/>
                <w:color w:val="auto"/>
              </w:rPr>
            </w:pPr>
            <w:r>
              <w:rPr>
                <w:rFonts w:ascii="Arial" w:cs="Arial" w:eastAsia="Arial" w:hAnsi="Arial"/>
                <w:sz w:val="17"/>
                <w:szCs w:val="17"/>
                <w:color w:val="auto"/>
              </w:rPr>
              <w:t>Smaller reporting company</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r>
        <w:trPr>
          <w:trHeight w:val="392"/>
        </w:trPr>
        <w:tc>
          <w:tcPr>
            <w:tcW w:w="19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840" w:type="dxa"/>
            <w:vAlign w:val="bottom"/>
          </w:tcPr>
          <w:p>
            <w:pPr>
              <w:ind w:left="2420"/>
              <w:spacing w:after="0"/>
              <w:rPr>
                <w:sz w:val="20"/>
                <w:szCs w:val="20"/>
                <w:color w:val="auto"/>
              </w:rPr>
            </w:pPr>
            <w:r>
              <w:rPr>
                <w:rFonts w:ascii="Arial" w:cs="Arial" w:eastAsia="Arial" w:hAnsi="Arial"/>
                <w:sz w:val="17"/>
                <w:szCs w:val="17"/>
                <w:color w:val="auto"/>
              </w:rPr>
              <w:t>Emerging growth company</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bl>
    <w:p>
      <w:pPr>
        <w:spacing w:after="0" w:line="67" w:lineRule="exact"/>
        <w:rPr>
          <w:sz w:val="24"/>
          <w:szCs w:val="24"/>
          <w:color w:val="auto"/>
        </w:rPr>
      </w:pPr>
    </w:p>
    <w:p>
      <w:pPr>
        <w:ind w:right="80"/>
        <w:spacing w:after="0" w:line="270"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96" w:lineRule="exact"/>
        <w:tabs>
          <w:tab w:leader="none" w:pos="7920" w:val="left"/>
          <w:tab w:leader="none" w:pos="8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75" w:lineRule="exact"/>
        <w:rPr>
          <w:sz w:val="24"/>
          <w:szCs w:val="24"/>
          <w:color w:val="auto"/>
        </w:rPr>
      </w:pPr>
    </w:p>
    <w:p>
      <w:pPr>
        <w:spacing w:after="0"/>
        <w:rPr>
          <w:sz w:val="20"/>
          <w:szCs w:val="20"/>
          <w:color w:val="auto"/>
        </w:rPr>
      </w:pPr>
      <w:r>
        <w:rPr>
          <w:rFonts w:ascii="Arial" w:cs="Arial" w:eastAsia="Arial" w:hAnsi="Arial"/>
          <w:sz w:val="17"/>
          <w:szCs w:val="17"/>
          <w:color w:val="auto"/>
        </w:rPr>
        <w:t>As of April 23, 2019, 22,883,027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6869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4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2340" w:type="dxa"/>
            <w:vAlign w:val="bottom"/>
            <w:tcBorders>
              <w:bottom w:val="single" w:sz="8" w:color="0000EE"/>
            </w:tcBorders>
            <w:gridSpan w:val="5"/>
          </w:tcPr>
          <w:p>
            <w:pPr>
              <w:spacing w:after="0" w:line="189" w:lineRule="exact"/>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 – Financial Information</w:t>
              </w:r>
            </w:hyperlink>
          </w:p>
        </w:tc>
        <w:tc>
          <w:tcPr>
            <w:tcW w:w="7580" w:type="dxa"/>
            <w:vAlign w:val="bottom"/>
            <w:gridSpan w:val="12"/>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34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 (Unaudited)</w:t>
              </w:r>
            </w:hyperlink>
          </w:p>
        </w:tc>
        <w:tc>
          <w:tcPr>
            <w:tcW w:w="530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3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Other Comprehensive Income</w:t>
              </w:r>
            </w:hyperlink>
          </w:p>
        </w:tc>
        <w:tc>
          <w:tcPr>
            <w:tcW w:w="3380" w:type="dxa"/>
            <w:vAlign w:val="bottom"/>
            <w:gridSpan w:val="2"/>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Stockholders’ Equity</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520" w:type="dxa"/>
            <w:vAlign w:val="bottom"/>
            <w:tcBorders>
              <w:top w:val="single" w:sz="8" w:color="0000EE"/>
            </w:tcBorders>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5180" w:type="dxa"/>
            <w:vAlign w:val="bottom"/>
            <w:gridSpan w:val="4"/>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6440" w:type="dxa"/>
            <w:vAlign w:val="bottom"/>
            <w:gridSpan w:val="14"/>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Quantitative and Qualitative Disclosures About Market Risk</w:t>
              </w:r>
            </w:hyperlink>
          </w:p>
        </w:tc>
        <w:tc>
          <w:tcPr>
            <w:tcW w:w="2120" w:type="dxa"/>
            <w:vAlign w:val="bottom"/>
            <w:gridSpan w:val="2"/>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tcBorders>
              <w:left w:val="single" w:sz="8" w:color="0000EE"/>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4320" w:type="dxa"/>
            <w:vAlign w:val="bottom"/>
            <w:gridSpan w:val="1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920" w:type="dxa"/>
            <w:vAlign w:val="bottom"/>
            <w:gridSpan w:val="17"/>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 Other Information</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1300" w:type="dxa"/>
            <w:vAlign w:val="bottom"/>
            <w:gridSpan w:val="4"/>
          </w:tcPr>
          <w:p>
            <w:pPr>
              <w:spacing w:after="0"/>
              <w:rPr>
                <w:rFonts w:ascii="Arial" w:cs="Arial" w:eastAsia="Arial" w:hAnsi="Arial"/>
                <w:sz w:val="18"/>
                <w:szCs w:val="18"/>
                <w:color w:val="0000EE"/>
                <w:w w:val="84"/>
              </w:rPr>
            </w:pPr>
            <w:hyperlink w:anchor="page39">
              <w:r>
                <w:rPr>
                  <w:rFonts w:ascii="Arial" w:cs="Arial" w:eastAsia="Arial" w:hAnsi="Arial"/>
                  <w:sz w:val="18"/>
                  <w:szCs w:val="18"/>
                  <w:color w:val="0000EE"/>
                  <w:w w:val="84"/>
                </w:rPr>
                <w:t>Legal Proceedings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1A.</w:t>
            </w:r>
          </w:p>
        </w:tc>
        <w:tc>
          <w:tcPr>
            <w:tcW w:w="1300" w:type="dxa"/>
            <w:vAlign w:val="bottom"/>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870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Defaults Upon Senior Securities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2300" w:type="dxa"/>
            <w:vAlign w:val="bottom"/>
            <w:gridSpan w:val="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6400" w:type="dxa"/>
            <w:vAlign w:val="bottom"/>
            <w:gridSpan w:val="8"/>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5.</w:t>
            </w:r>
          </w:p>
        </w:tc>
        <w:tc>
          <w:tcPr>
            <w:tcW w:w="1300" w:type="dxa"/>
            <w:vAlign w:val="bottom"/>
            <w:gridSpan w:val="4"/>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Other Information</w:t>
              </w:r>
            </w:hyperlink>
          </w:p>
        </w:tc>
        <w:tc>
          <w:tcPr>
            <w:tcW w:w="440" w:type="dxa"/>
            <w:vAlign w:val="bottom"/>
          </w:tcPr>
          <w:p>
            <w:pPr>
              <w:spacing w:after="0"/>
              <w:rPr>
                <w:sz w:val="24"/>
                <w:szCs w:val="24"/>
                <w:color w:val="auto"/>
              </w:rPr>
            </w:pPr>
          </w:p>
        </w:tc>
        <w:tc>
          <w:tcPr>
            <w:tcW w:w="6960" w:type="dxa"/>
            <w:vAlign w:val="bottom"/>
            <w:gridSpan w:val="10"/>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40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6.</w:t>
            </w:r>
          </w:p>
        </w:tc>
        <w:tc>
          <w:tcPr>
            <w:tcW w:w="1300" w:type="dxa"/>
            <w:vAlign w:val="bottom"/>
            <w:gridSpan w:val="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Signature</w:t>
              </w:r>
            </w:hyperlink>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240" w:top="125" w:right="8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522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3"/>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33,107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Receivables from clients, net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104,674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109,677</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services,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69,613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6,612</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13,922</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216,509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232,931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2,153</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53,805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43,461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47,857</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645,541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645,263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1,091,360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1,049,532</w:t>
            </w:r>
          </w:p>
        </w:tc>
      </w:tr>
      <w:tr>
        <w:trPr>
          <w:trHeight w:val="67"/>
        </w:trPr>
        <w:tc>
          <w:tcPr>
            <w:tcW w:w="83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16,611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17,207</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payroll and related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109,825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contingent consideration for business acquisitions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9,991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243,132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maturities of operating lease liabilities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28,130</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373,945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418,305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compensation and other liabilities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25,886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20,875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contingent consideration for business acquisitions,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79,722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53,853</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lease incentives</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13,693</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non-current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167,762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90,603</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Common stock; $0.01 par value; 500,000,000 shares authorized; 25,275,901 and 25,114,739 shares issued at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2019 and December 31, 2018,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w w:val="91"/>
              </w:rPr>
              <w:t>Treasury stock, at cost, 2,392,531 and 2,568,288 shares at March 31, 2019 and December 31, 2018, respectively</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(126,983)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(124,794)</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457,748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452,573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199,410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196,106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16,495</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549,653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540,624</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1,091,360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1,049,532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92"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92"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p>
      <w:pPr>
        <w:jc w:val="center"/>
        <w:ind w:left="8600"/>
        <w:spacing w:after="0"/>
        <w:rPr>
          <w:sz w:val="20"/>
          <w:szCs w:val="20"/>
          <w:color w:val="auto"/>
        </w:rPr>
      </w:pPr>
      <w:r>
        <w:rPr>
          <w:rFonts w:ascii="Arial" w:cs="Arial" w:eastAsia="Arial" w:hAnsi="Arial"/>
          <w:sz w:val="17"/>
          <w:szCs w:val="17"/>
          <w:b w:val="1"/>
          <w:bCs w:val="1"/>
          <w:color w:val="auto"/>
        </w:rPr>
        <w:t>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24130</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5"/>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31"/>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 and 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Revenues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204,445</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193,679</w:t>
            </w:r>
          </w:p>
        </w:tc>
        <w:tc>
          <w:tcPr>
            <w:tcW w:w="0" w:type="dxa"/>
            <w:vAlign w:val="bottom"/>
          </w:tcPr>
          <w:p>
            <w:pPr>
              <w:spacing w:after="0"/>
              <w:rPr>
                <w:sz w:val="1"/>
                <w:szCs w:val="1"/>
                <w:color w:val="auto"/>
              </w:rPr>
            </w:pP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Reimbursable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18,617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17,619</w:t>
            </w:r>
          </w:p>
        </w:tc>
        <w:tc>
          <w:tcPr>
            <w:tcW w:w="0" w:type="dxa"/>
            <w:vAlign w:val="bottom"/>
          </w:tcPr>
          <w:p>
            <w:pPr>
              <w:spacing w:after="0"/>
              <w:rPr>
                <w:sz w:val="1"/>
                <w:szCs w:val="1"/>
                <w:color w:val="auto"/>
              </w:rPr>
            </w:pPr>
          </w:p>
        </w:tc>
      </w:tr>
      <w:tr>
        <w:trPr>
          <w:trHeight w:val="219"/>
        </w:trPr>
        <w:tc>
          <w:tcPr>
            <w:tcW w:w="8580" w:type="dxa"/>
            <w:vAlign w:val="bottom"/>
          </w:tcPr>
          <w:p>
            <w:pPr>
              <w:ind w:left="380"/>
              <w:spacing w:after="0"/>
              <w:rPr>
                <w:sz w:val="20"/>
                <w:szCs w:val="20"/>
                <w:color w:val="auto"/>
              </w:rPr>
            </w:pPr>
            <w:r>
              <w:rPr>
                <w:rFonts w:ascii="Arial" w:cs="Arial" w:eastAsia="Arial" w:hAnsi="Arial"/>
                <w:sz w:val="17"/>
                <w:szCs w:val="17"/>
                <w:color w:val="auto"/>
              </w:rPr>
              <w:t>Total revenues and reimbursable expenses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223,062</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211,298</w:t>
            </w:r>
          </w:p>
        </w:tc>
        <w:tc>
          <w:tcPr>
            <w:tcW w:w="0" w:type="dxa"/>
            <w:vAlign w:val="bottom"/>
          </w:tcPr>
          <w:p>
            <w:pPr>
              <w:spacing w:after="0"/>
              <w:rPr>
                <w:sz w:val="1"/>
                <w:szCs w:val="1"/>
                <w:color w:val="auto"/>
              </w:rPr>
            </w:pP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w w:val="95"/>
              </w:rPr>
              <w:t xml:space="preserve">Direct costs and reimbursable expenses </w:t>
            </w:r>
            <w:r>
              <w:rPr>
                <w:rFonts w:ascii="Arial" w:cs="Arial" w:eastAsia="Arial" w:hAnsi="Arial"/>
                <w:sz w:val="17"/>
                <w:szCs w:val="17"/>
                <w:color w:val="auto"/>
                <w:w w:val="95"/>
              </w:rPr>
              <w:t>(exclusive of depreciation and amortization shown in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Direct costs</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137,780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132,786</w:t>
            </w:r>
          </w:p>
        </w:tc>
        <w:tc>
          <w:tcPr>
            <w:tcW w:w="0" w:type="dxa"/>
            <w:vAlign w:val="bottom"/>
          </w:tcPr>
          <w:p>
            <w:pPr>
              <w:spacing w:after="0"/>
              <w:rPr>
                <w:sz w:val="1"/>
                <w:szCs w:val="1"/>
                <w:color w:val="auto"/>
              </w:rPr>
            </w:pP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of intangible assets and software development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1,218</w:t>
            </w: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Reimbursable expenses</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18,669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17,549</w:t>
            </w:r>
          </w:p>
        </w:tc>
        <w:tc>
          <w:tcPr>
            <w:tcW w:w="0" w:type="dxa"/>
            <w:vAlign w:val="bottom"/>
          </w:tcPr>
          <w:p>
            <w:pPr>
              <w:spacing w:after="0"/>
              <w:rPr>
                <w:sz w:val="1"/>
                <w:szCs w:val="1"/>
                <w:color w:val="auto"/>
              </w:rPr>
            </w:pPr>
          </w:p>
        </w:tc>
      </w:tr>
      <w:tr>
        <w:trPr>
          <w:trHeight w:val="31"/>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direct costs and 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157,566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151,553</w:t>
            </w:r>
          </w:p>
        </w:tc>
        <w:tc>
          <w:tcPr>
            <w:tcW w:w="0" w:type="dxa"/>
            <w:vAlign w:val="bottom"/>
          </w:tcPr>
          <w:p>
            <w:pPr>
              <w:spacing w:after="0"/>
              <w:rPr>
                <w:sz w:val="1"/>
                <w:szCs w:val="1"/>
                <w:color w:val="auto"/>
              </w:rPr>
            </w:pPr>
          </w:p>
        </w:tc>
      </w:tr>
      <w:tr>
        <w:trPr>
          <w:trHeight w:val="206"/>
        </w:trPr>
        <w:tc>
          <w:tcPr>
            <w:tcW w:w="8580" w:type="dxa"/>
            <w:vAlign w:val="bottom"/>
          </w:tcPr>
          <w:p>
            <w:pPr>
              <w:ind w:left="40"/>
              <w:spacing w:after="0"/>
              <w:rPr>
                <w:sz w:val="20"/>
                <w:szCs w:val="20"/>
                <w:color w:val="auto"/>
              </w:rPr>
            </w:pPr>
            <w:r>
              <w:rPr>
                <w:rFonts w:ascii="Arial" w:cs="Arial" w:eastAsia="Arial" w:hAnsi="Arial"/>
                <w:sz w:val="17"/>
                <w:szCs w:val="17"/>
                <w:b w:val="1"/>
                <w:bCs w:val="1"/>
                <w:color w:val="auto"/>
              </w:rPr>
              <w:t>Operating expenses and other losses (gains), net</w:t>
            </w: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8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50,749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47,078</w:t>
            </w: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Restructuring charges</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1,275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712</w:t>
            </w:r>
          </w:p>
        </w:tc>
        <w:tc>
          <w:tcPr>
            <w:tcW w:w="0" w:type="dxa"/>
            <w:vAlign w:val="bottom"/>
          </w:tcPr>
          <w:p>
            <w:pPr>
              <w:spacing w:after="0"/>
              <w:rPr>
                <w:sz w:val="1"/>
                <w:szCs w:val="1"/>
                <w:color w:val="auto"/>
              </w:rPr>
            </w:pP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losses (gains),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830</w:t>
            </w: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7,172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8,803</w:t>
            </w:r>
          </w:p>
        </w:tc>
        <w:tc>
          <w:tcPr>
            <w:tcW w:w="0" w:type="dxa"/>
            <w:vAlign w:val="bottom"/>
          </w:tcPr>
          <w:p>
            <w:pPr>
              <w:spacing w:after="0"/>
              <w:rPr>
                <w:sz w:val="1"/>
                <w:szCs w:val="1"/>
                <w:color w:val="auto"/>
              </w:rPr>
            </w:pPr>
          </w:p>
        </w:tc>
      </w:tr>
      <w:tr>
        <w:trPr>
          <w:trHeight w:val="31"/>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operating expenses and other losses (gains),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58,740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57,423</w:t>
            </w:r>
          </w:p>
        </w:tc>
        <w:tc>
          <w:tcPr>
            <w:tcW w:w="0" w:type="dxa"/>
            <w:vAlign w:val="bottom"/>
          </w:tcPr>
          <w:p>
            <w:pPr>
              <w:spacing w:after="0"/>
              <w:rPr>
                <w:sz w:val="1"/>
                <w:szCs w:val="1"/>
                <w:color w:val="auto"/>
              </w:rPr>
            </w:pPr>
          </w:p>
        </w:tc>
      </w:tr>
      <w:tr>
        <w:trPr>
          <w:trHeight w:val="219"/>
        </w:trPr>
        <w:tc>
          <w:tcPr>
            <w:tcW w:w="8580" w:type="dxa"/>
            <w:vAlign w:val="bottom"/>
          </w:tcPr>
          <w:p>
            <w:pPr>
              <w:ind w:left="40"/>
              <w:spacing w:after="0"/>
              <w:rPr>
                <w:sz w:val="20"/>
                <w:szCs w:val="20"/>
                <w:color w:val="auto"/>
              </w:rPr>
            </w:pPr>
            <w:r>
              <w:rPr>
                <w:rFonts w:ascii="Arial" w:cs="Arial" w:eastAsia="Arial" w:hAnsi="Arial"/>
                <w:sz w:val="17"/>
                <w:szCs w:val="17"/>
                <w:color w:val="auto"/>
              </w:rPr>
              <w:t>Operating income</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6,756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2,322</w:t>
            </w:r>
          </w:p>
        </w:tc>
        <w:tc>
          <w:tcPr>
            <w:tcW w:w="0" w:type="dxa"/>
            <w:vAlign w:val="bottom"/>
          </w:tcPr>
          <w:p>
            <w:pPr>
              <w:spacing w:after="0"/>
              <w:rPr>
                <w:sz w:val="1"/>
                <w:szCs w:val="1"/>
                <w:color w:val="auto"/>
              </w:rPr>
            </w:pP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Other income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Interest expense, net of interest income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(4,986)</w:t>
            </w:r>
          </w:p>
        </w:tc>
        <w:tc>
          <w:tcPr>
            <w:tcW w:w="0" w:type="dxa"/>
            <w:vAlign w:val="bottom"/>
          </w:tcPr>
          <w:p>
            <w:pPr>
              <w:spacing w:after="0"/>
              <w:rPr>
                <w:sz w:val="1"/>
                <w:szCs w:val="1"/>
                <w:color w:val="auto"/>
              </w:rPr>
            </w:pP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19"/>
        </w:trPr>
        <w:tc>
          <w:tcPr>
            <w:tcW w:w="8580" w:type="dxa"/>
            <w:vAlign w:val="bottom"/>
          </w:tcPr>
          <w:p>
            <w:pPr>
              <w:ind w:left="380"/>
              <w:spacing w:after="0"/>
              <w:rPr>
                <w:sz w:val="20"/>
                <w:szCs w:val="20"/>
                <w:color w:val="auto"/>
              </w:rPr>
            </w:pPr>
            <w:r>
              <w:rPr>
                <w:rFonts w:ascii="Arial" w:cs="Arial" w:eastAsia="Arial" w:hAnsi="Arial"/>
                <w:sz w:val="17"/>
                <w:szCs w:val="17"/>
                <w:color w:val="auto"/>
              </w:rPr>
              <w:t>Total other expense, net</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(2,041)</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(5,131)</w:t>
            </w:r>
          </w:p>
        </w:tc>
        <w:tc>
          <w:tcPr>
            <w:tcW w:w="0" w:type="dxa"/>
            <w:vAlign w:val="bottom"/>
          </w:tcPr>
          <w:p>
            <w:pPr>
              <w:spacing w:after="0"/>
              <w:rPr>
                <w:sz w:val="1"/>
                <w:szCs w:val="1"/>
                <w:color w:val="auto"/>
              </w:rPr>
            </w:pPr>
          </w:p>
        </w:tc>
      </w:tr>
      <w:tr>
        <w:trPr>
          <w:trHeight w:val="31"/>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(loss) from continuing operations before taxes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4,715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(2,809)</w:t>
            </w: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Income tax expense</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1,365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413</w:t>
            </w:r>
          </w:p>
        </w:tc>
        <w:tc>
          <w:tcPr>
            <w:tcW w:w="0" w:type="dxa"/>
            <w:vAlign w:val="bottom"/>
          </w:tcPr>
          <w:p>
            <w:pPr>
              <w:spacing w:after="0"/>
              <w:rPr>
                <w:sz w:val="1"/>
                <w:szCs w:val="1"/>
                <w:color w:val="auto"/>
              </w:rPr>
            </w:pPr>
          </w:p>
        </w:tc>
      </w:tr>
      <w:tr>
        <w:trPr>
          <w:trHeight w:val="31"/>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 from continuing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3,350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(3,222)</w:t>
            </w: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31"/>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(3,264)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Net earnings (loss) per basic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5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income (loss) from continuing operations</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239"/>
        </w:trPr>
        <w:tc>
          <w:tcPr>
            <w:tcW w:w="8580" w:type="dxa"/>
            <w:vAlign w:val="bottom"/>
          </w:tcPr>
          <w:p>
            <w:pPr>
              <w:ind w:left="38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income (loss)</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Net earnings (loss) per diluted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5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income (loss) from continuing operations</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239"/>
        </w:trPr>
        <w:tc>
          <w:tcPr>
            <w:tcW w:w="8580" w:type="dxa"/>
            <w:vAlign w:val="bottom"/>
          </w:tcPr>
          <w:p>
            <w:pPr>
              <w:ind w:left="38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income (loss)</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Weighted average shares used in calculating earnings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5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21,868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21,592</w:t>
            </w:r>
          </w:p>
        </w:tc>
        <w:tc>
          <w:tcPr>
            <w:tcW w:w="0" w:type="dxa"/>
            <w:vAlign w:val="bottom"/>
          </w:tcPr>
          <w:p>
            <w:pPr>
              <w:spacing w:after="0"/>
              <w:rPr>
                <w:sz w:val="1"/>
                <w:szCs w:val="1"/>
                <w:color w:val="auto"/>
              </w:rPr>
            </w:pPr>
          </w:p>
        </w:tc>
      </w:tr>
      <w:tr>
        <w:trPr>
          <w:trHeight w:val="239"/>
        </w:trPr>
        <w:tc>
          <w:tcPr>
            <w:tcW w:w="8580" w:type="dxa"/>
            <w:vAlign w:val="bottom"/>
          </w:tcPr>
          <w:p>
            <w:pPr>
              <w:ind w:left="380"/>
              <w:spacing w:after="0"/>
              <w:rPr>
                <w:sz w:val="20"/>
                <w:szCs w:val="20"/>
                <w:color w:val="auto"/>
              </w:rPr>
            </w:pPr>
            <w:r>
              <w:rPr>
                <w:rFonts w:ascii="Arial" w:cs="Arial" w:eastAsia="Arial" w:hAnsi="Arial"/>
                <w:sz w:val="17"/>
                <w:szCs w:val="17"/>
                <w:color w:val="auto"/>
              </w:rPr>
              <w:t>Diluted</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22,311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21,592</w:t>
            </w:r>
          </w:p>
        </w:tc>
        <w:tc>
          <w:tcPr>
            <w:tcW w:w="0" w:type="dxa"/>
            <w:vAlign w:val="bottom"/>
          </w:tcPr>
          <w:p>
            <w:pPr>
              <w:spacing w:after="0"/>
              <w:rPr>
                <w:sz w:val="1"/>
                <w:szCs w:val="1"/>
                <w:color w:val="auto"/>
              </w:rPr>
            </w:pP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3,304</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(3,264)</w:t>
            </w:r>
          </w:p>
        </w:tc>
        <w:tc>
          <w:tcPr>
            <w:tcW w:w="0" w:type="dxa"/>
            <w:vAlign w:val="bottom"/>
          </w:tcPr>
          <w:p>
            <w:pPr>
              <w:spacing w:after="0"/>
              <w:rPr>
                <w:sz w:val="1"/>
                <w:szCs w:val="1"/>
                <w:color w:val="auto"/>
              </w:rPr>
            </w:pP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Foreign currency translation adjustments,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Unrealized gain on investment, net of tax</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2,657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2,166</w:t>
            </w:r>
          </w:p>
        </w:tc>
        <w:tc>
          <w:tcPr>
            <w:tcW w:w="0" w:type="dxa"/>
            <w:vAlign w:val="bottom"/>
          </w:tcPr>
          <w:p>
            <w:pPr>
              <w:spacing w:after="0"/>
              <w:rPr>
                <w:sz w:val="1"/>
                <w:szCs w:val="1"/>
                <w:color w:val="auto"/>
              </w:rPr>
            </w:pP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Unrealized gain (loss) on cash flow hedging instruments,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219"/>
        </w:trPr>
        <w:tc>
          <w:tcPr>
            <w:tcW w:w="8580" w:type="dxa"/>
            <w:vAlign w:val="bottom"/>
          </w:tcPr>
          <w:p>
            <w:pPr>
              <w:ind w:left="40"/>
              <w:spacing w:after="0"/>
              <w:rPr>
                <w:sz w:val="20"/>
                <w:szCs w:val="20"/>
                <w:color w:val="auto"/>
              </w:rPr>
            </w:pPr>
            <w:r>
              <w:rPr>
                <w:rFonts w:ascii="Arial" w:cs="Arial" w:eastAsia="Arial" w:hAnsi="Arial"/>
                <w:sz w:val="17"/>
                <w:szCs w:val="17"/>
                <w:color w:val="auto"/>
              </w:rPr>
              <w:t>Other comprehensive income</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2,736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2,632</w:t>
            </w:r>
          </w:p>
        </w:tc>
        <w:tc>
          <w:tcPr>
            <w:tcW w:w="0" w:type="dxa"/>
            <w:vAlign w:val="bottom"/>
          </w:tcPr>
          <w:p>
            <w:pPr>
              <w:spacing w:after="0"/>
              <w:rPr>
                <w:sz w:val="1"/>
                <w:szCs w:val="1"/>
                <w:color w:val="auto"/>
              </w:rPr>
            </w:pPr>
          </w:p>
        </w:tc>
      </w:tr>
      <w:tr>
        <w:trPr>
          <w:trHeight w:val="31"/>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Comprehensive income (loss)</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57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57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right="720"/>
        <w:spacing w:after="0" w:line="339" w:lineRule="auto"/>
        <w:rPr>
          <w:sz w:val="20"/>
          <w:szCs w:val="20"/>
          <w:color w:val="auto"/>
        </w:rPr>
      </w:pPr>
      <w:r>
        <w:rPr>
          <w:rFonts w:ascii="Arial" w:cs="Arial" w:eastAsia="Arial" w:hAnsi="Arial"/>
          <w:sz w:val="14"/>
          <w:szCs w:val="14"/>
          <w:b w:val="1"/>
          <w:bCs w:val="1"/>
          <w:color w:val="auto"/>
        </w:rPr>
        <w:t xml:space="preserve">Balance at December 31, 2018 </w:t>
      </w:r>
      <w:r>
        <w:rPr>
          <w:rFonts w:ascii="Arial" w:cs="Arial" w:eastAsia="Arial" w:hAnsi="Arial"/>
          <w:sz w:val="14"/>
          <w:szCs w:val="14"/>
          <w:color w:val="auto"/>
        </w:rPr>
        <w:t>Comprehensive income</w:t>
      </w:r>
    </w:p>
    <w:p>
      <w:pPr>
        <w:spacing w:after="0" w:line="22" w:lineRule="exact"/>
        <w:rPr>
          <w:sz w:val="20"/>
          <w:szCs w:val="20"/>
          <w:color w:val="auto"/>
        </w:rPr>
      </w:pPr>
    </w:p>
    <w:p>
      <w:pPr>
        <w:ind w:left="40" w:right="220"/>
        <w:spacing w:after="0" w:line="253" w:lineRule="auto"/>
        <w:rPr>
          <w:sz w:val="20"/>
          <w:szCs w:val="20"/>
          <w:color w:val="auto"/>
        </w:rPr>
      </w:pPr>
      <w:r>
        <w:rPr>
          <w:rFonts w:ascii="Arial" w:cs="Arial" w:eastAsia="Arial" w:hAnsi="Arial"/>
          <w:sz w:val="14"/>
          <w:szCs w:val="14"/>
          <w:color w:val="auto"/>
        </w:rPr>
        <w:t>Issuance of common stock in connection with:</w:t>
      </w:r>
    </w:p>
    <w:p>
      <w:pPr>
        <w:spacing w:after="0" w:line="12" w:lineRule="exact"/>
        <w:rPr>
          <w:sz w:val="20"/>
          <w:szCs w:val="20"/>
          <w:color w:val="auto"/>
        </w:rPr>
      </w:pPr>
    </w:p>
    <w:p>
      <w:pPr>
        <w:ind w:left="380" w:right="440"/>
        <w:spacing w:after="0" w:line="253" w:lineRule="auto"/>
        <w:rPr>
          <w:sz w:val="20"/>
          <w:szCs w:val="20"/>
          <w:color w:val="auto"/>
        </w:rPr>
      </w:pPr>
      <w:r>
        <w:rPr>
          <w:rFonts w:ascii="Arial" w:cs="Arial" w:eastAsia="Arial" w:hAnsi="Arial"/>
          <w:sz w:val="14"/>
          <w:szCs w:val="14"/>
          <w:color w:val="auto"/>
        </w:rPr>
        <w:t>Restricted stock awards, net of cancellations</w:t>
      </w:r>
    </w:p>
    <w:p>
      <w:pPr>
        <w:spacing w:after="0" w:line="12" w:lineRule="exact"/>
        <w:rPr>
          <w:sz w:val="20"/>
          <w:szCs w:val="20"/>
          <w:color w:val="auto"/>
        </w:rPr>
      </w:pPr>
    </w:p>
    <w:p>
      <w:pPr>
        <w:ind w:left="40" w:right="760" w:firstLine="351"/>
        <w:spacing w:after="0" w:line="433" w:lineRule="auto"/>
        <w:rPr>
          <w:sz w:val="20"/>
          <w:szCs w:val="20"/>
          <w:color w:val="auto"/>
        </w:rPr>
      </w:pPr>
      <w:r>
        <w:rPr>
          <w:rFonts w:ascii="Arial" w:cs="Arial" w:eastAsia="Arial" w:hAnsi="Arial"/>
          <w:sz w:val="13"/>
          <w:szCs w:val="13"/>
          <w:color w:val="auto"/>
        </w:rPr>
        <w:t>Exercise of stock options Share-based compensation</w:t>
      </w:r>
    </w:p>
    <w:p>
      <w:pPr>
        <w:spacing w:after="0" w:line="1" w:lineRule="exact"/>
        <w:rPr>
          <w:sz w:val="20"/>
          <w:szCs w:val="20"/>
          <w:color w:val="auto"/>
        </w:rPr>
      </w:pPr>
    </w:p>
    <w:p>
      <w:pPr>
        <w:ind w:left="40" w:right="580"/>
        <w:spacing w:after="0" w:line="253" w:lineRule="auto"/>
        <w:rPr>
          <w:sz w:val="20"/>
          <w:szCs w:val="20"/>
          <w:color w:val="auto"/>
        </w:rPr>
      </w:pPr>
      <w:r>
        <w:rPr>
          <w:rFonts w:ascii="Arial" w:cs="Arial" w:eastAsia="Arial" w:hAnsi="Arial"/>
          <w:sz w:val="14"/>
          <w:szCs w:val="14"/>
          <w:color w:val="auto"/>
        </w:rPr>
        <w:t>Shares redeemed for employee tax withholdings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right="720"/>
        <w:spacing w:after="0" w:line="339" w:lineRule="auto"/>
        <w:rPr>
          <w:sz w:val="20"/>
          <w:szCs w:val="20"/>
          <w:color w:val="auto"/>
        </w:rPr>
      </w:pPr>
      <w:r>
        <w:rPr>
          <w:rFonts w:ascii="Arial" w:cs="Arial" w:eastAsia="Arial" w:hAnsi="Arial"/>
          <w:sz w:val="14"/>
          <w:szCs w:val="14"/>
          <w:b w:val="1"/>
          <w:bCs w:val="1"/>
          <w:color w:val="auto"/>
        </w:rPr>
        <w:t xml:space="preserve">Balance at December 31, 2017 </w:t>
      </w:r>
      <w:r>
        <w:rPr>
          <w:rFonts w:ascii="Arial" w:cs="Arial" w:eastAsia="Arial" w:hAnsi="Arial"/>
          <w:sz w:val="14"/>
          <w:szCs w:val="14"/>
          <w:color w:val="auto"/>
        </w:rPr>
        <w:t>Comprehensive income</w:t>
      </w:r>
    </w:p>
    <w:p>
      <w:pPr>
        <w:spacing w:after="0" w:line="22" w:lineRule="exact"/>
        <w:rPr>
          <w:sz w:val="20"/>
          <w:szCs w:val="20"/>
          <w:color w:val="auto"/>
        </w:rPr>
      </w:pPr>
    </w:p>
    <w:p>
      <w:pPr>
        <w:ind w:left="40" w:right="220"/>
        <w:spacing w:after="0" w:line="253" w:lineRule="auto"/>
        <w:rPr>
          <w:sz w:val="20"/>
          <w:szCs w:val="20"/>
          <w:color w:val="auto"/>
        </w:rPr>
      </w:pPr>
      <w:r>
        <w:rPr>
          <w:rFonts w:ascii="Arial" w:cs="Arial" w:eastAsia="Arial" w:hAnsi="Arial"/>
          <w:sz w:val="14"/>
          <w:szCs w:val="14"/>
          <w:color w:val="auto"/>
        </w:rPr>
        <w:t>Issuance of common stock in connection with:</w:t>
      </w:r>
    </w:p>
    <w:p>
      <w:pPr>
        <w:spacing w:after="0" w:line="12" w:lineRule="exact"/>
        <w:rPr>
          <w:sz w:val="20"/>
          <w:szCs w:val="20"/>
          <w:color w:val="auto"/>
        </w:rPr>
      </w:pPr>
    </w:p>
    <w:p>
      <w:pPr>
        <w:ind w:left="380" w:right="440"/>
        <w:spacing w:after="0" w:line="253" w:lineRule="auto"/>
        <w:rPr>
          <w:sz w:val="20"/>
          <w:szCs w:val="20"/>
          <w:color w:val="auto"/>
        </w:rPr>
      </w:pPr>
      <w:r>
        <w:rPr>
          <w:rFonts w:ascii="Arial" w:cs="Arial" w:eastAsia="Arial" w:hAnsi="Arial"/>
          <w:sz w:val="14"/>
          <w:szCs w:val="14"/>
          <w:color w:val="auto"/>
        </w:rPr>
        <w:t>Restricted stock awards, net of cancellations</w:t>
      </w:r>
    </w:p>
    <w:p>
      <w:pPr>
        <w:spacing w:after="0" w:line="12" w:lineRule="exact"/>
        <w:rPr>
          <w:sz w:val="20"/>
          <w:szCs w:val="20"/>
          <w:color w:val="auto"/>
        </w:rPr>
      </w:pPr>
    </w:p>
    <w:p>
      <w:pPr>
        <w:ind w:left="40" w:right="760" w:firstLine="351"/>
        <w:spacing w:after="0" w:line="433" w:lineRule="auto"/>
        <w:rPr>
          <w:sz w:val="20"/>
          <w:szCs w:val="20"/>
          <w:color w:val="auto"/>
        </w:rPr>
      </w:pPr>
      <w:r>
        <w:rPr>
          <w:rFonts w:ascii="Arial" w:cs="Arial" w:eastAsia="Arial" w:hAnsi="Arial"/>
          <w:sz w:val="13"/>
          <w:szCs w:val="13"/>
          <w:color w:val="auto"/>
        </w:rPr>
        <w:t>Exercise of stock options Share-based compensation</w:t>
      </w:r>
    </w:p>
    <w:p>
      <w:pPr>
        <w:spacing w:after="0" w:line="1" w:lineRule="exact"/>
        <w:rPr>
          <w:sz w:val="20"/>
          <w:szCs w:val="20"/>
          <w:color w:val="auto"/>
        </w:rPr>
      </w:pPr>
    </w:p>
    <w:p>
      <w:pPr>
        <w:ind w:left="40" w:right="580"/>
        <w:spacing w:after="0" w:line="253" w:lineRule="auto"/>
        <w:rPr>
          <w:sz w:val="20"/>
          <w:szCs w:val="20"/>
          <w:color w:val="auto"/>
        </w:rPr>
      </w:pPr>
      <w:r>
        <w:rPr>
          <w:rFonts w:ascii="Arial" w:cs="Arial" w:eastAsia="Arial" w:hAnsi="Arial"/>
          <w:sz w:val="14"/>
          <w:szCs w:val="14"/>
          <w:color w:val="auto"/>
        </w:rPr>
        <w:t>Shares redeemed for employee tax withholdings</w:t>
      </w:r>
    </w:p>
    <w:p>
      <w:pPr>
        <w:spacing w:after="0" w:line="1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Cumulative-effect adjustment from adoption of ASC 606</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March 31,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400" w:right="2620"/>
        <w:spacing w:after="0" w:line="263" w:lineRule="auto"/>
        <w:rPr>
          <w:sz w:val="20"/>
          <w:szCs w:val="20"/>
          <w:color w:val="auto"/>
        </w:rPr>
      </w:pPr>
      <w:r>
        <w:rPr>
          <w:rFonts w:ascii="Arial" w:cs="Arial" w:eastAsia="Arial" w:hAnsi="Arial"/>
          <w:sz w:val="18"/>
          <w:szCs w:val="18"/>
          <w:b w:val="1"/>
          <w:bCs w:val="1"/>
          <w:color w:val="auto"/>
        </w:rPr>
        <w:t>HURON CONSULTING GROUP INC. CONSOLIDATED STATEMENTS OF STOCKHOLDERS’ EQUITY (In thousands, except share amounts) (Unaudited)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5574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4"/>
                <w:szCs w:val="4"/>
                <w:color w:val="auto"/>
              </w:rPr>
            </w:pPr>
          </w:p>
        </w:tc>
        <w:tc>
          <w:tcPr>
            <w:tcW w:w="86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3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4"/>
                <w:szCs w:val="4"/>
                <w:color w:val="auto"/>
              </w:rPr>
            </w:pPr>
          </w:p>
        </w:tc>
        <w:tc>
          <w:tcPr>
            <w:tcW w:w="100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4"/>
        </w:trPr>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24,418,252</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1"/>
                <w:szCs w:val="21"/>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(2,671,962)</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(124,794)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452,573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196,106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16,495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540,624</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3,304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2,736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6,040</w:t>
            </w:r>
          </w:p>
        </w:tc>
        <w:tc>
          <w:tcPr>
            <w:tcW w:w="0" w:type="dxa"/>
            <w:vAlign w:val="bottom"/>
          </w:tcPr>
          <w:p>
            <w:pPr>
              <w:spacing w:after="0"/>
              <w:rPr>
                <w:sz w:val="1"/>
                <w:szCs w:val="1"/>
                <w:color w:val="auto"/>
              </w:rPr>
            </w:pPr>
          </w:p>
        </w:tc>
      </w:tr>
      <w:tr>
        <w:trPr>
          <w:trHeight w:val="702"/>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254,550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27,612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2,196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7,140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7,140</w:t>
            </w:r>
          </w:p>
        </w:tc>
        <w:tc>
          <w:tcPr>
            <w:tcW w:w="0" w:type="dxa"/>
            <w:vAlign w:val="bottom"/>
          </w:tcPr>
          <w:p>
            <w:pPr>
              <w:spacing w:after="0"/>
              <w:rPr>
                <w:sz w:val="1"/>
                <w:szCs w:val="1"/>
                <w:color w:val="auto"/>
              </w:rPr>
            </w:pPr>
          </w:p>
        </w:tc>
      </w:tr>
      <w:tr>
        <w:trPr>
          <w:trHeight w:val="357"/>
        </w:trPr>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(94,500)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(4,385)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(4,385)</w:t>
            </w:r>
          </w:p>
        </w:tc>
        <w:tc>
          <w:tcPr>
            <w:tcW w:w="0" w:type="dxa"/>
            <w:vAlign w:val="bottom"/>
          </w:tcPr>
          <w:p>
            <w:pPr>
              <w:spacing w:after="0"/>
              <w:rPr>
                <w:sz w:val="1"/>
                <w:szCs w:val="1"/>
                <w:color w:val="auto"/>
              </w:rPr>
            </w:pPr>
          </w:p>
        </w:tc>
      </w:tr>
      <w:tr>
        <w:trPr>
          <w:trHeight w:val="237"/>
        </w:trPr>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24,682,802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(2,738,850)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(126,983)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457,748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199,410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19,231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549,653</w:t>
            </w: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rPr>
              <w:t>Three Months Ended March 31, 2018</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4"/>
                <w:szCs w:val="4"/>
                <w:color w:val="auto"/>
              </w:rPr>
            </w:pPr>
          </w:p>
        </w:tc>
        <w:tc>
          <w:tcPr>
            <w:tcW w:w="86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3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4"/>
                <w:szCs w:val="4"/>
                <w:color w:val="auto"/>
              </w:rPr>
            </w:pPr>
          </w:p>
        </w:tc>
        <w:tc>
          <w:tcPr>
            <w:tcW w:w="100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4"/>
        </w:trPr>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24,098,822</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1"/>
                <w:szCs w:val="21"/>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(2,591,135)</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(121,994)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434,256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180,443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10,370</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503,316</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2,632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702"/>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198,546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34,177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5,280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5,280</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(75,832)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(2,684)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(2,684)</w:t>
            </w:r>
          </w:p>
        </w:tc>
        <w:tc>
          <w:tcPr>
            <w:tcW w:w="0" w:type="dxa"/>
            <w:vAlign w:val="bottom"/>
          </w:tcPr>
          <w:p>
            <w:pPr>
              <w:spacing w:after="0"/>
              <w:rPr>
                <w:sz w:val="1"/>
                <w:szCs w:val="1"/>
                <w:color w:val="auto"/>
              </w:rPr>
            </w:pPr>
          </w:p>
        </w:tc>
      </w:tr>
      <w:tr>
        <w:trPr>
          <w:trHeight w:val="357"/>
        </w:trPr>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237"/>
        </w:trPr>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24,307,368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(2,632,790)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(123,235)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438,325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179,135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13,002</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507,470</w:t>
            </w: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-4064000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-3721100</wp:posOffset>
            </wp:positionV>
            <wp:extent cx="72466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-3275330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-2932430</wp:posOffset>
            </wp:positionV>
            <wp:extent cx="72466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-1765935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-1423035</wp:posOffset>
            </wp:positionV>
            <wp:extent cx="724662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-977265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-633730</wp:posOffset>
            </wp:positionV>
            <wp:extent cx="724662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-187960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40"/>
            <w:col w:w="8780"/>
          </w:cols>
          <w:pgMar w:left="240" w:top="125" w:right="2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3,304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(3,264)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10,710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10,021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impairment charge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4,483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debt discount and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Allowances for doubtful accounts and unbilled services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fair value of contingent consideration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 net of acquisitions: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receivables from clients,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(4,452)</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unbilled services,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(16,850)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(15,991)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current income tax receivable / payable,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other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(3,753)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accounts payable and 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accrued payroll and related benefits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(54,151)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(23,633)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deferred revenues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(3,416)</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(38,289)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(36,263)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Purchases of property and equipment,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(2,349)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life insurance policies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Purchases of businesses, net of cash acquired</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 of internally developed software costs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(8,087)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(3,767)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redeemed for employee tax withholdings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borrowings under credit facility</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40,500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91,500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(58,124)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Payments for debt issuance costs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(1,385)</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29,541</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the period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33,107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16,909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the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6,436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w w:val="97"/>
              </w:rPr>
              <w:t>Property and equipment expenditures and capitalized software included in accounts payable and accrued expenses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1,913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1,937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Contingent consideration related to business acquisitions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33"/>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Huron is a global consultancy that helps clients drive growth, enhance performance and sustain leadership in the markets they serve. We partner with clients to develop strategies and implement solutions that enable the transformative change our clients need to own their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unaudited consolidated financial statements reflect the financial position, results of operations, and cash flows as of and for the three months ended March 31, 2019 and 2018.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for the year ended December 31, 2018 included in our Annual Report on Form 10-K. Our results for any interim period are not necessarily indicative of results for a full year or any other interim period.</w:t>
      </w:r>
    </w:p>
    <w:p>
      <w:pPr>
        <w:spacing w:after="0" w:line="1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On January 1, 2019, we adopted Accounting Standard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Below is an update to our lease accounting policy as a result of the adoption. Refer to Note 3 "New Accounting Pronouncements" for additional information on the adoption of ASU 2016-02.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30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determine if an arrangement contains a lease and the classification of such lease at inception. As of March 31, 2019, all of our material leases are classified as operating leases; we have not entered into any material finance leases. For all operating leases with an initial term greater than 12 months, we recognize an operating lease right-of-use ("ROU") asset and operating lease liability. Leases with an initial term of 12 months or less are not recorded on the balance sheet; we recognize lease expense for these leases on a straight-line basis over the lease term.</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lease ROU assets represent our right to use an underlying asset for the lease term, and lease liabilities represent our obligation to make lease payments arising from the lease. Operating lease ROU assets and liabilities are recognized at lease commencement date based on the present value of lease payments over the lease term. As our leases do not provide an implicit rate, we use our incremental borrowing rate based on the information available at lease commencement date and provided by Bank of America, N.A., the administrative agent for our senior secured credit facility, in determining the present value of lease payments. The operating lease ROU asset excludes lease incentives.</w:t>
      </w:r>
    </w:p>
    <w:p>
      <w:pPr>
        <w:spacing w:after="0" w:line="13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Certain lease agreements contain variable lease payments that do not depend on an index or rate. These variable lease payments are not included in the calculation of the operating lease ROU asset and operating lease liability; instead, they are expensed as incurred. Certain lease agreements contain lease and nonlease components, which are accounted for separately. We separate the contract consideration between lease and nonlease components based on the relative standalone price of each component. Our leases may contain options to extend or terminate the lease, and we include these terms in our calculation of the operating lease ROU asset and operating lease liability when it is reasonably certain that we will exercise the option.</w:t>
      </w:r>
    </w:p>
    <w:p>
      <w:pPr>
        <w:spacing w:after="0" w:line="10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Operating lease expense is recognized on a straight-line basis over the lease term and recorded within selling, general and administrative expenses on our consolidated statement of operations. In accordance with our accounting policy for impairment of long-lived assets, operating lease ROU assets are reviewed for impairment whenever events or changes in circumstances indicate that the carrying amount of the asset group to which the operating lease ROU asset is assigned may not be recoverable. We evaluate the recoverability of the asset group based on forecasted undiscounted cash flows. See Note 5 "Leases" for additional information on our leases, including the lease impairment charge recorded in the first quarter of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7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 xml:space="preserve">In March 2016, the Financial Accounting Standards Board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 a new Topic, ASC 842, which superseded ASC Topic 840, </w:t>
      </w:r>
      <w:r>
        <w:rPr>
          <w:rFonts w:ascii="Arial" w:cs="Arial" w:eastAsia="Arial" w:hAnsi="Arial"/>
          <w:sz w:val="17"/>
          <w:szCs w:val="17"/>
          <w:i w:val="1"/>
          <w:iCs w:val="1"/>
          <w:color w:val="auto"/>
        </w:rPr>
        <w:t>Leases</w:t>
      </w:r>
      <w:r>
        <w:rPr>
          <w:rFonts w:ascii="Arial" w:cs="Arial" w:eastAsia="Arial" w:hAnsi="Arial"/>
          <w:sz w:val="17"/>
          <w:szCs w:val="17"/>
          <w:color w:val="auto"/>
        </w:rPr>
        <w:t>, and sets forth the principles for the recognition, measurement, presentation, and disclosure of leases for both lessees and lessors. ASU 2016-02 requires lessees to classify leases as either finance or operating leases and to record on the balance sheet a right-of-use asset and a lease liability, equal to the present value of the remaining lease payments, for all leases with a term greater th</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an 12 months regardless of the lease classification. The lease classification will determine whether the lease expense is recognized using an effective interest rate method or on a straight-line basis over the term of the lease. In July 2018, the FASB issued ASU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provides an optional transition method that allows entities to initially apply ASC 842 at the adoption date and recognize a cumulative-effect adjustment to the opening balance of retained earnings on the adoption date. We adopted ASC 842 effective January 1, 2019 on a modified retrospective basis for existing leases using the transition method allowed by ASU 2018-11, which had no impact on our consolidated financial statements in the prior periods presented. The new lease standard has a material impact on our consolidated balance sheet upon adoption, but does not impact our consolidated statement of operations. The most significant impact to our consolidated balance sheet is the recognition of ROU assets and lease liabilities for operating leases. The impact of the new lease standard on our consolidated balance sheet upon adoption follows:</w:t>
      </w: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c>
          <w:tcPr>
            <w:tcW w:w="30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ASC 842</w:t>
            </w:r>
          </w:p>
        </w:tc>
        <w:tc>
          <w:tcPr>
            <w:tcW w:w="240" w:type="dxa"/>
            <w:vAlign w:val="bottom"/>
          </w:tcPr>
          <w:p>
            <w:pPr>
              <w:spacing w:after="0"/>
              <w:rPr>
                <w:sz w:val="18"/>
                <w:szCs w:val="18"/>
                <w:color w:val="auto"/>
              </w:rPr>
            </w:pPr>
          </w:p>
        </w:tc>
        <w:tc>
          <w:tcPr>
            <w:tcW w:w="1700" w:type="dxa"/>
            <w:vAlign w:val="bottom"/>
          </w:tcPr>
          <w:p>
            <w:pPr>
              <w:jc w:val="right"/>
              <w:ind w:right="690"/>
              <w:spacing w:after="0"/>
              <w:rPr>
                <w:sz w:val="20"/>
                <w:szCs w:val="20"/>
                <w:color w:val="auto"/>
              </w:rPr>
            </w:pPr>
            <w:r>
              <w:rPr>
                <w:rFonts w:ascii="Arial" w:cs="Arial" w:eastAsia="Arial" w:hAnsi="Arial"/>
                <w:sz w:val="18"/>
                <w:szCs w:val="18"/>
                <w:b w:val="1"/>
                <w:bCs w:val="1"/>
                <w:color w:val="auto"/>
              </w:rPr>
              <w:t>As of</w:t>
            </w:r>
          </w:p>
        </w:tc>
      </w:tr>
      <w:tr>
        <w:trPr>
          <w:trHeight w:val="234"/>
        </w:trPr>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 2018</w:t>
            </w:r>
          </w:p>
        </w:tc>
        <w:tc>
          <w:tcPr>
            <w:tcW w:w="300" w:type="dxa"/>
            <w:vAlign w:val="bottom"/>
          </w:tcPr>
          <w:p>
            <w:pPr>
              <w:spacing w:after="0"/>
              <w:rPr>
                <w:sz w:val="20"/>
                <w:szCs w:val="20"/>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Adjustment</w:t>
            </w:r>
          </w:p>
        </w:tc>
        <w:tc>
          <w:tcPr>
            <w:tcW w:w="240" w:type="dxa"/>
            <w:vAlign w:val="bottom"/>
          </w:tcPr>
          <w:p>
            <w:pPr>
              <w:spacing w:after="0"/>
              <w:rPr>
                <w:sz w:val="20"/>
                <w:szCs w:val="20"/>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January 1, 2019</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56,463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56,463</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14,650</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Current maturities of 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10,537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10,537</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and other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20,339</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Deferred lease incentives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13,693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(13,693)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62,712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62,712</w:t>
            </w:r>
          </w:p>
        </w:tc>
      </w:tr>
      <w:tr>
        <w:trPr>
          <w:trHeight w:val="27"/>
        </w:trPr>
        <w:tc>
          <w:tcPr>
            <w:tcW w:w="5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 Requirements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Fair Value Measurement, </w:t>
      </w:r>
      <w:r>
        <w:rPr>
          <w:rFonts w:ascii="Arial" w:cs="Arial" w:eastAsia="Arial" w:hAnsi="Arial"/>
          <w:sz w:val="18"/>
          <w:szCs w:val="18"/>
          <w:color w:val="auto"/>
        </w:rPr>
        <w:t>which modifies certain disclosure requirements related to fair value measurements. ASU 2018-13 will be effective for us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2020, with early adoption permitted. We do not expect this guidance to have an impact on the amounts reported on our consolidated financial statements, and we are currently evaluating the potential impact this guidance will have on our disclosures within the notes to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reportable segment for the three months ended March 31, 2019.</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Business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Healthcare</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Advisory</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Education</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636,810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301,700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102,829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1,041,339</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(396,076)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Goodwill, net as of December 31, 2018</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428,729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113,705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102,829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645,263</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Goodwill, net as of March 31, 2019</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428,729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113,983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102,829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645,541</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2019 and December 31, 2018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500"/>
              <w:spacing w:after="0"/>
              <w:rPr>
                <w:sz w:val="20"/>
                <w:szCs w:val="20"/>
                <w:color w:val="auto"/>
              </w:rPr>
            </w:pPr>
            <w:r>
              <w:rPr>
                <w:rFonts w:ascii="Arial" w:cs="Arial" w:eastAsia="Arial" w:hAnsi="Arial"/>
                <w:sz w:val="18"/>
                <w:szCs w:val="18"/>
                <w:b w:val="1"/>
                <w:bCs w:val="1"/>
                <w:color w:val="auto"/>
              </w:rPr>
              <w:t>As of March 31, 2019</w:t>
            </w:r>
          </w:p>
        </w:tc>
        <w:tc>
          <w:tcPr>
            <w:tcW w:w="260" w:type="dxa"/>
            <w:vAlign w:val="bottom"/>
          </w:tcPr>
          <w:p>
            <w:pPr>
              <w:spacing w:after="0"/>
              <w:rPr>
                <w:sz w:val="20"/>
                <w:szCs w:val="20"/>
                <w:color w:val="auto"/>
              </w:rPr>
            </w:pPr>
          </w:p>
        </w:tc>
        <w:tc>
          <w:tcPr>
            <w:tcW w:w="28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As of December 31, 2018</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Useful Life</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390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 years)</w:t>
            </w: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r>
      <w:tr>
        <w:trPr>
          <w:trHeight w:val="27"/>
        </w:trPr>
        <w:tc>
          <w:tcPr>
            <w:tcW w:w="3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4 to 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60,462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5 to 6</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23,859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23,181</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software</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 to 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 to 5</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2,241</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r>
      <w:tr>
        <w:trPr>
          <w:trHeight w:val="237"/>
        </w:trPr>
        <w:tc>
          <w:tcPr>
            <w:tcW w:w="3900" w:type="dxa"/>
            <w:vAlign w:val="bottom"/>
          </w:tcPr>
          <w:p>
            <w:pPr>
              <w:ind w:left="38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137,332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93,871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137,229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89,372</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as well as certain trade names and technology and software, are amortized on an accelerated basis to correspond to the cash flows expected to be derived from the assets. All other intangible assets with finite lives are amortized on a straight-line basis.</w:t>
      </w:r>
    </w:p>
    <w:p>
      <w:pPr>
        <w:spacing w:after="0" w:line="12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Intangible asset amortization expense was $4.5 million and $6.3 million for the three months ended March 31, 2019 and 2018, respectively. The table below sets forth the estimated annual amortization expense for the year ending December 31, 2019 and each of the five succeeding years for the intangible assets recorded as of March 31, 2019.</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Estimated Amortization</w:t>
            </w:r>
          </w:p>
        </w:tc>
      </w:tr>
      <w:tr>
        <w:trPr>
          <w:trHeight w:val="234"/>
        </w:trPr>
        <w:tc>
          <w:tcPr>
            <w:tcW w:w="9020" w:type="dxa"/>
            <w:vAlign w:val="bottom"/>
            <w:gridSpan w:val="2"/>
          </w:tcPr>
          <w:p>
            <w:pPr>
              <w:ind w:left="3440"/>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tcPr>
          <w:p>
            <w:pPr>
              <w:spacing w:after="0"/>
              <w:rPr>
                <w:sz w:val="20"/>
                <w:szCs w:val="20"/>
                <w:color w:val="auto"/>
              </w:rPr>
            </w:pPr>
          </w:p>
        </w:tc>
        <w:tc>
          <w:tcPr>
            <w:tcW w:w="2200" w:type="dxa"/>
            <w:vAlign w:val="bottom"/>
          </w:tcPr>
          <w:p>
            <w:pPr>
              <w:jc w:val="right"/>
              <w:ind w:right="790"/>
              <w:spacing w:after="0"/>
              <w:rPr>
                <w:sz w:val="20"/>
                <w:szCs w:val="20"/>
                <w:color w:val="auto"/>
              </w:rPr>
            </w:pPr>
            <w:r>
              <w:rPr>
                <w:rFonts w:ascii="Arial" w:cs="Arial" w:eastAsia="Arial" w:hAnsi="Arial"/>
                <w:sz w:val="18"/>
                <w:szCs w:val="18"/>
                <w:b w:val="1"/>
                <w:bCs w:val="1"/>
                <w:color w:val="auto"/>
              </w:rPr>
              <w:t>Expense</w:t>
            </w:r>
          </w:p>
        </w:tc>
      </w:tr>
      <w:tr>
        <w:trPr>
          <w:trHeight w:val="27"/>
        </w:trPr>
        <w:tc>
          <w:tcPr>
            <w:tcW w:w="8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17,206</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12,083</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8,064</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6,090</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3,512</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741</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lease office space, data centers and certain equipment under operating leases expiring on various dates through 2028, with various renewal options that can extend the lease terms by one to ten years. Our operating leases include fixed payments plus, in some cases, scheduled base rent increases over the term of the lease. Certain leases require variable payments of real estate taxes and insurance. We exclude these variable payments from the measurements of our lease liabilities and expense them as incurred. Additionally, certain leases require payments for operating expenses applicable to the property. We account for these nonlease components separately from the lease components. No lease agreements contain any residual value guarantees or material restrictive covenants. As of March 31, 2019, we have not entered into any material finance leases. We sublease certain office spaces to third parties resulting from restructuring activities in certain locations.</w:t>
      </w:r>
    </w:p>
    <w:p>
      <w:pPr>
        <w:spacing w:after="0" w:line="25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first quarter of 2019, we exited a portion of a corporate office space and determined that the carrying amount of the asset group to which the related operating lease right-of-use ("ROU") asset is assigned may not be recoverable. Therefore, we performed a long-lived asset impairment test on the asset group, which is comprised of the operating lease ROU asset and leasehold improvements of the office space. First, we tested the asset group for recoverability by comparing the undiscounted cash flows of the asset group, which included expected future lease and nonlease payments under the lease agreement offset by expected sublease income, to the carrying amount of the asset group. This first step of the long-lived asset impairment test concluded that the carrying amount of the asset group was not recoverable. Therefore, we performed the second step of the long-lived asset impairment test by comparing the fair value of the asset group to its carrying amount and recognizing a lease impairment charge for the amount by which the carrying amount exceeded the fair value. To estimate the fair value of the asset group, we relied on a discounted cash flow approach using market participant assumptions of the expected cash flows and discount rate. Based on the estimated fair value o</w:t>
      </w:r>
    </w:p>
    <w:p>
      <w:pPr>
        <w:sectPr>
          <w:pgSz w:w="11900" w:h="16838" w:orient="portrait"/>
          <w:cols w:equalWidth="0" w:num="1">
            <w:col w:w="11420"/>
          </w:cols>
          <w:pgMar w:left="240" w:top="125" w:right="239"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 the asset group, we recorded a $0.7 million lease impairment charge, of which $0.5 million was allocated to the operating lease ROU asset and $0.2 million was allocated to the leasehold improvements based on their relative carrying amounts. The $0.7 million lease impairment charge was recognized in restructuring charges on our consolidated statement of operations. See Note 9 "Restructuring Charges" for additional information on our restructuring activities.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Additional information on our operating leases as of March 31, 2019 follows.</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60"/>
        </w:trPr>
        <w:tc>
          <w:tcPr>
            <w:tcW w:w="9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March 31,</w:t>
            </w:r>
          </w:p>
        </w:tc>
      </w:tr>
      <w:tr>
        <w:trPr>
          <w:trHeight w:val="234"/>
        </w:trPr>
        <w:tc>
          <w:tcPr>
            <w:tcW w:w="926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w:t>
            </w:r>
          </w:p>
        </w:tc>
        <w:tc>
          <w:tcPr>
            <w:tcW w:w="180" w:type="dxa"/>
            <w:vAlign w:val="bottom"/>
          </w:tcPr>
          <w:p>
            <w:pPr>
              <w:spacing w:after="0"/>
              <w:rPr>
                <w:sz w:val="20"/>
                <w:szCs w:val="20"/>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9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53,805</w:t>
            </w:r>
          </w:p>
        </w:tc>
      </w:tr>
      <w:tr>
        <w:trPr>
          <w:trHeight w:val="324"/>
        </w:trPr>
        <w:tc>
          <w:tcPr>
            <w:tcW w:w="9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maturities of operating lease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10,293</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60,280</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70,573</w:t>
            </w: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482"/>
        </w:trPr>
        <w:tc>
          <w:tcPr>
            <w:tcW w:w="9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9260" w:type="dxa"/>
            <w:vAlign w:val="bottom"/>
            <w:gridSpan w:val="2"/>
          </w:tcPr>
          <w:p>
            <w:pPr>
              <w:ind w:left="40"/>
              <w:spacing w:after="0"/>
              <w:rPr>
                <w:sz w:val="20"/>
                <w:szCs w:val="20"/>
                <w:color w:val="auto"/>
              </w:rPr>
            </w:pPr>
            <w:r>
              <w:rPr>
                <w:rFonts w:ascii="Arial" w:cs="Arial" w:eastAsia="Arial" w:hAnsi="Arial"/>
                <w:sz w:val="18"/>
                <w:szCs w:val="18"/>
                <w:b w:val="1"/>
                <w:bCs w:val="1"/>
                <w:color w:val="auto"/>
              </w:rPr>
              <w:t>Lease Cost</w:t>
            </w:r>
          </w:p>
        </w:tc>
        <w:tc>
          <w:tcPr>
            <w:tcW w:w="180" w:type="dxa"/>
            <w:vAlign w:val="bottom"/>
          </w:tcPr>
          <w:p>
            <w:pPr>
              <w:spacing w:after="0"/>
              <w:rPr>
                <w:sz w:val="20"/>
                <w:szCs w:val="20"/>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March 31, 2019</w:t>
            </w:r>
          </w:p>
        </w:tc>
      </w:tr>
      <w:tr>
        <w:trPr>
          <w:trHeight w:val="27"/>
        </w:trPr>
        <w:tc>
          <w:tcPr>
            <w:tcW w:w="9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70"/>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 xml:space="preserve">Short-term leases </w:t>
            </w:r>
            <w:r>
              <w:rPr>
                <w:rFonts w:ascii="Arial" w:cs="Arial" w:eastAsia="Arial" w:hAnsi="Arial"/>
                <w:sz w:val="21"/>
                <w:szCs w:val="21"/>
                <w:color w:val="auto"/>
                <w:vertAlign w:val="superscript"/>
              </w:rPr>
              <w:t>(1)</w:t>
            </w:r>
          </w:p>
        </w:tc>
        <w:tc>
          <w:tcPr>
            <w:tcW w:w="18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lease costs</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Sublease income</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7"/>
        </w:trPr>
        <w:tc>
          <w:tcPr>
            <w:tcW w:w="92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 xml:space="preserve">Net lease cost </w:t>
            </w:r>
            <w:r>
              <w:rPr>
                <w:rFonts w:ascii="Arial" w:cs="Arial" w:eastAsia="Arial" w:hAnsi="Arial"/>
                <w:sz w:val="21"/>
                <w:szCs w:val="21"/>
                <w:b w:val="1"/>
                <w:bCs w:val="1"/>
                <w:color w:val="auto"/>
                <w:vertAlign w:val="superscript"/>
              </w:rPr>
              <w:t>(2)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2,804</w:t>
            </w: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variable lease costs related to short-term leases.</w:t>
      </w:r>
    </w:p>
    <w:p>
      <w:pPr>
        <w:spacing w:after="0" w:line="23" w:lineRule="exact"/>
        <w:rPr>
          <w:rFonts w:ascii="Arial" w:cs="Arial" w:eastAsia="Arial" w:hAnsi="Arial"/>
          <w:sz w:val="18"/>
          <w:szCs w:val="18"/>
          <w:color w:val="auto"/>
        </w:rPr>
      </w:pPr>
    </w:p>
    <w:p>
      <w:pPr>
        <w:ind w:left="540" w:right="80" w:hanging="532"/>
        <w:spacing w:after="0" w:line="261"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Rent expense, including operating expenses, real estate taxes and insurance, recorded under ASC 840 for the three months ended March 31, 2018 was $3.9 million.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remaining expected lease payments under our operating leases as of March 31, 2019 and December 31, 2018.</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ind w:right="474"/>
              <w:spacing w:after="0"/>
              <w:rPr>
                <w:sz w:val="20"/>
                <w:szCs w:val="20"/>
                <w:color w:val="auto"/>
              </w:rPr>
            </w:pPr>
            <w:r>
              <w:rPr>
                <w:rFonts w:ascii="Arial" w:cs="Arial" w:eastAsia="Arial" w:hAnsi="Arial"/>
                <w:sz w:val="18"/>
                <w:szCs w:val="18"/>
                <w:b w:val="1"/>
                <w:bCs w:val="1"/>
                <w:color w:val="auto"/>
              </w:rPr>
              <w:t>December 31,</w:t>
            </w:r>
          </w:p>
        </w:tc>
      </w:tr>
      <w:tr>
        <w:trPr>
          <w:trHeight w:val="261"/>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Future Lease Payments</w:t>
            </w: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20" w:type="dxa"/>
            <w:vAlign w:val="bottom"/>
          </w:tcPr>
          <w:p>
            <w:pPr>
              <w:jc w:val="right"/>
              <w:ind w:right="674"/>
              <w:spacing w:after="0" w:line="261" w:lineRule="exact"/>
              <w:rPr>
                <w:sz w:val="20"/>
                <w:szCs w:val="20"/>
                <w:color w:val="auto"/>
              </w:rPr>
            </w:pPr>
            <w:r>
              <w:rPr>
                <w:rFonts w:ascii="Arial" w:cs="Arial" w:eastAsia="Arial" w:hAnsi="Arial"/>
                <w:sz w:val="30"/>
                <w:szCs w:val="30"/>
                <w:b w:val="1"/>
                <w:bCs w:val="1"/>
                <w:color w:val="auto"/>
                <w:vertAlign w:val="subscript"/>
              </w:rPr>
              <w:t>2018</w:t>
            </w:r>
            <w:r>
              <w:rPr>
                <w:rFonts w:ascii="Arial" w:cs="Arial" w:eastAsia="Arial" w:hAnsi="Arial"/>
                <w:sz w:val="10"/>
                <w:szCs w:val="10"/>
                <w:color w:val="auto"/>
              </w:rPr>
              <w:t xml:space="preserve"> (1, 2)</w:t>
            </w:r>
          </w:p>
        </w:tc>
      </w:tr>
      <w:tr>
        <w:trPr>
          <w:trHeight w:val="244"/>
        </w:trPr>
        <w:tc>
          <w:tcPr>
            <w:tcW w:w="68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10,136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13,701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12,717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12,724</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11,595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11,590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10,775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10,766</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10,711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10,707</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14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27,035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27,033</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lease payments</w:t>
            </w:r>
          </w:p>
        </w:tc>
        <w:tc>
          <w:tcPr>
            <w:tcW w:w="1480" w:type="dxa"/>
            <w:vAlign w:val="bottom"/>
            <w:tcBorders>
              <w:bottom w:val="single" w:sz="8" w:color="CCEEFF"/>
            </w:tcBorders>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82,969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86,521</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Less: imputed interest</w:t>
            </w:r>
          </w:p>
        </w:tc>
        <w:tc>
          <w:tcPr>
            <w:tcW w:w="1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(12,396)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n/a</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Present value of operating lease liabilities</w:t>
            </w:r>
          </w:p>
        </w:tc>
        <w:tc>
          <w:tcPr>
            <w:tcW w:w="1480" w:type="dxa"/>
            <w:vAlign w:val="bottom"/>
            <w:tcBorders>
              <w:bottom w:val="single" w:sz="8" w:color="CCEEFF"/>
            </w:tcBorders>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70,573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n/a</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lease payments as of December 31, 2018 represent our future minimum rental commitments as defined by ASC 840.</w:t>
      </w:r>
    </w:p>
    <w:p>
      <w:pPr>
        <w:spacing w:after="0" w:line="63"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December 31, 2018, the expected total future minimum sublease income to be received was $10.2 million.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Three Months Ended</w:t>
            </w:r>
          </w:p>
        </w:tc>
      </w:tr>
      <w:tr>
        <w:trPr>
          <w:trHeight w:val="234"/>
        </w:trPr>
        <w:tc>
          <w:tcPr>
            <w:tcW w:w="91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Information</w:t>
            </w:r>
          </w:p>
        </w:tc>
        <w:tc>
          <w:tcPr>
            <w:tcW w:w="200" w:type="dxa"/>
            <w:vAlign w:val="bottom"/>
          </w:tcPr>
          <w:p>
            <w:pPr>
              <w:spacing w:after="0"/>
              <w:rPr>
                <w:sz w:val="20"/>
                <w:szCs w:val="20"/>
                <w:color w:val="auto"/>
              </w:rPr>
            </w:pPr>
          </w:p>
        </w:tc>
        <w:tc>
          <w:tcPr>
            <w:tcW w:w="2040" w:type="dxa"/>
            <w:vAlign w:val="bottom"/>
          </w:tcPr>
          <w:p>
            <w:pPr>
              <w:jc w:val="right"/>
              <w:ind w:right="430"/>
              <w:spacing w:after="0"/>
              <w:rPr>
                <w:sz w:val="20"/>
                <w:szCs w:val="20"/>
                <w:color w:val="auto"/>
              </w:rPr>
            </w:pPr>
            <w:r>
              <w:rPr>
                <w:rFonts w:ascii="Arial" w:cs="Arial" w:eastAsia="Arial" w:hAnsi="Arial"/>
                <w:sz w:val="18"/>
                <w:szCs w:val="18"/>
                <w:b w:val="1"/>
                <w:bCs w:val="1"/>
                <w:color w:val="auto"/>
              </w:rPr>
              <w:t>March 31, 2019</w:t>
            </w:r>
          </w:p>
        </w:tc>
      </w:tr>
      <w:tr>
        <w:trPr>
          <w:trHeight w:val="27"/>
        </w:trPr>
        <w:tc>
          <w:tcPr>
            <w:tcW w:w="9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9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paid for operating lease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3,554</w:t>
            </w:r>
          </w:p>
        </w:tc>
      </w:tr>
      <w:tr>
        <w:trPr>
          <w:trHeight w:val="324"/>
        </w:trPr>
        <w:tc>
          <w:tcPr>
            <w:tcW w:w="9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50"/>
        </w:trPr>
        <w:tc>
          <w:tcPr>
            <w:tcW w:w="9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 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 years</w:t>
            </w:r>
          </w:p>
        </w:tc>
      </w:tr>
      <w:tr>
        <w:trPr>
          <w:trHeight w:val="243"/>
        </w:trPr>
        <w:tc>
          <w:tcPr>
            <w:tcW w:w="9180" w:type="dxa"/>
            <w:vAlign w:val="bottom"/>
            <w:gridSpan w:val="2"/>
          </w:tcPr>
          <w:p>
            <w:pPr>
              <w:ind w:left="40"/>
              <w:spacing w:after="0"/>
              <w:rPr>
                <w:sz w:val="20"/>
                <w:szCs w:val="20"/>
                <w:color w:val="auto"/>
              </w:rPr>
            </w:pPr>
            <w:r>
              <w:rPr>
                <w:rFonts w:ascii="Arial" w:cs="Arial" w:eastAsia="Arial" w:hAnsi="Arial"/>
                <w:sz w:val="18"/>
                <w:szCs w:val="18"/>
                <w:color w:val="auto"/>
              </w:rPr>
              <w:t>Weighted average discount rate - operating leases</w:t>
            </w:r>
          </w:p>
        </w:tc>
        <w:tc>
          <w:tcPr>
            <w:tcW w:w="2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2019, we entered into two new agreements to lease office space in Denver, Colorado and Bangalore, India. Both leases are expected to commence in the second quarter of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Revenues</w:t>
      </w:r>
    </w:p>
    <w:p>
      <w:pPr>
        <w:spacing w:after="0" w:line="17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For the three months ended March 31, 2019 and 2018, we recognized revenues of $204.4 million and $193.7 million, respectively. Of the $204.4 million recognized in the first quarter of 2019, we recognized revenues of $3.9 million from obligations satisfied, or partially satisfied, in prior periods, due to the release of allowances on unbilled services due to securing contract amendments. During the first quarter of 2019, we recognized a $1.2 million decrease to revenues due to changes in the estimates of our variable consideration under performance-based billing arrangements. Of the $193.7 million recognized in the first quarter of 2018, we recognized revenues of $5.9 million from obligations satisfied, or partially satisfied, in prior periods, of which $3.1 million was primarily due to the release of allowances on unbilled services due to securing contract amendments and $2.8 million was due to changes in the estimates of our variable consideration under performance-based billing arrangements.</w:t>
      </w:r>
    </w:p>
    <w:p>
      <w:pPr>
        <w:spacing w:after="0" w:line="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of March 31, 2019, we had $75.1 million of remaining performance obligations under engagements with original expected durations greater than one year. These remaining performance obligations exclude obligations under contracts with an original expected duration of one year or less, variable consideration which has been excluded from the total transaction price due to the constraint, and performance obligations under time-and-expense engagements which are recognized in the amount invoiced. Of the $75.1 million of performance obligations, we expect to recognize approximately $56.9 million as revenue in 2019, $12.4 million in 2020, and the remaining $5.8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11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as of March 31, 2019 and December 31, 2018 was $3.7 million and $9.1 million, respectively. The $5.4 million decrease primarily reflects timing differences between the completion of our performance obligations and the amounts billed or billable to clients in accordance with their contractual billing terms.</w:t>
      </w:r>
    </w:p>
    <w:p>
      <w:pPr>
        <w:spacing w:after="0" w:line="11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policy. Our deferred revenues balance as of March 31, 2019 and December 31, 2018, was $30.0 million and $28.1 million, respectively. The $1.9 million increase primarily reflects timing differences between client payments in accordance with their contract terms and the completion of our performance obligations. For the three months ended March 31, 2019, $11.7 million of revenues recognized were included in the deferred revenue balance as of December 31, 2018.</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7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In periods for which we report a net loss from continuing operations, diluted weighted average common shares outstanding excludes all potential common stock equivalents as their impact on diluted net loss from continuing operations per share would be anti-dilutive.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under the basic and diluted computations are as follows:</w:t>
      </w:r>
    </w:p>
    <w:p>
      <w:pPr>
        <w:spacing w:after="0" w:line="329"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Weighted average common stock equivalents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21,592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per basic share: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r>
      <w:tr>
        <w:trPr>
          <w:trHeight w:val="67"/>
        </w:trPr>
        <w:tc>
          <w:tcPr>
            <w:tcW w:w="83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64"/>
        </w:trPr>
        <w:tc>
          <w:tcPr>
            <w:tcW w:w="8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earnings (loss) per diluted share: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number of anti-dilutive securities excluded from the computation of the weighted average common stock equivalents presented above were as follows:</w:t>
      </w:r>
    </w:p>
    <w:p>
      <w:pPr>
        <w:spacing w:after="0" w:line="190"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gridSpan w:val="2"/>
          </w:tcPr>
          <w:p>
            <w:pPr>
              <w:ind w:left="8400"/>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r>
      <w:tr>
        <w:trPr>
          <w:trHeight w:val="243"/>
        </w:trPr>
        <w:tc>
          <w:tcPr>
            <w:tcW w:w="8860" w:type="dxa"/>
            <w:vAlign w:val="bottom"/>
            <w:gridSpan w:val="2"/>
          </w:tcPr>
          <w:p>
            <w:pPr>
              <w:ind w:left="40"/>
              <w:spacing w:after="0"/>
              <w:rPr>
                <w:sz w:val="20"/>
                <w:szCs w:val="20"/>
                <w:color w:val="auto"/>
              </w:rPr>
            </w:pPr>
            <w:r>
              <w:rPr>
                <w:rFonts w:ascii="Arial" w:cs="Arial" w:eastAsia="Arial" w:hAnsi="Arial"/>
                <w:sz w:val="18"/>
                <w:szCs w:val="18"/>
                <w:color w:val="auto"/>
              </w:rPr>
              <w:t>Outstanding common stock options</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184</w:t>
            </w: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8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r>
      <w:tr>
        <w:trPr>
          <w:trHeight w:val="243"/>
        </w:trPr>
        <w:tc>
          <w:tcPr>
            <w:tcW w:w="8860" w:type="dxa"/>
            <w:vAlign w:val="bottom"/>
            <w:gridSpan w:val="2"/>
          </w:tcPr>
          <w:p>
            <w:pPr>
              <w:ind w:left="40"/>
              <w:spacing w:after="0"/>
              <w:rPr>
                <w:sz w:val="20"/>
                <w:szCs w:val="20"/>
                <w:color w:val="auto"/>
              </w:rPr>
            </w:pPr>
            <w:r>
              <w:rPr>
                <w:rFonts w:ascii="Arial" w:cs="Arial" w:eastAsia="Arial" w:hAnsi="Arial"/>
                <w:sz w:val="18"/>
                <w:szCs w:val="18"/>
                <w:color w:val="auto"/>
              </w:rPr>
              <w:t>Warrants related to the issuance of convertible senior notes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3,129</w:t>
            </w: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anti-dilutive securities</w:t>
            </w:r>
          </w:p>
        </w:tc>
        <w:tc>
          <w:tcPr>
            <w:tcW w:w="1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6,270</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See Note 8 “Financing Arrangements” for further information on the convertible senior notes and warrants related to the issuance of convertible notes.</w:t>
      </w:r>
    </w:p>
    <w:p>
      <w:pPr>
        <w:spacing w:after="0" w:line="18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We currently have a share repurchase program permitting us to repurchase up to $125 million of our common stock through October 31, 2019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No shares were repurchased during the first three months of 2019 and 2018. As of March 31, 2019, $35.1 million remains available for share repurchases.</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8. Financing Arrangements</w:t>
            </w: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color w:val="auto"/>
              </w:rPr>
              <w:t>A summary of the carrying amounts of our debt follows:</w:t>
            </w: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December 31, 2018</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245,051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242,617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secured credit facility</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76,000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50,000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Promissory note due 2024</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4,368</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long-term debt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325,291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296,985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(245,569)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(243,132)</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Long-term debt, net of current portion</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79,722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53,853</w:t>
            </w:r>
          </w:p>
        </w:tc>
      </w:tr>
      <w:tr>
        <w:trPr>
          <w:trHeight w:val="27"/>
        </w:trPr>
        <w:tc>
          <w:tcPr>
            <w:tcW w:w="6740" w:type="dxa"/>
            <w:vAlign w:val="bottom"/>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359"/>
        </w:trPr>
        <w:tc>
          <w:tcPr>
            <w:tcW w:w="9140" w:type="dxa"/>
            <w:vAlign w:val="bottom"/>
            <w:gridSpan w:val="4"/>
          </w:tcPr>
          <w:p>
            <w:pPr>
              <w:spacing w:after="0"/>
              <w:rPr>
                <w:sz w:val="20"/>
                <w:szCs w:val="20"/>
                <w:color w:val="auto"/>
              </w:rPr>
            </w:pPr>
            <w:r>
              <w:rPr>
                <w:rFonts w:ascii="Arial" w:cs="Arial" w:eastAsia="Arial" w:hAnsi="Arial"/>
                <w:sz w:val="18"/>
                <w:szCs w:val="18"/>
                <w:color w:val="auto"/>
              </w:rPr>
              <w:t>Below is a summary of the scheduled remaining principal payments of our debt as of March 31, 2019.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60"/>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Principal Payments of</w:t>
            </w:r>
          </w:p>
        </w:tc>
      </w:t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b w:val="1"/>
                <w:bCs w:val="1"/>
                <w:color w:val="auto"/>
              </w:rPr>
              <w:t>Long-Term Debt</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250,387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529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559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1,646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September 2014, the Company issued $250 million principal amount of 1.25% convertible senior notes due 2019 (the “Convertible Notes”) in a private offering. The Convertible Notes are governed by the terms of an indenture between the Company and U.S. Bank National Association, as Trustee (the “Indenture”).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 We expect to refinance the principal amount of the outstanding Convertible Notes at maturity with the borrowing capacity available under our revolving credit facility.</w:t>
      </w:r>
    </w:p>
    <w:p>
      <w:pPr>
        <w:spacing w:after="0" w:line="13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initial conversion rate for the Convertible Notes is 12.5170 shares of our common stock per $1,000 principal amount of the Convertible Notes, which is equal to an initial conversion price of approximately $79.89 per share of our common stock. The conversion rate will be subject to adjustment upon the occurrence of certain specified events but will not be adjusted for accrued and unpaid interest, except in certain limited circumstances described in the Indenture.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Additionally, if the Company undergoes a “fundamental change” (as defined in the Indenture), a holder will have the option to require the Company to repurchase all or a portion of its Convertible Notes for cash at a price equal to 100% of the principal amount of the Convertible Notes being repurchased plus any accrued and unpaid interest. As discussed below, the convertible note hedge transactions and warrants, which were entered into in connection with the Convertible Notes, effectively raise the price at which economic dilution would occur from the initial conversion price of approximately $79.89 to approximately $97.12 per share.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Holders of the Convertible Notes may convert their Convertible Notes at their option at any time prior to July 1, 2019, only under the following circumstances:</w:t>
      </w:r>
    </w:p>
    <w:p>
      <w:pPr>
        <w:spacing w:after="0" w:line="143" w:lineRule="exact"/>
        <w:rPr>
          <w:sz w:val="20"/>
          <w:szCs w:val="20"/>
          <w:color w:val="auto"/>
        </w:rPr>
      </w:pPr>
    </w:p>
    <w:p>
      <w:pPr>
        <w:ind w:left="740" w:right="80" w:hanging="732"/>
        <w:spacing w:after="0" w:line="259"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commencing after December 31, 2014 if, for each of at least 20 trading days (whether or not consecutive) during the 30 consecutive trading day period ending on, and including, the last trading day of the immediately preceding calendar quarter, the last reported sale price of the Company’s common stock for such trading day is equal to or greater than 130% of the applicable conversion price on such trading day;</w:t>
      </w:r>
    </w:p>
    <w:p>
      <w:pPr>
        <w:spacing w:after="0" w:line="132" w:lineRule="exact"/>
        <w:rPr>
          <w:rFonts w:ascii="Arial" w:cs="Arial" w:eastAsia="Arial" w:hAnsi="Arial"/>
          <w:sz w:val="18"/>
          <w:szCs w:val="18"/>
          <w:color w:val="auto"/>
        </w:rPr>
      </w:pPr>
    </w:p>
    <w:p>
      <w:pPr>
        <w:ind w:left="740" w:right="180" w:hanging="732"/>
        <w:spacing w:after="0" w:line="279"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following any five consecutive trading day period (such five consecutive trading day period, the “measurement period”) in which, for each trading day of the measurement period, the “trading price” (as defined in the Indenture) per $1,000 principal amount of the Convertible Notes for such trading day was less than 98% of the product of the last reported sale price of the Company’s common stock for such trading day and the applicable conversion rate on such trading day; or</w:t>
      </w:r>
    </w:p>
    <w:p>
      <w:pPr>
        <w:spacing w:after="0" w:line="117" w:lineRule="exact"/>
        <w:rPr>
          <w:rFonts w:ascii="Arial" w:cs="Arial" w:eastAsia="Arial" w:hAnsi="Arial"/>
          <w:sz w:val="17"/>
          <w:szCs w:val="17"/>
          <w:color w:val="auto"/>
        </w:rPr>
      </w:pPr>
    </w:p>
    <w:p>
      <w:pPr>
        <w:ind w:left="740" w:hanging="732"/>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the occurrence of specified corporate transactions described in the Indenture.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or after July 1, 2019 until the close of business on the second scheduled trading day immediately preceding the maturity date, a holder may convert all or a portion of its Convertible Notes, regardless of the foregoing circumstances.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separated the Convertible Notes into liability and equity components. The carrying amount of the liability component was determined by measuring the fair value of a similar liability that does not have an associated convertible feature, assuming our non-convertible debt borrowing rate.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an effective interest rate of 4.751% over the term of the Convertible Notes. As of March 31, 2019, the remaining life of the Convertible Notes is six months. The equity component will not be remeasured as long as it continues to meet the conditions for equity classification.</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transaction costs related to the issuance of the Convertible Notes were separated into liability and equity components based on their relative values, as determined above. Transaction costs attributable to the liability component are recorded as a deduction to the carrying amount of the liability and amortized to interest expense over the term of the Convertible Notes; and transaction costs attributable to the equity component are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and December 31, 2018, the Convertible Notes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2019</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debt discount, net of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(6,436)</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Less: debt issuance costs, net of amortization</w:t>
            </w: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carrying amount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245,051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242,617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080" w:type="dxa"/>
            <w:vAlign w:val="bottom"/>
          </w:tcPr>
          <w:p>
            <w:pPr>
              <w:ind w:left="40"/>
              <w:spacing w:after="0"/>
              <w:rPr>
                <w:sz w:val="20"/>
                <w:szCs w:val="20"/>
                <w:color w:val="auto"/>
              </w:rPr>
            </w:pPr>
            <w:r>
              <w:rPr>
                <w:rFonts w:ascii="Arial" w:cs="Arial" w:eastAsia="Arial" w:hAnsi="Arial"/>
                <w:sz w:val="18"/>
                <w:szCs w:val="18"/>
                <w:color w:val="auto"/>
              </w:rPr>
              <w:t xml:space="preserve">Equity component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5620" w:right="5400" w:hanging="5612"/>
        <w:spacing w:after="0" w:line="677" w:lineRule="auto"/>
        <w:tabs>
          <w:tab w:leader="none" w:pos="86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Included in additional paid-in capital on the consolidated balance sheet. 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for the periods presented.</w:t>
      </w:r>
    </w:p>
    <w:p>
      <w:pPr>
        <w:spacing w:after="0" w:line="329" w:lineRule="exact"/>
        <w:rPr>
          <w:sz w:val="20"/>
          <w:szCs w:val="20"/>
          <w:color w:val="auto"/>
        </w:rPr>
      </w:pPr>
    </w:p>
    <w:p>
      <w:pPr>
        <w:jc w:val="center"/>
        <w:ind w:left="77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7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22860</wp:posOffset>
            </wp:positionV>
            <wp:extent cx="23837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2,120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2,021</w:t>
            </w: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3,216</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3,111</w:t>
            </w:r>
          </w:p>
        </w:tc>
      </w:tr>
      <w:tr>
        <w:trPr>
          <w:trHeight w:val="27"/>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Convertible Notes, we entered into convertible note hedge transactions and warrant transactions. The convertible note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hedge transactions are intended to reduce the potential future economic dilution associated with the conversion of the Convertible Notes and, combined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warrants, effectively raise the price at which economic dilution would occur from the initial conversion price of approximately $79.89 to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For purposes of the computation of diluted earnings per share in accordance with GAAP, dilution will occur when the average share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for a given period exceeds the conversion price of the Convertible Notes, which initially is equal to approximately $79.89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hedge transactions and warrant transactions are discussed separately below.</w:t>
      </w:r>
    </w:p>
    <w:p>
      <w:pPr>
        <w:spacing w:after="0" w:line="184" w:lineRule="exact"/>
        <w:rPr>
          <w:sz w:val="20"/>
          <w:szCs w:val="20"/>
          <w:color w:val="auto"/>
        </w:rPr>
      </w:pPr>
    </w:p>
    <w:p>
      <w:pPr>
        <w:ind w:left="660" w:right="120" w:hanging="652"/>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Convertible Note Hedge Transactions</w:t>
      </w:r>
      <w:r>
        <w:rPr>
          <w:rFonts w:ascii="Arial" w:cs="Arial" w:eastAsia="Arial" w:hAnsi="Arial"/>
          <w:sz w:val="18"/>
          <w:szCs w:val="18"/>
          <w:color w:val="auto"/>
        </w:rPr>
        <w:t>. In connection with the issuance of the Convertible Notes, the Company entered into convertible note hedge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whereby the Company has call options to purchase a total of approximately 3.1 million shares of the Company’s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are exercisable upon conversion of the Convertible Notes and will expire in 2019 if not earlier exercised. We paid an aggregate amount of $42.1 million for the convertible note hedge transactions, which was recorded as additional paid-in capital on the consolidated balance sheet. The convertible note hedge transactions are separate transactions and are not part of the terms of the Convertible Notes.</w:t>
      </w:r>
    </w:p>
    <w:p>
      <w:pPr>
        <w:spacing w:after="0" w:line="138" w:lineRule="exact"/>
        <w:rPr>
          <w:rFonts w:ascii="Arial" w:cs="Arial" w:eastAsia="Arial" w:hAnsi="Arial"/>
          <w:sz w:val="18"/>
          <w:szCs w:val="18"/>
          <w:color w:val="auto"/>
        </w:rPr>
      </w:pPr>
    </w:p>
    <w:p>
      <w:pPr>
        <w:ind w:left="660" w:right="20" w:hanging="652"/>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the issuance of the Convertible Notes, the Company sold warrants whereby the holders of the warrants have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to purchase a total of approximately 3.1 million shares of the Company’s common stock at a strike 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 aggregate proceeds of $23.6 million from the sale of the warrants, which was recorded as additional paid-in capital on the consolidated balance sheet. The warrants are separate transactions and are not part of the terms of the Convertible Notes or the convertible note hedge transactions.</w:t>
      </w:r>
    </w:p>
    <w:p>
      <w:pPr>
        <w:spacing w:after="0" w:line="13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recorded an initial deferred tax liability of $15.4 million in connection with the debt discount associated with the Convertible Notes and recorded an initial deferred tax asset of $16.5 million in connection with the convertible note hedge transactions. The deferred tax liability and deferred tax asset are included in deferred income taxes, net on the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a $500 million five-year senior secured revolving credit facility, subject to the terms of a Second Amended and Restated Credit Agreement dated as of March 31, 2015, as amended to date (as amended and modified the "Amended Credit Agreement"), that becomes due and payable in full upon maturity on March 23, 2023. The Amended Credit Agreement provides the option to increase the revolving credit facility or establish term loan facilities in an aggregate amount of up to $150 million, subject to customary conditions and the approval of any lender whose commitment would be increased, resulting in a maximum available principal amount under the Amended Credit Agreement of $650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1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LIBOR borrowings, or between 0.25% per annum and 1.00% per annum, in the case of base rate loans, based upon our Consolidated Leverage Ratio at such time.</w:t>
      </w:r>
    </w:p>
    <w:p>
      <w:pPr>
        <w:spacing w:after="0" w:line="1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3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3.50 to 1.00 to 4.00 to 1.00, depending on the measurement period, and</w:t>
      </w:r>
    </w:p>
    <w:p>
      <w:pPr>
        <w:ind w:right="220" w:firstLine="8"/>
        <w:spacing w:after="0" w:line="271" w:lineRule="auto"/>
        <w:tabs>
          <w:tab w:leader="none" w:pos="265" w:val="left"/>
        </w:tabs>
        <w:numPr>
          <w:ilvl w:val="0"/>
          <w:numId w:val="8"/>
        </w:numPr>
        <w:rPr>
          <w:rFonts w:ascii="Arial" w:cs="Arial" w:eastAsia="Arial" w:hAnsi="Arial"/>
          <w:sz w:val="17"/>
          <w:szCs w:val="17"/>
          <w:color w:val="auto"/>
        </w:rPr>
      </w:pPr>
      <w:r>
        <w:rPr>
          <w:rFonts w:ascii="Arial" w:cs="Arial" w:eastAsia="Arial" w:hAnsi="Arial"/>
          <w:sz w:val="17"/>
          <w:szCs w:val="17"/>
          <w:color w:val="auto"/>
        </w:rPr>
        <w:t>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At March 31, 2019, we were in compliance with these financial covenants with a Consolidated Leverage Ratio of 2.99 to 1.00 and a Consolidated Interest Coverage Ratio of 12.08 to 1.00.</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Borrowings outstanding under the Amended Credit Agreement at March 31, 2019 totaled $76.0 million. These borrowings carried a weighted average interest rate of 4.5%, including the effect of the interest rate swap described in Note 10 “Derivative Instrument and Hedging Activity." Borrowings outstanding under the Amended Credit Agreement at December 31, 2018 were $50.0 million and carried a weighted average interest rate of 3.7%, including the effect of the interest rate swap described in Note 10 “Derivative Instrument and Hedging Activity." The borrowing capacity under the revolving credit facility is reduced by any outstanding borrowings under the revolving credit facility and outstanding letters of credit. At March 31, 2019, we had outstanding letters of credit totaling $1.6 million, which are primarily used as security deposits for our office facilities. As of March 31, 2019, the unused borrowing capacity under the revolving credit facility was $422.4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March 31, 2019, the outstanding principal amount of the promissory note was $4.2 million. As of March 31, 2019, the aircraft had a carrying amount of $5.6 million. At December 31, 2018, the outstanding principal amount of the promissory note was $4.4 million, and the aircraft had a carrying amount of $5.8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Charges</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Restructuring charges for the first three months of 2019 totaled $1.3 million, compared to $0.7 million for the first three months of 2018. During the first quarter of 2019, we exited a portion of our Lake Oswego, Oregon corporate office resulting in a $0.7 million lease impairment charge on the related operating lease right-of-use asset and leasehold improvements and $0.2 million of accelerated depreciation on related furniture and fixtures. The lease impairment charge was recognized in accordance with ASC 842, </w:t>
      </w:r>
      <w:r>
        <w:rPr>
          <w:rFonts w:ascii="Arial" w:cs="Arial" w:eastAsia="Arial" w:hAnsi="Arial"/>
          <w:sz w:val="17"/>
          <w:szCs w:val="17"/>
          <w:i w:val="1"/>
          <w:iCs w:val="1"/>
          <w:color w:val="auto"/>
        </w:rPr>
        <w:t>Leases</w:t>
      </w:r>
      <w:r>
        <w:rPr>
          <w:rFonts w:ascii="Arial" w:cs="Arial" w:eastAsia="Arial" w:hAnsi="Arial"/>
          <w:sz w:val="17"/>
          <w:szCs w:val="17"/>
          <w:color w:val="auto"/>
        </w:rPr>
        <w:t>, which we adopted on a modified retrospective basis on J</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anuary 1, 2019. See Note 2 "Basis of Presentation and Significant Accounting Policies" and Note 3 "New Accounting Pronouncements" for additional information on our adoption of ASC 842. See Note 5 "Leases" for additional information on the long-lived asset impairment test performed in the first quarter of 2019. Additionally, we recognized a $0.2 million restructuring charge in the first quarter of 2019 related to workforce reductions in our corporate operations. The $0.7 million restructuring charge incurred in the first three months of 2018 primarily related to updated lease assumptions for our San Francisco office vacated in the second quarter of 2017, which was accounted for in accordance with ASC 840,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three months ended March 31,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Office Space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rPr>
              <w:t>Employee Costs</w:t>
            </w:r>
          </w:p>
        </w:tc>
        <w:tc>
          <w:tcPr>
            <w:tcW w:w="22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Reductions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2,911</w:t>
            </w:r>
          </w:p>
        </w:tc>
      </w:tr>
      <w:tr>
        <w:trPr>
          <w:trHeight w:val="270"/>
        </w:trPr>
        <w:tc>
          <w:tcPr>
            <w:tcW w:w="6400" w:type="dxa"/>
            <w:vAlign w:val="bottom"/>
          </w:tcPr>
          <w:p>
            <w:pPr>
              <w:ind w:left="280"/>
              <w:spacing w:after="0"/>
              <w:rPr>
                <w:sz w:val="20"/>
                <w:szCs w:val="20"/>
                <w:color w:val="auto"/>
              </w:rPr>
            </w:pPr>
            <w:r>
              <w:rPr>
                <w:rFonts w:ascii="Arial" w:cs="Arial" w:eastAsia="Arial" w:hAnsi="Arial"/>
                <w:sz w:val="18"/>
                <w:szCs w:val="18"/>
                <w:color w:val="auto"/>
              </w:rPr>
              <w:t xml:space="preserve">Adoption of ASC 842 </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64"/>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2019</w:t>
            </w: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w:t>
            </w:r>
          </w:p>
        </w:tc>
      </w:tr>
      <w:tr>
        <w:trPr>
          <w:trHeight w:val="264"/>
        </w:trPr>
        <w:tc>
          <w:tcPr>
            <w:tcW w:w="6400" w:type="dxa"/>
            <w:vAlign w:val="bottom"/>
          </w:tcPr>
          <w:p>
            <w:pPr>
              <w:ind w:left="28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1"/>
                <w:szCs w:val="21"/>
                <w:color w:val="auto"/>
                <w:vertAlign w:val="superscript"/>
              </w:rPr>
              <w:t>(2)</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w:t>
            </w: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r>
      <w:tr>
        <w:trPr>
          <w:trHeight w:val="270"/>
        </w:trPr>
        <w:tc>
          <w:tcPr>
            <w:tcW w:w="6400" w:type="dxa"/>
            <w:vAlign w:val="bottom"/>
          </w:tcPr>
          <w:p>
            <w:pPr>
              <w:ind w:left="28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1"/>
                <w:szCs w:val="21"/>
                <w:color w:val="auto"/>
                <w:vertAlign w:val="superscript"/>
              </w:rPr>
              <w:t>(3)</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items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Balance as of March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1,336</w:t>
            </w: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40" w:right="120" w:hanging="532"/>
        <w:spacing w:after="0" w:line="286"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Upon adoption of ASC 842 on January 1, 2019, we reclassified the restructuring charge liabilities, which represented the present value of remaining lease payments, net of estimated sublease income, for vacated office spaces from restructuring charge liabilities to operating lease right-of-use assets. See Note 3 "New Accounting Pronouncements" for additional information on the impact of adoption.</w:t>
      </w:r>
    </w:p>
    <w:p>
      <w:pPr>
        <w:spacing w:after="0" w:line="3" w:lineRule="exact"/>
        <w:rPr>
          <w:rFonts w:ascii="Arial" w:cs="Arial" w:eastAsia="Arial" w:hAnsi="Arial"/>
          <w:sz w:val="17"/>
          <w:szCs w:val="17"/>
          <w:color w:val="auto"/>
        </w:rPr>
      </w:pPr>
    </w:p>
    <w:p>
      <w:pPr>
        <w:ind w:left="540" w:right="180" w:hanging="532"/>
        <w:spacing w:after="0" w:line="264"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for the three months ended March 31, 2019 excludes the $0.7 million lease impairment charge recognized as restructuring charges on our consolidated statement of operations. See Note 5 "Leases" within the notes to our consolidated financial statements for additional information on the long-lived asset impairment test performed in the first quarter of 2019.</w:t>
      </w:r>
    </w:p>
    <w:p>
      <w:pPr>
        <w:spacing w:after="0" w:line="19" w:lineRule="exact"/>
        <w:rPr>
          <w:rFonts w:ascii="Arial" w:cs="Arial" w:eastAsia="Arial" w:hAnsi="Arial"/>
          <w:sz w:val="18"/>
          <w:szCs w:val="18"/>
          <w:color w:val="auto"/>
        </w:rPr>
      </w:pPr>
    </w:p>
    <w:p>
      <w:pPr>
        <w:ind w:left="540" w:right="800" w:hanging="53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Adjustments for the three months ended March 31, 2019 includes restructuring charges of $0.1 million related to updated operating expense assumptions for vacated office spaces directly related to discontinued operations.</w:t>
      </w:r>
    </w:p>
    <w:p>
      <w:pPr>
        <w:spacing w:after="0" w:line="11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As of March 31, 2019, our restructuring charge liability related to office space reductions of $1.1 million represented the present value of the remaining estimated operating expense payments for vacated office spaces, primarily in Chicago, Illinois; Washington, D.C.; and Middleton, Wisconsin. This restructuring charge liability is included as a component of accrued expenses and other current liabilities and deferred compensation and other liabilities. All of the $0.3 million restructuring charge liability related to employee costs at March 31, 2019 is expected to be paid in the next 12 months. The restructuring charge liability related to employee costs is included as a component of accrued payroll and related benefits.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 and Hedging Activity</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recognize all derivative instruments as either assets or liabilities at fair value on the balance sheet. We have designated this derivative instrument as a cash flow hedge. Therefore, changes in the fair value of the derivative instrument are recorded to other comprehensive income (“OCI”) and reclassified into interest expense upon settlement. As of March 31, 2019, it was anticipated that $0.2 million of the gains, net of tax, currently recorded in accumulated other comprehensive income will be reclassified into earnings within the next 12 months.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table below sets forth additional information relating to the interest rate swap designated as a cash flow hedging instrument as of March 31, 2019 and December 31,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Fair Value (Derivative Asset and Liability)</w:t>
            </w:r>
          </w:p>
        </w:tc>
        <w:tc>
          <w:tcPr>
            <w:tcW w:w="48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8"/>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480" w:type="dxa"/>
            <w:vAlign w:val="bottom"/>
          </w:tcPr>
          <w:p>
            <w:pPr>
              <w:spacing w:after="0"/>
              <w:rPr>
                <w:sz w:val="18"/>
                <w:szCs w:val="18"/>
                <w:color w:val="auto"/>
              </w:rPr>
            </w:pPr>
          </w:p>
        </w:tc>
      </w:tr>
      <w:tr>
        <w:trPr>
          <w:trHeight w:val="234"/>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20" w:type="dxa"/>
            <w:vAlign w:val="bottom"/>
            <w:tcBorders>
              <w:bottom w:val="single" w:sz="8" w:color="CCEEFF"/>
            </w:tcBorders>
            <w:shd w:val="clear" w:color="auto" w:fill="CCEEFF"/>
          </w:tcPr>
          <w:p>
            <w:pPr>
              <w:jc w:val="right"/>
              <w:ind w:right="14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1620" w:type="dxa"/>
            <w:vAlign w:val="bottom"/>
          </w:tcPr>
          <w:p>
            <w:pPr>
              <w:jc w:val="right"/>
              <w:ind w:right="14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680" w:type="dxa"/>
            <w:vAlign w:val="bottom"/>
          </w:tcPr>
          <w:p>
            <w:pPr>
              <w:jc w:val="right"/>
              <w:ind w:right="147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451</w:t>
            </w:r>
          </w:p>
        </w:tc>
      </w:tr>
    </w:tbl>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w:t>
      </w:r>
    </w:p>
    <w:p>
      <w:pPr>
        <w:spacing w:after="0" w:line="12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do not use derivative instruments for trading or other speculative purposes. Refer to Note 12 “Other Comprehensive Income (Loss)” for additional information on our derivative instrument.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125" w:right="239" w:bottom="1440" w:gutter="0" w:footer="0" w:header="0"/>
        </w:sect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 Inputs</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66" w:lineRule="exact"/>
        <w:rPr>
          <w:sz w:val="20"/>
          <w:szCs w:val="20"/>
          <w:color w:val="auto"/>
        </w:rPr>
      </w:pPr>
    </w:p>
    <w:p>
      <w:pPr>
        <w:sectPr>
          <w:pgSz w:w="11900" w:h="16838" w:orient="portrait"/>
          <w:cols w:equalWidth="0" w:num="2">
            <w:col w:w="1820" w:space="720"/>
            <w:col w:w="8880"/>
          </w:cols>
          <w:pgMar w:left="240" w:top="125" w:right="239" w:bottom="1440" w:gutter="0" w:footer="0" w:header="0"/>
          <w:type w:val="continuous"/>
        </w:sectPr>
      </w:pPr>
    </w:p>
    <w:p>
      <w:pPr>
        <w:ind w:left="40"/>
        <w:spacing w:after="0"/>
        <w:tabs>
          <w:tab w:leader="none" w:pos="2520" w:val="left"/>
        </w:tabs>
        <w:rPr>
          <w:sz w:val="20"/>
          <w:szCs w:val="20"/>
          <w:color w:val="auto"/>
        </w:rPr>
      </w:pPr>
      <w:r>
        <w:rPr>
          <w:rFonts w:ascii="Arial" w:cs="Arial" w:eastAsia="Arial" w:hAnsi="Arial"/>
          <w:sz w:val="18"/>
          <w:szCs w:val="18"/>
          <w:color w:val="auto"/>
        </w:rPr>
        <w:t>Level 3 Inputs</w:t>
      </w:r>
      <w:r>
        <w:rPr>
          <w:sz w:val="20"/>
          <w:szCs w:val="20"/>
          <w:color w:val="auto"/>
        </w:rPr>
        <w:tab/>
      </w:r>
      <w:r>
        <w:rPr>
          <w:rFonts w:ascii="Arial" w:cs="Arial" w:eastAsia="Arial" w:hAnsi="Arial"/>
          <w:sz w:val="16"/>
          <w:szCs w:val="16"/>
          <w:color w:val="auto"/>
        </w:rPr>
        <w:t>Unobservable inputs for the asset or liability, and include situations in which there is little, if any, market activity for the</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asset or liability.</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March 31, 2019 and December 31,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2019</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Convertible debt investment</w:t>
            </w:r>
          </w:p>
        </w:tc>
        <w:tc>
          <w:tcPr>
            <w:tcW w:w="10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54,038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54,038</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assets</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23,918</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Total assets</w:t>
            </w: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24,350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54,038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78,388</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 for business acquisitions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11,129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11,129</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11,129</w:t>
            </w:r>
          </w:p>
        </w:tc>
      </w:tr>
      <w:tr>
        <w:trPr>
          <w:trHeight w:val="22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2018</w:t>
            </w:r>
          </w:p>
        </w:tc>
        <w:tc>
          <w:tcPr>
            <w:tcW w:w="10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753</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 investment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50,429</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Deferred compensation assets</w:t>
            </w:r>
          </w:p>
        </w:tc>
        <w:tc>
          <w:tcPr>
            <w:tcW w:w="10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18,205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18,205</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69,387</w:t>
            </w:r>
          </w:p>
        </w:tc>
      </w:tr>
      <w:tr>
        <w:trPr>
          <w:trHeight w:val="22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 for business acquisitions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11,441</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Total liabilities</w:t>
            </w: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11,441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11,441</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i w:val="1"/>
          <w:iCs w:val="1"/>
          <w:color w:val="auto"/>
        </w:rPr>
        <w:t xml:space="preserve">Interest rate swap: </w:t>
      </w:r>
      <w:r>
        <w:rPr>
          <w:rFonts w:ascii="Arial" w:cs="Arial" w:eastAsia="Arial" w:hAnsi="Arial"/>
          <w:sz w:val="16"/>
          <w:szCs w:val="16"/>
          <w:color w:val="auto"/>
        </w:rPr>
        <w:t>The fair value of our interest rate swap was derived using estimates to settle the interest rate swap agreement, which is based on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value of expected future cash flows on each leg of the swap utilizing market-based inputs and a discount rate reflecting the risks involved.</w:t>
      </w:r>
    </w:p>
    <w:p>
      <w:pPr>
        <w:spacing w:after="0" w:line="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2014 and 2015, we invested $27.9 million, in the form of zero coupon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Education, a U.S.-based company that partners with leading universities to increase access to and retention of international students, boost institutional growth, and enhance an institution’s global footprint. The notes will mature on July 1, 2020, unless converted earlier.</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w:t>
      </w:r>
    </w:p>
    <w:p>
      <w:pPr>
        <w:spacing w:after="0" w:line="1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convertible debt investment is carried at fair value with unrealized holding gains and losses excluded from earnings and reported in other comprehensive income. We estimate the fair value of our investment using a Monte Carlo simulation model, cash flow projections discounted at a risk-adjusted rate, and certain assumptions related to equity volatility and applicable holding period,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 on our consolidated balance sheets.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three months ended March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Convertible Debt Investment</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convertible debt investment</w:t>
            </w:r>
          </w:p>
        </w:tc>
        <w:tc>
          <w:tcPr>
            <w:tcW w:w="280" w:type="dxa"/>
            <w:vAlign w:val="bottom"/>
          </w:tcPr>
          <w:p>
            <w:pPr>
              <w:spacing w:after="0"/>
              <w:rPr>
                <w:sz w:val="21"/>
                <w:szCs w:val="21"/>
                <w:color w:val="auto"/>
              </w:rPr>
            </w:pPr>
          </w:p>
        </w:tc>
        <w:tc>
          <w:tcPr>
            <w:tcW w:w="2800" w:type="dxa"/>
            <w:vAlign w:val="bottom"/>
          </w:tcPr>
          <w:p>
            <w:pPr>
              <w:jc w:val="right"/>
              <w:ind w:right="10"/>
              <w:spacing w:after="0"/>
              <w:rPr>
                <w:sz w:val="20"/>
                <w:szCs w:val="20"/>
                <w:color w:val="auto"/>
              </w:rPr>
            </w:pPr>
            <w:r>
              <w:rPr>
                <w:rFonts w:ascii="Arial" w:cs="Arial" w:eastAsia="Arial" w:hAnsi="Arial"/>
                <w:sz w:val="18"/>
                <w:szCs w:val="18"/>
                <w:color w:val="auto"/>
              </w:rPr>
              <w:t>3,609</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54,038</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Deferred compensation assets: </w:t>
      </w:r>
      <w:r>
        <w:rPr>
          <w:rFonts w:ascii="Arial" w:cs="Arial" w:eastAsia="Arial" w:hAnsi="Arial"/>
          <w:sz w:val="18"/>
          <w:szCs w:val="18"/>
          <w:color w:val="auto"/>
        </w:rPr>
        <w:t>We have a non-qualified deferred compensation plan (the "Plan") for the members of our board of directors and a select group</w:t>
      </w:r>
      <w:r>
        <w:rPr>
          <w:rFonts w:ascii="Arial" w:cs="Arial" w:eastAsia="Arial" w:hAnsi="Arial"/>
          <w:sz w:val="18"/>
          <w:szCs w:val="18"/>
          <w:i w:val="1"/>
          <w:iCs w:val="1"/>
          <w:color w:val="auto"/>
        </w:rPr>
        <w:t xml:space="preserve"> </w:t>
      </w:r>
      <w:r>
        <w:rPr>
          <w:rFonts w:ascii="Arial" w:cs="Arial" w:eastAsia="Arial" w:hAnsi="Arial"/>
          <w:sz w:val="18"/>
          <w:szCs w:val="18"/>
          <w:color w:val="auto"/>
        </w:rPr>
        <w:t>of our employees. The deferred compensation liability is funded by the Plan assets, which consist of life insurance policies maintained within a trust. The cash surrender value of the life insurance policies approximates fair value and is based on third-party broker</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statements which provide the fair value of the life insurance policies' underlying investments, which are Level 2 inputs. The cash surrender value of the life insurance policies is invested primarily in mutual funds. The Plan assets are included in other non-current assets on our consolidated balance sheets. Realized and unrealized gains (losses) from the deferred compensation assets are recorded to other income (expense), net in our consolidated statements of operations.</w:t>
      </w:r>
    </w:p>
    <w:p>
      <w:pPr>
        <w:spacing w:after="0" w:line="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Contingent consideration for business acquisitions: </w:t>
      </w:r>
      <w:r>
        <w:rPr>
          <w:rFonts w:ascii="Arial" w:cs="Arial" w:eastAsia="Arial" w:hAnsi="Arial"/>
          <w:sz w:val="17"/>
          <w:szCs w:val="17"/>
          <w:color w:val="auto"/>
        </w:rPr>
        <w:t>We estimate the fair value of acquisition-related contingent consideration using either a probability-weighted assessment of the specific financial performance targets being achieved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discount rates, which typically reflect a risk-free rate.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 The table below sets forth the changes in the balance of the contingent consideration for business acquisitions for the three months ended March 31,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Contingent Consideration for Business</w:t>
            </w:r>
          </w:p>
        </w:tc>
      </w:tr>
      <w:tr>
        <w:trPr>
          <w:trHeight w:val="234"/>
        </w:trPr>
        <w:tc>
          <w:tcPr>
            <w:tcW w:w="8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80" w:type="dxa"/>
            <w:vAlign w:val="bottom"/>
          </w:tcPr>
          <w:p>
            <w:pPr>
              <w:jc w:val="right"/>
              <w:ind w:right="970"/>
              <w:spacing w:after="0"/>
              <w:rPr>
                <w:sz w:val="20"/>
                <w:szCs w:val="20"/>
                <w:color w:val="auto"/>
              </w:rPr>
            </w:pPr>
            <w:r>
              <w:rPr>
                <w:rFonts w:ascii="Arial" w:cs="Arial" w:eastAsia="Arial" w:hAnsi="Arial"/>
                <w:sz w:val="18"/>
                <w:szCs w:val="18"/>
                <w:b w:val="1"/>
                <w:bCs w:val="1"/>
                <w:color w:val="auto"/>
              </w:rPr>
              <w:t>Acquisitions</w:t>
            </w:r>
          </w:p>
        </w:tc>
      </w:tr>
      <w:tr>
        <w:trPr>
          <w:trHeight w:val="27"/>
        </w:trPr>
        <w:tc>
          <w:tcPr>
            <w:tcW w:w="8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Remeasurement of contingent consideration for business acquisitions</w:t>
            </w:r>
          </w:p>
        </w:tc>
        <w:tc>
          <w:tcPr>
            <w:tcW w:w="60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due to foreign currency translation</w:t>
            </w:r>
          </w:p>
        </w:tc>
        <w:tc>
          <w:tcPr>
            <w:tcW w:w="60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Balance as of March 31, 2019</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11,129</w:t>
            </w:r>
          </w:p>
        </w:tc>
      </w:tr>
      <w:tr>
        <w:trPr>
          <w:trHeight w:val="20"/>
        </w:trPr>
        <w:tc>
          <w:tcPr>
            <w:tcW w:w="8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8 “Financing Arrangements” for additional information on our senior secured credit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carrying value of our promissory note due 2024 is stated at cost. Our carrying value approximates fair value, using Level 2 inputs, as the promissory note bears interest at rates based on current market rates as set forth in the terms of the promissory note. Refer to Note 8 “Financing Arrangements” for additional information on our promissory note due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and estimated fair value of the Convertible Notes are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700"/>
              <w:spacing w:after="0"/>
              <w:rPr>
                <w:sz w:val="20"/>
                <w:szCs w:val="20"/>
                <w:color w:val="auto"/>
              </w:rPr>
            </w:pPr>
            <w:r>
              <w:rPr>
                <w:rFonts w:ascii="Arial" w:cs="Arial" w:eastAsia="Arial" w:hAnsi="Arial"/>
                <w:sz w:val="18"/>
                <w:szCs w:val="18"/>
                <w:b w:val="1"/>
                <w:bCs w:val="1"/>
                <w:color w:val="auto"/>
              </w:rPr>
              <w:t>March 31, 2019</w:t>
            </w: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Estimated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20"/>
                <w:szCs w:val="20"/>
                <w:color w:val="auto"/>
              </w:rPr>
            </w:pPr>
          </w:p>
        </w:tc>
        <w:tc>
          <w:tcPr>
            <w:tcW w:w="1240" w:type="dxa"/>
            <w:vAlign w:val="bottom"/>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245,051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246,190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242,617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242,940</w:t>
            </w:r>
          </w:p>
        </w:tc>
      </w:tr>
      <w:tr>
        <w:trPr>
          <w:trHeight w:val="27"/>
        </w:trPr>
        <w:tc>
          <w:tcPr>
            <w:tcW w:w="5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differences between the $250 million principal amount of the Convertible Notes and the carrying amounts shown above represent the unamortized debt discount and issuance costs. As of March 31, 2019 and December 31, 2018, the carrying value of the equity component of $39.3 million was unchanged from the date of issuance. Refer to Note 8 “Financing Arrangements” for additional information on our Convertible Notes. The estimated fair value of the Convertible Notes was determined based on the quoted bid price of the Convertible Notes in an over-the-counter market, which is a Level 2 input, on the last day of trading for the quarters ended March 31, 2019 and December 31, 2018.</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Based on the closing price of our common stock of $47.22 on March 31, 2019, the if-converted value of the Convertible Notes was less than the principal amount.</w:t>
      </w:r>
    </w:p>
    <w:p>
      <w:pPr>
        <w:spacing w:after="0" w:line="11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Comprehensive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components of other comprehensive income (loss), net of tax, for the three months ended March 31, 2019 and 2018.</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0"/>
              </w:rPr>
              <w:t>Three Months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6"/>
          </w:tcPr>
          <w:p>
            <w:pPr>
              <w:jc w:val="center"/>
              <w:ind w:left="510"/>
              <w:spacing w:after="0"/>
              <w:rPr>
                <w:sz w:val="20"/>
                <w:szCs w:val="20"/>
                <w:color w:val="auto"/>
              </w:rPr>
            </w:pPr>
            <w:r>
              <w:rPr>
                <w:rFonts w:ascii="Arial" w:cs="Arial" w:eastAsia="Arial" w:hAnsi="Arial"/>
                <w:sz w:val="18"/>
                <w:szCs w:val="18"/>
                <w:b w:val="1"/>
                <w:bCs w:val="1"/>
                <w:color w:val="auto"/>
                <w:w w:val="92"/>
              </w:rPr>
              <w:t>Three Months Ended</w:t>
            </w:r>
          </w:p>
        </w:tc>
        <w:tc>
          <w:tcPr>
            <w:tcW w:w="78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March 31, 2019</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March 31, 2018</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Tax</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Tax</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Before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(Expense)</w:t>
            </w:r>
          </w:p>
        </w:tc>
        <w:tc>
          <w:tcPr>
            <w:tcW w:w="22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of</w:t>
            </w:r>
          </w:p>
        </w:tc>
        <w:tc>
          <w:tcPr>
            <w:tcW w:w="20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Before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(Expense)</w:t>
            </w:r>
          </w:p>
        </w:tc>
        <w:tc>
          <w:tcPr>
            <w:tcW w:w="24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Net of</w:t>
            </w:r>
          </w:p>
        </w:tc>
      </w:tr>
      <w:tr>
        <w:trPr>
          <w:trHeight w:val="234"/>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Taxes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Benefit</w:t>
            </w:r>
          </w:p>
        </w:tc>
        <w:tc>
          <w:tcPr>
            <w:tcW w:w="22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Taxes</w:t>
            </w:r>
          </w:p>
        </w:tc>
        <w:tc>
          <w:tcPr>
            <w:tcW w:w="2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Taxes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Benefit</w:t>
            </w:r>
          </w:p>
        </w:tc>
        <w:tc>
          <w:tcPr>
            <w:tcW w:w="24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Taxes</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investment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2,166</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Reclassification adjustments into earnings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gain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2,632</w:t>
            </w: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before tax amounts reclassified from accumulated other comprehensive income related to our cash flow hedges are recorded to interest expense, net of interest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Foreign Currency</w:t>
            </w:r>
          </w:p>
        </w:tc>
        <w:tc>
          <w:tcPr>
            <w:tcW w:w="24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Available-for-Sale</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240" w:type="dxa"/>
            <w:vAlign w:val="bottom"/>
          </w:tcPr>
          <w:p>
            <w:pPr>
              <w:spacing w:after="0"/>
              <w:rPr>
                <w:sz w:val="20"/>
                <w:szCs w:val="20"/>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b w:val="1"/>
                <w:bCs w:val="1"/>
                <w:color w:val="auto"/>
              </w:rPr>
              <w:t>Cash Flow Hedges</w:t>
            </w:r>
          </w:p>
        </w:tc>
        <w:tc>
          <w:tcPr>
            <w:tcW w:w="480" w:type="dxa"/>
            <w:vAlign w:val="bottom"/>
          </w:tcPr>
          <w:p>
            <w:pPr>
              <w:spacing w:after="0"/>
              <w:rPr>
                <w:sz w:val="20"/>
                <w:szCs w:val="20"/>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16,495</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Current period change</w:t>
            </w:r>
          </w:p>
        </w:tc>
        <w:tc>
          <w:tcPr>
            <w:tcW w:w="2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2,736</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2019</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19,231</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For the three months ended March 31, 2019, our effective tax rate was 29.0% as we recognized income tax expense from continuing operations of $1.4 million on income from continuing operations of $4.7 million. The effective tax rate of 29.0% was less favorable than the statutory rate, inclusive of state income taxes, of 26.4% primarily due to $0.5 million of foreign losses with no tax benefit, which had an unfavorable impact of 2.9% on the effective tax rate; and $0.1 million of additional tax expense related to disallowed executive compensation deductions, which had an unfavorable impact of 1.8% on the effective tax rate. These unfavorable adjustments to our effective tax rate were partially offset by $0.1 million of discrete tax benefit for share-based compensation awards that vested during the first quarter of 2019 and which had a favorable impact of 1.8% on the effective tax rate.</w:t>
      </w:r>
    </w:p>
    <w:p>
      <w:pPr>
        <w:spacing w:after="0" w:line="1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three months ended March 31, 2018, our effective tax rate was (14.7)% as we recognized income tax expense from continuing operations of $0.4 million on a loss from continuing operations of $2.8 million. The effective tax rate of (14.7)% was less favorable than the statutory rate, inclusive of state income taxes, of 26.0% primarily due to discrete tax expense for share-based compensation awards that vested during the first quarter of 2018 and which had an unfavorable impact of 43.7% on the effective tax rate.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Contingencies and Guarantees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Guarantees in the form of letters of credit totaling $1.6 million were outstanding at both March 31, 2019 and December 31, 2018, primarily to support certain office lease obligations.</w:t>
      </w:r>
    </w:p>
    <w:p>
      <w:pPr>
        <w:spacing w:after="0" w:line="116" w:lineRule="exact"/>
        <w:rPr>
          <w:sz w:val="20"/>
          <w:szCs w:val="20"/>
          <w:color w:val="auto"/>
        </w:rPr>
      </w:pPr>
    </w:p>
    <w:p>
      <w:pPr>
        <w:jc w:val="both"/>
        <w:ind w:left="60" w:right="40"/>
        <w:spacing w:after="0" w:line="264"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March 31, 2019 and December 31, 2018, the total estimated fair value of our contingent consideration liabilities was $11.1 million and $11.4 million, respectively.</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7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Business Advisory, and Education.</w:t>
      </w:r>
    </w:p>
    <w:p>
      <w:pPr>
        <w:spacing w:after="0" w:line="11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75" w:lineRule="exact"/>
        <w:rPr>
          <w:rFonts w:ascii="Arial" w:cs="Arial" w:eastAsia="Arial" w:hAnsi="Arial"/>
          <w:sz w:val="18"/>
          <w:szCs w:val="18"/>
          <w:b w:val="1"/>
          <w:bCs w:val="1"/>
          <w:color w:val="auto"/>
        </w:rPr>
      </w:pPr>
    </w:p>
    <w:p>
      <w:pPr>
        <w:ind w:left="660" w:right="2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Our Healthcare segment has a depth of expertise in care transformation, financial and operational excellence, technology and analytics, and leadership development.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align leaders, improve organizational culture, and drive physician, patient, and employee engagement across the enterprise to deliver better consumer outcomes.</w:t>
      </w:r>
    </w:p>
    <w:p>
      <w:pPr>
        <w:spacing w:after="0" w:line="118" w:lineRule="exact"/>
        <w:rPr>
          <w:rFonts w:ascii="Arial" w:cs="Arial" w:eastAsia="Arial" w:hAnsi="Arial"/>
          <w:sz w:val="18"/>
          <w:szCs w:val="18"/>
          <w:b w:val="1"/>
          <w:bCs w:val="1"/>
          <w:color w:val="auto"/>
        </w:rPr>
      </w:pPr>
    </w:p>
    <w:p>
      <w:pPr>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We help organizations transform and innovate their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 data that transforms care delivery and improves patient outcomes. We also develop future leaders capable of driving meaningful operational and organizational change and who transform the consumer experience.</w:t>
      </w:r>
    </w:p>
    <w:p>
      <w:pPr>
        <w:spacing w:after="0" w:line="100"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Advisory</w:t>
      </w:r>
    </w:p>
    <w:p>
      <w:pPr>
        <w:spacing w:after="0" w:line="175" w:lineRule="exact"/>
        <w:rPr>
          <w:rFonts w:ascii="Arial" w:cs="Arial" w:eastAsia="Arial" w:hAnsi="Arial"/>
          <w:sz w:val="18"/>
          <w:szCs w:val="18"/>
          <w:b w:val="1"/>
          <w:bCs w:val="1"/>
          <w:color w:val="auto"/>
        </w:rPr>
      </w:pPr>
    </w:p>
    <w:p>
      <w:pPr>
        <w:ind w:left="660"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Our Business Advisory segment provides services to large and middle market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 Advisory professionals resolve complex business issues and enhance client enterprise value through a suite of services including capital advisory, transaction advisory, operational improvement, restructuring and turnaround, valuation, and dispute advisory. Our Enterprise Solutions and Analytics professionals deliver technology and analytic solutions that enable organizations to manage and optimize their financial performance, operational efficiency, and client or stakeholder experience. Our Strategy and Innovation professionals collaborate with clients across a range of industries to identify new growth opportunities, build new ventures and capabilities, and accelerate organizational change. Our Life Sciences professionals provide strategic</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125"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solutions to help pharmaceutical, medical device, and biotechnology companies deliver more value to patients, payers, and providers, and comply with regulations.</w:t>
      </w:r>
    </w:p>
    <w:p>
      <w:pPr>
        <w:spacing w:after="0" w:line="11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75" w:lineRule="exact"/>
        <w:rPr>
          <w:rFonts w:ascii="Arial" w:cs="Arial" w:eastAsia="Arial" w:hAnsi="Arial"/>
          <w:sz w:val="18"/>
          <w:szCs w:val="18"/>
          <w:color w:val="auto"/>
        </w:rPr>
      </w:pPr>
    </w:p>
    <w:p>
      <w:pPr>
        <w:ind w:left="660" w:right="40"/>
        <w:spacing w:after="0" w:line="290" w:lineRule="auto"/>
        <w:rPr>
          <w:rFonts w:ascii="Arial" w:cs="Arial" w:eastAsia="Arial" w:hAnsi="Arial"/>
          <w:sz w:val="18"/>
          <w:szCs w:val="18"/>
          <w:color w:val="auto"/>
        </w:rPr>
      </w:pPr>
      <w:r>
        <w:rPr>
          <w:rFonts w:ascii="Arial" w:cs="Arial" w:eastAsia="Arial" w:hAnsi="Arial"/>
          <w:sz w:val="16"/>
          <w:szCs w:val="16"/>
          <w:color w:val="auto"/>
        </w:rPr>
        <w:t>Our Education segment provides consulting and technology solutions to higher education institutions and academic medical centers. We partner with clients to address challenges relating to business and technology strategy, financial management, operational and organizational effectiveness, research administration, and regulatory compliance. Our institutional strategy, market research, budgeting and financial management, business operations and student life cycle management solutions align missions with business priorities, improve quality and reduce costs institution-wide. Our student solutions improve attraction, retention and graduation rates, increase student satisfaction and help generate quality outcomes. Our technology strategy, enterprise applications, and analytic solutions transform and optimize operations, deliver time and cost savings, and enhance the student experience. Our research enterprise solutions assist clients in identifying and implementing institutional research strategy, optimizing clinical research operations, improving financial management and cost reimbursement, improving service to faculty, and mitigating risk compliance.</w:t>
      </w:r>
    </w:p>
    <w:p>
      <w:pPr>
        <w:spacing w:after="0" w:line="11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Segment operating income consists of the revenues generated by a segment, less the direct costs of revenue and selling, general and administrative expenses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sets forth information about our operating segments for the three months ended March 31, 2019 and 2018, along with the items necessary to reconcile the segment information to the totals reported in the accompanying consolidated financial statements.</w:t>
      </w:r>
    </w:p>
    <w:p>
      <w:pPr>
        <w:spacing w:after="0" w:line="112" w:lineRule="exact"/>
        <w:rPr>
          <w:sz w:val="20"/>
          <w:szCs w:val="20"/>
          <w:color w:val="auto"/>
        </w:rPr>
      </w:pPr>
    </w:p>
    <w:p>
      <w:pPr>
        <w:jc w:val="center"/>
        <w:ind w:left="84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4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22860</wp:posOffset>
            </wp:positionV>
            <wp:extent cx="19037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Healthcare: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93,682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89,895</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27,851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24,460</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58,806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55,895</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8,998</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51,957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47,889</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11,425</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204,445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193,679</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18,617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17,619</w:t>
            </w:r>
          </w:p>
        </w:tc>
      </w:tr>
      <w:tr>
        <w:trPr>
          <w:trHeight w:val="237"/>
        </w:trPr>
        <w:tc>
          <w:tcPr>
            <w:tcW w:w="8420" w:type="dxa"/>
            <w:vAlign w:val="bottom"/>
          </w:tcPr>
          <w:p>
            <w:pPr>
              <w:ind w:left="280"/>
              <w:spacing w:after="0"/>
              <w:rPr>
                <w:sz w:val="20"/>
                <w:szCs w:val="20"/>
                <w:color w:val="auto"/>
              </w:rPr>
            </w:pPr>
            <w:r>
              <w:rPr>
                <w:rFonts w:ascii="Arial" w:cs="Arial" w:eastAsia="Arial" w:hAnsi="Arial"/>
                <w:sz w:val="18"/>
                <w:szCs w:val="18"/>
                <w:color w:val="auto"/>
              </w:rPr>
              <w:t>Total revenues and reimbursable expenses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223,062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211,298</w:t>
            </w:r>
          </w:p>
        </w:tc>
      </w:tr>
      <w:tr>
        <w:trPr>
          <w:trHeight w:val="67"/>
        </w:trPr>
        <w:tc>
          <w:tcPr>
            <w:tcW w:w="84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1"/>
        </w:trPr>
        <w:tc>
          <w:tcPr>
            <w:tcW w:w="8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50,050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44,883</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36,578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32,928</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losses (gains), net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830</w:t>
            </w:r>
          </w:p>
        </w:tc>
      </w:tr>
      <w:tr>
        <w:trPr>
          <w:trHeight w:val="243"/>
        </w:trPr>
        <w:tc>
          <w:tcPr>
            <w:tcW w:w="84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7,172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8,803</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5,131</w:t>
            </w:r>
          </w:p>
        </w:tc>
      </w:tr>
      <w:tr>
        <w:trPr>
          <w:trHeight w:val="237"/>
        </w:trPr>
        <w:tc>
          <w:tcPr>
            <w:tcW w:w="842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taxes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4,715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(2,809)</w:t>
            </w:r>
          </w:p>
        </w:tc>
      </w:tr>
      <w:tr>
        <w:trPr>
          <w:trHeight w:val="27"/>
        </w:trPr>
        <w:tc>
          <w:tcPr>
            <w:tcW w:w="8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following table illustrates the disaggregation of revenues by billing arrangements, employee types, and timing of revenue recognition, including a reconciliation of the disaggregated revenues to revenues from our three operating segments for the three months ended March 31, 2019 and 2018.</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gridSpan w:val="9"/>
          </w:tcPr>
          <w:p>
            <w:pPr>
              <w:jc w:val="right"/>
              <w:ind w:right="30"/>
              <w:spacing w:after="0"/>
              <w:rPr>
                <w:sz w:val="20"/>
                <w:szCs w:val="20"/>
                <w:color w:val="auto"/>
              </w:rPr>
            </w:pPr>
            <w:r>
              <w:rPr>
                <w:rFonts w:ascii="Arial" w:cs="Arial" w:eastAsia="Arial" w:hAnsi="Arial"/>
                <w:sz w:val="18"/>
                <w:szCs w:val="18"/>
                <w:b w:val="1"/>
                <w:bCs w:val="1"/>
                <w:color w:val="auto"/>
              </w:rPr>
              <w:t>Three Months Ended March 31, 2019</w:t>
            </w:r>
          </w:p>
        </w:tc>
        <w:tc>
          <w:tcPr>
            <w:tcW w:w="880" w:type="dxa"/>
            <w:vAlign w:val="bottom"/>
          </w:tcPr>
          <w:p>
            <w:pPr>
              <w:spacing w:after="0"/>
              <w:rPr>
                <w:sz w:val="20"/>
                <w:szCs w:val="20"/>
                <w:color w:val="auto"/>
              </w:rPr>
            </w:pPr>
          </w:p>
        </w:tc>
      </w:tr>
      <w:tr>
        <w:trPr>
          <w:trHeight w:val="27"/>
        </w:trPr>
        <w:tc>
          <w:tcPr>
            <w:tcW w:w="6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6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Healthcare</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Education</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6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Fixed-fee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63,584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21,672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12,383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97,639</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83,430</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11,810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12,474</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10,902</w:t>
            </w:r>
          </w:p>
        </w:tc>
      </w:tr>
      <w:tr>
        <w:trPr>
          <w:trHeight w:val="237"/>
        </w:trPr>
        <w:tc>
          <w:tcPr>
            <w:tcW w:w="648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93,682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58,806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51,957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204,445</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6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70"/>
        </w:trPr>
        <w:tc>
          <w:tcPr>
            <w:tcW w:w="6480" w:type="dxa"/>
            <w:vAlign w:val="bottom"/>
          </w:tcPr>
          <w:p>
            <w:pPr>
              <w:ind w:left="20"/>
              <w:spacing w:after="0"/>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1"/>
                <w:szCs w:val="21"/>
                <w:i w:val="1"/>
                <w:iCs w:val="1"/>
                <w:color w:val="auto"/>
                <w:vertAlign w:val="superscript"/>
              </w:rPr>
              <w:t>(1)</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generated by full-time billable consultants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167,919</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28,864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36,526</w:t>
            </w:r>
          </w:p>
        </w:tc>
      </w:tr>
      <w:tr>
        <w:trPr>
          <w:trHeight w:val="27"/>
        </w:trPr>
        <w:tc>
          <w:tcPr>
            <w:tcW w:w="6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204,445</w:t>
            </w:r>
          </w:p>
        </w:tc>
      </w:tr>
      <w:tr>
        <w:trPr>
          <w:trHeight w:val="284"/>
        </w:trPr>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Revenue recognized over time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91,642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58,806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51,711</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202,159</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 at a point in time</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2,286</w:t>
            </w:r>
          </w:p>
        </w:tc>
      </w:tr>
      <w:tr>
        <w:trPr>
          <w:trHeight w:val="237"/>
        </w:trPr>
        <w:tc>
          <w:tcPr>
            <w:tcW w:w="648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93,682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58,806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51,957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204,445</w:t>
            </w:r>
          </w:p>
        </w:tc>
      </w:tr>
      <w:tr>
        <w:trPr>
          <w:trHeight w:val="513"/>
        </w:trPr>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gridSpan w:val="9"/>
          </w:tcPr>
          <w:p>
            <w:pPr>
              <w:jc w:val="right"/>
              <w:ind w:right="30"/>
              <w:spacing w:after="0"/>
              <w:rPr>
                <w:sz w:val="20"/>
                <w:szCs w:val="20"/>
                <w:color w:val="auto"/>
              </w:rPr>
            </w:pPr>
            <w:r>
              <w:rPr>
                <w:rFonts w:ascii="Arial" w:cs="Arial" w:eastAsia="Arial" w:hAnsi="Arial"/>
                <w:sz w:val="18"/>
                <w:szCs w:val="18"/>
                <w:b w:val="1"/>
                <w:bCs w:val="1"/>
                <w:color w:val="auto"/>
              </w:rPr>
              <w:t>Three Months Ended March 31, 2018</w:t>
            </w:r>
          </w:p>
        </w:tc>
        <w:tc>
          <w:tcPr>
            <w:tcW w:w="880" w:type="dxa"/>
            <w:vAlign w:val="bottom"/>
          </w:tcPr>
          <w:p>
            <w:pPr>
              <w:spacing w:after="0"/>
              <w:rPr>
                <w:sz w:val="24"/>
                <w:szCs w:val="24"/>
                <w:color w:val="auto"/>
              </w:rPr>
            </w:pPr>
          </w:p>
        </w:tc>
      </w:tr>
      <w:tr>
        <w:trPr>
          <w:trHeight w:val="27"/>
        </w:trPr>
        <w:tc>
          <w:tcPr>
            <w:tcW w:w="6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6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Healthcare</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Education</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6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Fixed-fee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60,269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22,420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11,306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93,995</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77,568</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11,100</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11,016</w:t>
            </w:r>
          </w:p>
        </w:tc>
      </w:tr>
      <w:tr>
        <w:trPr>
          <w:trHeight w:val="237"/>
        </w:trPr>
        <w:tc>
          <w:tcPr>
            <w:tcW w:w="648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89,895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55,895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47,889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193,679</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6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70"/>
        </w:trPr>
        <w:tc>
          <w:tcPr>
            <w:tcW w:w="6480" w:type="dxa"/>
            <w:vAlign w:val="bottom"/>
          </w:tcPr>
          <w:p>
            <w:pPr>
              <w:ind w:left="20"/>
              <w:spacing w:after="0"/>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1"/>
                <w:szCs w:val="21"/>
                <w:i w:val="1"/>
                <w:iCs w:val="1"/>
                <w:color w:val="auto"/>
                <w:vertAlign w:val="superscript"/>
              </w:rPr>
              <w:t>(1)</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generated by full-time billable consultants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154,321</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30,622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6,257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39,358</w:t>
            </w:r>
          </w:p>
        </w:tc>
      </w:tr>
      <w:tr>
        <w:trPr>
          <w:trHeight w:val="27"/>
        </w:trPr>
        <w:tc>
          <w:tcPr>
            <w:tcW w:w="6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193,679</w:t>
            </w:r>
          </w:p>
        </w:tc>
      </w:tr>
      <w:tr>
        <w:trPr>
          <w:trHeight w:val="284"/>
        </w:trPr>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Revenue recognized over time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88,341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55,895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46,585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190,821</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 at a point in time</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2,858</w:t>
            </w:r>
          </w:p>
        </w:tc>
      </w:tr>
      <w:tr>
        <w:trPr>
          <w:trHeight w:val="237"/>
        </w:trPr>
        <w:tc>
          <w:tcPr>
            <w:tcW w:w="648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89,895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55,895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47,889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193,679</w:t>
            </w:r>
          </w:p>
        </w:tc>
      </w:tr>
    </w:tbl>
    <w:p>
      <w:pPr>
        <w:spacing w:after="0" w:line="121" w:lineRule="exact"/>
        <w:rPr>
          <w:sz w:val="20"/>
          <w:szCs w:val="20"/>
          <w:color w:val="auto"/>
        </w:rPr>
      </w:pPr>
    </w:p>
    <w:p>
      <w:pPr>
        <w:ind w:left="660" w:hanging="652"/>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Full-time billable consultants consist of our full-time professionals who provide consulting services to our clients and are billable to our clients based on the number of hours worked. Full-time equivalent professionals consist of leadership coaches and their support staff within our Studer Group solution, consultants who work variable schedules as needed by our clients, and full-time employees who provide software support and maintenance services to our clients.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At March 31, 2019 and December 31, 2018, no single client accounted for greater than 10% of our combined receivables and unbilled services balances.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2019 and 2018, no single client generated greater than 10% of our consolidated revenues.</w:t>
      </w:r>
    </w:p>
    <w:p>
      <w:pPr>
        <w:sectPr>
          <w:pgSz w:w="11900" w:h="16838" w:orient="portrait"/>
          <w:cols w:equalWidth="0" w:num="1">
            <w:col w:w="11400"/>
          </w:cols>
          <w:pgMar w:left="240" w:top="125" w:right="259" w:bottom="144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125" w:right="2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2018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Huron is a global consultancy that helps clients drive growth, enhance performance and sustain leadership in the markets they serve. We partner with clients to develop strategies and implement solutions that enable the transformative change our clients need to own their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provide professional services through three operating segments: Healthcare, Business Advisory, and Education.</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Healthcare</w:t>
      </w:r>
    </w:p>
    <w:p>
      <w:pPr>
        <w:spacing w:after="0" w:line="171" w:lineRule="exact"/>
        <w:rPr>
          <w:rFonts w:ascii="Arial" w:cs="Arial" w:eastAsia="Arial" w:hAnsi="Arial"/>
          <w:sz w:val="18"/>
          <w:szCs w:val="18"/>
          <w:b w:val="1"/>
          <w:bCs w:val="1"/>
          <w:color w:val="auto"/>
        </w:rPr>
      </w:pPr>
    </w:p>
    <w:p>
      <w:pPr>
        <w:ind w:left="660" w:right="2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Our Healthcare segment has a depth of expertise in care transformation, financial and operational excellence, technology and analytics, and leadership development.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align leaders, improve organizational culture, and drive physician, patient, and employee engagement across the enterprise to deliver better consumer outcomes.</w:t>
      </w:r>
    </w:p>
    <w:p>
      <w:pPr>
        <w:spacing w:after="0" w:line="118" w:lineRule="exact"/>
        <w:rPr>
          <w:rFonts w:ascii="Arial" w:cs="Arial" w:eastAsia="Arial" w:hAnsi="Arial"/>
          <w:sz w:val="18"/>
          <w:szCs w:val="18"/>
          <w:b w:val="1"/>
          <w:bCs w:val="1"/>
          <w:color w:val="auto"/>
        </w:rPr>
      </w:pPr>
    </w:p>
    <w:p>
      <w:pPr>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We help organizations transform and innovate their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 data that transforms care delivery and improves patient outcomes. We also develop future leaders capable of driving meaningful operational and organizational change and who transform the consumer experience.</w:t>
      </w:r>
    </w:p>
    <w:p>
      <w:pPr>
        <w:spacing w:after="0" w:line="104"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Business Advisory</w:t>
      </w:r>
    </w:p>
    <w:p>
      <w:pPr>
        <w:spacing w:after="0" w:line="171" w:lineRule="exact"/>
        <w:rPr>
          <w:rFonts w:ascii="Arial" w:cs="Arial" w:eastAsia="Arial" w:hAnsi="Arial"/>
          <w:sz w:val="18"/>
          <w:szCs w:val="18"/>
          <w:color w:val="auto"/>
        </w:rPr>
      </w:pPr>
    </w:p>
    <w:p>
      <w:pPr>
        <w:ind w:left="660" w:right="100"/>
        <w:spacing w:after="0" w:line="270" w:lineRule="auto"/>
        <w:rPr>
          <w:rFonts w:ascii="Arial" w:cs="Arial" w:eastAsia="Arial" w:hAnsi="Arial"/>
          <w:sz w:val="18"/>
          <w:szCs w:val="18"/>
          <w:color w:val="auto"/>
        </w:rPr>
      </w:pPr>
      <w:r>
        <w:rPr>
          <w:rFonts w:ascii="Arial" w:cs="Arial" w:eastAsia="Arial" w:hAnsi="Arial"/>
          <w:sz w:val="17"/>
          <w:szCs w:val="17"/>
          <w:color w:val="auto"/>
        </w:rPr>
        <w:t>Our Business Advisory segment provides services to large and middle market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 Advisory professionals resolve complex business issues and enhance client enterprise value through a suite of services including capital advisory, transaction advisory, operational improvement, restructuring and turnaround, valuation, and dispute advisory. Our Enterprise Solutions and Analytics professionals deliver technology and analytic solutions that enable organizations to manage and optimize their financial performance, operational efficiency, and client or stakeholder experience.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ectPr>
          <w:pgSz w:w="11900" w:h="16838" w:orient="portrait"/>
          <w:cols w:equalWidth="0" w:num="1">
            <w:col w:w="11360"/>
          </w:cols>
          <w:pgMar w:left="240" w:top="125" w:right="299" w:bottom="1440" w:gutter="0" w:footer="0" w:header="0"/>
        </w:sect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60"/>
          </w:cols>
          <w:pgMar w:left="240" w:top="125" w:right="2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Education</w:t>
      </w:r>
    </w:p>
    <w:p>
      <w:pPr>
        <w:spacing w:after="0" w:line="171" w:lineRule="exact"/>
        <w:rPr>
          <w:rFonts w:ascii="Arial" w:cs="Arial" w:eastAsia="Arial" w:hAnsi="Arial"/>
          <w:sz w:val="18"/>
          <w:szCs w:val="18"/>
          <w:b w:val="1"/>
          <w:bCs w:val="1"/>
          <w:color w:val="auto"/>
        </w:rPr>
      </w:pPr>
    </w:p>
    <w:p>
      <w:pPr>
        <w:ind w:left="660"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Our Education segment provides consulting and technology solutions to higher education institutions and academic medical centers. We partner with clients to address challenges relating to business and technology strategy, financial management, operational and organizational effectiveness, research administration, and regulatory compliance. Our institutional strategy, market research, budgeting and financial management, business operations and student life cycle management solutions align missions with business priorities, improve quality and reduce costs institution-wide. Our student solutions improve attraction, retention and graduation rates, increase student satisfaction and help generate quality outcomes. Our technology strategy, enterprise applications, and analytic solutions transform and optimize operations, deliver time and cost savings, and enhance the student experience. Our research enterprise solutions assist clients in identifying and implementing institutional research strategy, optimizing clinical research operations, improving financial management and cost reimbursement, improving service to faculty, and mitigating risk compliance.</w:t>
      </w:r>
    </w:p>
    <w:p>
      <w:pPr>
        <w:spacing w:after="0" w:line="1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Huron is a Platinum level member of the Oracle PartnerNetwork, an Oracle Cloud Premier Partner within North America, a Workday Services Partner, and a Gold level consulting partner with Salesforce.com.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some of whom work variable schedules as needed by our clients. Full-time equivalent professionals consist of our leadership coaches and their support staff from our Studer Group solution, specialized finance and operational consultants, and our employees who provide software support and maintenance services to our clients.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generate our revenues from providing professional services under four types of billing arrangements: fixed-fee (including software license revenue); time-and-expense; performance-based; and software support, maintenance and subscriptions.</w:t>
      </w:r>
    </w:p>
    <w:p>
      <w:pPr>
        <w:spacing w:after="0" w:line="1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Studer Group solution include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w:t>
      </w:r>
    </w:p>
    <w:p>
      <w:pPr>
        <w:spacing w:after="0" w:line="11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Fixed-fee engagements represented 47.8% and 48.5% of our revenues for the three months ended March 31, 2019 and 2018, respectively.</w:t>
      </w:r>
    </w:p>
    <w:p>
      <w:pPr>
        <w:spacing w:after="0" w:line="17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Studer Group solution. We recognize revenues under time-and-expense billing arrangements as the related services or publications are provided. Time-and-expense engagements represented 40.8% and 40.1% of our revenues for the three months ended March 31, 2019 and 2018, respectively.</w:t>
      </w:r>
    </w:p>
    <w:p>
      <w:pPr>
        <w:spacing w:after="0" w:line="13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w:t>
      </w:r>
    </w:p>
    <w:p>
      <w:pPr>
        <w:sectPr>
          <w:pgSz w:w="11900" w:h="16838" w:orient="portrait"/>
          <w:cols w:equalWidth="0" w:num="1">
            <w:col w:w="11400"/>
          </w:cols>
          <w:pgMar w:left="240" w:top="125" w:right="25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125" w:right="2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fixed-fee or time-and-expense engagements. We recognize revenues under performance-based billing arrangements by estimating the amount of variable consideration that is probable of being earned and recognizing that estimate over the length of the contract using a proportionate performance approach. Performance-based fee revenues represented 6.1% and 5.7% of our revenues for the three months ended March 31, 2019 and 2018, respectively. The level of performance-based fees earned may vary based on our clients' risk sharing preferences and the mix of services we provide.</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billed in advance and included in deferred revenues until recognized. Software support, maintenance and subscription revenues represented 5.3% and 5.7% of our revenues for the three months ended March 31, 2019 and 2018, respectively.</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quarterly results are impacted principally by our full-time consultants’ utilization rate, the bill rates we charge our clients, and the number of our revenue-generating professionals who are available to work.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2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To expand our business, we will remain focused on growing our existing relationships and developing new relationships, executing our managing director compensation plan to attract and retain senior practitioners, continuing to promote and provide an integrated approach to service delivery, broadening the scope of our existing services, and acquiring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and endorsed messages.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the periods indicated, selected segment and consolidated operating results and other operating data.</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Segment and Consolidated Operating Results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shd w:val="clear" w:color="auto" w:fill="CCEEFF"/>
        </w:rPr>
        <w:t>Healthcare: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22860</wp:posOffset>
            </wp:positionV>
            <wp:extent cx="19037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8" w:lineRule="exact"/>
        <w:rPr>
          <w:sz w:val="20"/>
          <w:szCs w:val="20"/>
          <w:color w:val="auto"/>
        </w:rPr>
      </w:pPr>
    </w:p>
    <w:p>
      <w:pPr>
        <w:spacing w:after="0"/>
        <w:tabs>
          <w:tab w:leader="none" w:pos="15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373" w:lineRule="exact"/>
        <w:rPr>
          <w:sz w:val="20"/>
          <w:szCs w:val="20"/>
          <w:color w:val="auto"/>
        </w:rPr>
      </w:pPr>
    </w:p>
    <w:p>
      <w:pPr>
        <w:sectPr>
          <w:pgSz w:w="11900" w:h="16838" w:orient="portrait"/>
          <w:cols w:equalWidth="0" w:num="2">
            <w:col w:w="8240" w:space="720"/>
            <w:col w:w="24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420" w:type="dxa"/>
            <w:vAlign w:val="bottom"/>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93,682</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89,895</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27,851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24,460</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58,806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55,895</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8,998</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51,957</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47,889</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11,425</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204,445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193,679</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18,617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17,619</w:t>
            </w:r>
          </w:p>
        </w:tc>
        <w:tc>
          <w:tcPr>
            <w:tcW w:w="0" w:type="dxa"/>
            <w:vAlign w:val="bottom"/>
          </w:tcPr>
          <w:p>
            <w:pPr>
              <w:spacing w:after="0"/>
              <w:rPr>
                <w:sz w:val="1"/>
                <w:szCs w:val="1"/>
                <w:color w:val="auto"/>
              </w:rPr>
            </w:pPr>
          </w:p>
        </w:tc>
      </w:tr>
      <w:tr>
        <w:trPr>
          <w:trHeight w:val="237"/>
        </w:trPr>
        <w:tc>
          <w:tcPr>
            <w:tcW w:w="8420" w:type="dxa"/>
            <w:vAlign w:val="bottom"/>
          </w:tcPr>
          <w:p>
            <w:pPr>
              <w:ind w:left="280"/>
              <w:spacing w:after="0"/>
              <w:rPr>
                <w:sz w:val="20"/>
                <w:szCs w:val="20"/>
                <w:color w:val="auto"/>
              </w:rPr>
            </w:pPr>
            <w:r>
              <w:rPr>
                <w:rFonts w:ascii="Arial" w:cs="Arial" w:eastAsia="Arial" w:hAnsi="Arial"/>
                <w:sz w:val="18"/>
                <w:szCs w:val="18"/>
                <w:color w:val="auto"/>
              </w:rPr>
              <w:t>Total revenues and reimbursable expenses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223,062</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211,298</w:t>
            </w:r>
          </w:p>
        </w:tc>
        <w:tc>
          <w:tcPr>
            <w:tcW w:w="0" w:type="dxa"/>
            <w:vAlign w:val="bottom"/>
          </w:tcPr>
          <w:p>
            <w:pPr>
              <w:spacing w:after="0"/>
              <w:rPr>
                <w:sz w:val="1"/>
                <w:szCs w:val="1"/>
                <w:color w:val="auto"/>
              </w:rPr>
            </w:pPr>
          </w:p>
        </w:tc>
      </w:tr>
      <w:tr>
        <w:trPr>
          <w:trHeight w:val="67"/>
        </w:trPr>
        <w:tc>
          <w:tcPr>
            <w:tcW w:w="84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4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Statements of Operations reconciliation:</w:t>
            </w: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50,050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44,883</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36,578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32,928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losses (gains), net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43"/>
        </w:trPr>
        <w:tc>
          <w:tcPr>
            <w:tcW w:w="84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7,172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8,803</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43"/>
        </w:trPr>
        <w:tc>
          <w:tcPr>
            <w:tcW w:w="842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taxes</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3,350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0"/>
        </w:trPr>
        <w:tc>
          <w:tcPr>
            <w:tcW w:w="8420" w:type="dxa"/>
            <w:vAlign w:val="bottom"/>
            <w:vMerge w:val="restart"/>
          </w:tcPr>
          <w:p>
            <w:pPr>
              <w:ind w:left="40"/>
              <w:spacing w:after="0"/>
              <w:rPr>
                <w:sz w:val="20"/>
                <w:szCs w:val="20"/>
                <w:color w:val="auto"/>
              </w:rPr>
            </w:pPr>
            <w:r>
              <w:rPr>
                <w:rFonts w:ascii="Arial" w:cs="Arial" w:eastAsia="Arial" w:hAnsi="Arial"/>
                <w:sz w:val="18"/>
                <w:szCs w:val="18"/>
                <w:color w:val="auto"/>
              </w:rPr>
              <w:t>Earnings (loss) per share from continuing operations:</w:t>
            </w: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43"/>
        </w:trPr>
        <w:tc>
          <w:tcPr>
            <w:tcW w:w="8420" w:type="dxa"/>
            <w:vAlign w:val="bottom"/>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84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4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22860</wp:posOffset>
            </wp:positionV>
            <wp:extent cx="1903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8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4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792</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783</w:t>
            </w: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568</w:t>
            </w:r>
          </w:p>
        </w:tc>
      </w:tr>
      <w:tr>
        <w:trPr>
          <w:trHeight w:val="27"/>
        </w:trPr>
        <w:tc>
          <w:tcPr>
            <w:tcW w:w="8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2,143</w:t>
            </w:r>
          </w:p>
        </w:tc>
      </w:tr>
      <w:tr>
        <w:trPr>
          <w:trHeight w:val="270"/>
        </w:trPr>
        <w:tc>
          <w:tcPr>
            <w:tcW w:w="842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Average number of full-time billable consultants (for the period)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780</w:t>
            </w: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784</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562</w:t>
            </w:r>
          </w:p>
        </w:tc>
      </w:tr>
      <w:tr>
        <w:trPr>
          <w:trHeight w:val="237"/>
        </w:trPr>
        <w:tc>
          <w:tcPr>
            <w:tcW w:w="8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2,289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2,126</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21"/>
                <w:szCs w:val="21"/>
                <w:b w:val="1"/>
                <w:bCs w:val="1"/>
                <w:color w:val="auto"/>
                <w:vertAlign w:val="superscript"/>
              </w:rPr>
              <w:t>(2)</w:t>
            </w:r>
            <w:r>
              <w:rPr>
                <w:rFonts w:ascii="Arial" w:cs="Arial" w:eastAsia="Arial" w:hAnsi="Arial"/>
                <w:sz w:val="18"/>
                <w:szCs w:val="18"/>
                <w:b w:val="1"/>
                <w:bCs w:val="1"/>
                <w:color w:val="auto"/>
              </w:rPr>
              <w: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81.3%</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70"/>
        </w:trPr>
        <w:tc>
          <w:tcPr>
            <w:tcW w:w="842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21"/>
                <w:szCs w:val="21"/>
                <w:b w:val="1"/>
                <w:bCs w:val="1"/>
                <w:color w:val="auto"/>
                <w:vertAlign w:val="superscript"/>
              </w:rPr>
              <w:t>(3)</w:t>
            </w: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w:t>
            </w:r>
          </w:p>
        </w:tc>
      </w:tr>
      <w:tr>
        <w:trPr>
          <w:trHeight w:val="270"/>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 xml:space="preserve">Business Advisory </w:t>
            </w:r>
            <w:r>
              <w:rPr>
                <w:rFonts w:ascii="Arial" w:cs="Arial" w:eastAsia="Arial" w:hAnsi="Arial"/>
                <w:sz w:val="21"/>
                <w:szCs w:val="21"/>
                <w:color w:val="auto"/>
                <w:vertAlign w:val="superscript"/>
              </w:rPr>
              <w:t>(4)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209</w:t>
            </w: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207</w:t>
            </w:r>
          </w:p>
        </w:tc>
      </w:tr>
      <w:tr>
        <w:trPr>
          <w:trHeight w:val="270"/>
        </w:trPr>
        <w:tc>
          <w:tcPr>
            <w:tcW w:w="8420" w:type="dxa"/>
            <w:vAlign w:val="bottom"/>
            <w:gridSpan w:val="2"/>
          </w:tcPr>
          <w:p>
            <w:pPr>
              <w:ind w:left="38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21"/>
                <w:szCs w:val="21"/>
                <w:color w:val="auto"/>
                <w:vertAlign w:val="superscript"/>
              </w:rPr>
              <w:t>(4)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206</w:t>
            </w: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76</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w:t>
            </w: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74</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r>
      <w:tr>
        <w:trPr>
          <w:trHeight w:val="270"/>
        </w:trPr>
        <w:tc>
          <w:tcPr>
            <w:tcW w:w="842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1"/>
                <w:szCs w:val="21"/>
                <w:b w:val="1"/>
                <w:bCs w:val="1"/>
                <w:color w:val="auto"/>
                <w:vertAlign w:val="superscript"/>
              </w:rPr>
              <w:t>(5)</w:t>
            </w: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208</w:t>
            </w: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r>
      <w:tr>
        <w:trPr>
          <w:trHeight w:val="237"/>
        </w:trPr>
        <w:tc>
          <w:tcPr>
            <w:tcW w:w="8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264</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equivalent (in thousands):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148</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153</w:t>
            </w: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155</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r>
      <w:tr>
        <w:trPr>
          <w:trHeight w:val="27"/>
        </w:trPr>
        <w:tc>
          <w:tcPr>
            <w:tcW w:w="8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63" w:lineRule="exact"/>
        <w:rPr>
          <w:rFonts w:ascii="Arial" w:cs="Arial" w:eastAsia="Arial" w:hAnsi="Arial"/>
          <w:sz w:val="18"/>
          <w:szCs w:val="18"/>
          <w:color w:val="auto"/>
        </w:rPr>
      </w:pPr>
    </w:p>
    <w:p>
      <w:pPr>
        <w:ind w:left="540" w:right="100" w:hanging="532"/>
        <w:spacing w:after="0" w:line="26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our full-time billable consultants worked on client assignments during a period by the total available working hours for these consultants during the same period, assuming a forty-hour work week, less paid holidays and vacation days.</w:t>
      </w:r>
    </w:p>
    <w:p>
      <w:pPr>
        <w:spacing w:after="0" w:line="19" w:lineRule="exact"/>
        <w:rPr>
          <w:rFonts w:ascii="Arial" w:cs="Arial" w:eastAsia="Arial" w:hAnsi="Arial"/>
          <w:sz w:val="18"/>
          <w:szCs w:val="18"/>
          <w:color w:val="auto"/>
        </w:rPr>
      </w:pPr>
    </w:p>
    <w:p>
      <w:pPr>
        <w:ind w:left="540" w:right="220" w:hanging="53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spacing w:after="0" w:line="8" w:lineRule="exact"/>
        <w:rPr>
          <w:rFonts w:ascii="Arial" w:cs="Arial" w:eastAsia="Arial" w:hAnsi="Arial"/>
          <w:sz w:val="18"/>
          <w:szCs w:val="18"/>
          <w:color w:val="auto"/>
        </w:rPr>
      </w:pPr>
    </w:p>
    <w:p>
      <w:pPr>
        <w:ind w:left="540" w:right="120" w:hanging="532"/>
        <w:spacing w:after="0" w:line="26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Beginning in the third quarter of 2018, the average billing rate per hour excludes the number of hours charged on internal assignments by consultants within Huron Eurasia India to provide a more meaningful average billing rate charged to external clients. Prior year periods have been revised for consistent presentation.</w:t>
      </w:r>
    </w:p>
    <w:p>
      <w:pPr>
        <w:spacing w:after="0" w:line="19" w:lineRule="exact"/>
        <w:rPr>
          <w:rFonts w:ascii="Arial" w:cs="Arial" w:eastAsia="Arial" w:hAnsi="Arial"/>
          <w:sz w:val="18"/>
          <w:szCs w:val="18"/>
          <w:color w:val="auto"/>
        </w:rPr>
      </w:pPr>
    </w:p>
    <w:p>
      <w:pPr>
        <w:ind w:left="540" w:right="320" w:hanging="53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leadership coaches and their support staff within the Studer Group solution, consultants who work variable schedules as needed by our clients, and full-time employees who provide software support and maintenance services to our clients.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also assess our results of operations using certain non-GAAP financial measures. These non-GAAP financial measures differ from GAAP because the non-GAAP financial measures we calculate to measure earnings before interest, taxes, depreciation and amortization ("EBITDA"), adjusted EBITDA, adjusted EBITDA as a percentage of revenues,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343" w:lineRule="exact"/>
        <w:rPr>
          <w:sz w:val="20"/>
          <w:szCs w:val="20"/>
          <w:color w:val="auto"/>
        </w:rPr>
      </w:pPr>
    </w:p>
    <w:p>
      <w:pPr>
        <w:jc w:val="center"/>
        <w:ind w:left="84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4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22860</wp:posOffset>
            </wp:positionV>
            <wp:extent cx="1903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204,445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193,679</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2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3,350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back:</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4,986</w:t>
            </w:r>
          </w:p>
        </w:tc>
        <w:tc>
          <w:tcPr>
            <w:tcW w:w="0" w:type="dxa"/>
            <w:vAlign w:val="bottom"/>
          </w:tcPr>
          <w:p>
            <w:pPr>
              <w:spacing w:after="0"/>
              <w:rPr>
                <w:sz w:val="1"/>
                <w:szCs w:val="1"/>
                <w:color w:val="auto"/>
              </w:rPr>
            </w:pPr>
          </w:p>
        </w:tc>
      </w:tr>
      <w:tr>
        <w:trPr>
          <w:trHeight w:val="243"/>
        </w:trPr>
        <w:tc>
          <w:tcPr>
            <w:tcW w:w="84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8,289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10,021</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before interest, taxes, depreciation and amortization (EBITDA)</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12,198</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Add back:</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43"/>
        </w:trPr>
        <w:tc>
          <w:tcPr>
            <w:tcW w:w="8420" w:type="dxa"/>
            <w:vAlign w:val="bottom"/>
          </w:tcPr>
          <w:p>
            <w:pPr>
              <w:ind w:left="380"/>
              <w:spacing w:after="0"/>
              <w:rPr>
                <w:sz w:val="20"/>
                <w:szCs w:val="20"/>
                <w:color w:val="auto"/>
              </w:rPr>
            </w:pPr>
            <w:r>
              <w:rPr>
                <w:rFonts w:ascii="Arial" w:cs="Arial" w:eastAsia="Arial" w:hAnsi="Arial"/>
                <w:sz w:val="18"/>
                <w:szCs w:val="18"/>
                <w:color w:val="auto"/>
              </w:rPr>
              <w:t>Other losses (gains), net</w:t>
            </w: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transaction gains,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17,999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13,687</w:t>
            </w:r>
          </w:p>
        </w:tc>
        <w:tc>
          <w:tcPr>
            <w:tcW w:w="0" w:type="dxa"/>
            <w:vAlign w:val="bottom"/>
          </w:tcPr>
          <w:p>
            <w:pPr>
              <w:spacing w:after="0"/>
              <w:rPr>
                <w:sz w:val="1"/>
                <w:szCs w:val="1"/>
                <w:color w:val="auto"/>
              </w:rPr>
            </w:pPr>
          </w:p>
        </w:tc>
      </w:tr>
      <w:tr>
        <w:trPr>
          <w:trHeight w:val="67"/>
        </w:trPr>
        <w:tc>
          <w:tcPr>
            <w:tcW w:w="84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4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EBITDA as a percentage of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Weighted average shares -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22,311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21,592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Add back:</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losses (gains),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Non-cash interest on convertible notes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effect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Tax expense related to the enactment of Tax Cut and Jobs Act of 2017</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adjustments,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8,853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weighted average shares - diluted</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22,311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21,813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663"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663"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presented above. Amortization of intangible assets is inconsistent in its amount and frequency and is significantly affected by the timing and size of our acquisitions.</w:t>
      </w:r>
    </w:p>
    <w:p>
      <w:pPr>
        <w:spacing w:after="0" w:line="12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We have incurred charges due to the restructuring of various parts of our business. These restructuring charges have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costs associated with office space consolidations, including lease impairment charges and accelerated depreciation on lease-related property and equipment, and severance charges. We have excluded the effect of the restructuring charges from our non-GAAP measures because the amount of each restructuring charge is significantly affected by the timing and size of the restructured business or component of a business.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Other losses (gains), net: </w:t>
      </w:r>
      <w:r>
        <w:rPr>
          <w:rFonts w:ascii="Arial" w:cs="Arial" w:eastAsia="Arial" w:hAnsi="Arial"/>
          <w:sz w:val="18"/>
          <w:szCs w:val="18"/>
          <w:color w:val="auto"/>
        </w:rPr>
        <w:t>We have excluded the effects of other losses (gains), net which primarily consist of remeasurement losses (gains)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acquisition liabilities to permit comparability with periods that were not impacted by these items.</w:t>
      </w:r>
    </w:p>
    <w:p>
      <w:pPr>
        <w:spacing w:after="0" w:line="1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 non-cash interest expense relating to the implied value of the equity conversion component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value of the equity conversion component is treated as a debt discount and amortized to interest expense over the life of the Convertible Notes using the effective interest rate method. We exclude this non-cash interest expense that does not represent cash interest payments from the calculation of adjusted net income from continuing operations as management believes that this non-cash expense is not indicative of the ongoing performance of our business.</w:t>
      </w:r>
    </w:p>
    <w:p>
      <w:pPr>
        <w:spacing w:after="0" w:line="134"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i w:val="1"/>
          <w:iCs w:val="1"/>
          <w:color w:val="auto"/>
        </w:rPr>
        <w:t xml:space="preserve">Foreign currency transaction gains, net: </w:t>
      </w:r>
      <w:r>
        <w:rPr>
          <w:rFonts w:ascii="Arial" w:cs="Arial" w:eastAsia="Arial" w:hAnsi="Arial"/>
          <w:sz w:val="17"/>
          <w:szCs w:val="17"/>
          <w:color w:val="auto"/>
        </w:rPr>
        <w:t>We have excluded the effect of foreign currency transaction losses and gains from the calculation of adjusted</w:t>
      </w:r>
      <w:r>
        <w:rPr>
          <w:rFonts w:ascii="Arial" w:cs="Arial" w:eastAsia="Arial" w:hAnsi="Arial"/>
          <w:sz w:val="17"/>
          <w:szCs w:val="17"/>
          <w:i w:val="1"/>
          <w:iCs w:val="1"/>
          <w:color w:val="auto"/>
        </w:rPr>
        <w:t xml:space="preserve"> </w:t>
      </w:r>
      <w:r>
        <w:rPr>
          <w:rFonts w:ascii="Arial" w:cs="Arial" w:eastAsia="Arial" w:hAnsi="Arial"/>
          <w:sz w:val="17"/>
          <w:szCs w:val="17"/>
          <w:color w:val="auto"/>
        </w:rPr>
        <w:t>EBITDA because the amount of each loss or gain is significantly affected by timing and changes in foreign exchange rates.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impact applicable to the non-GAAP adjustments.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Tax expense related to the enactment of Tax Cuts and Jobs Act of 2017 ("2017 Tax Reform"): </w:t>
      </w:r>
      <w:r>
        <w:rPr>
          <w:rFonts w:ascii="Arial" w:cs="Arial" w:eastAsia="Arial" w:hAnsi="Arial"/>
          <w:sz w:val="18"/>
          <w:szCs w:val="18"/>
          <w:color w:val="auto"/>
        </w:rPr>
        <w:t>We have excluded the impact of the 2017 Tax Reform,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enacted in the fourth quarter of 2017. In the first quarter of 2018, we recorded an adjustment to our estimated one-time income tax expense related to the transition tax on accumulated foreign earnings. The exclusion of the 2017 Tax Reform impact permits comparability with periods that were not impacted by this item.</w:t>
      </w:r>
    </w:p>
    <w:p>
      <w:pPr>
        <w:spacing w:after="0" w:line="13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have excluded the effects of income tax expense,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net of interest income, and depreciation and amortization in the calculation of EBITDA as these are customary exclusions as defined by the calculation of EBITDA to arrive at meaningful earnings from core operations excluding the effect of such items.</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Adjusted weighted average shares - diluted: </w:t>
      </w:r>
      <w:r>
        <w:rPr>
          <w:rFonts w:ascii="Arial" w:cs="Arial" w:eastAsia="Arial" w:hAnsi="Arial"/>
          <w:sz w:val="18"/>
          <w:szCs w:val="18"/>
          <w:color w:val="auto"/>
        </w:rPr>
        <w:t>As we reported a net loss for the three months ended March 31, 2018, GAAP diluted weighted average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equals the basic weighted average shares outstanding for that period. For the three months ended March 31, 2018, the non-GAAP adjustments described above resulted in adjusted net income from continuing operations. Therefore, we included the dilutive common stock equivalents in the calculation of adjusted diluted weighted average shares outstanding for that period.</w:t>
      </w:r>
    </w:p>
    <w:p>
      <w:pPr>
        <w:spacing w:after="0" w:line="129" w:lineRule="exact"/>
        <w:rPr>
          <w:sz w:val="20"/>
          <w:szCs w:val="20"/>
          <w:color w:val="auto"/>
        </w:rPr>
      </w:pPr>
    </w:p>
    <w:p>
      <w:pPr>
        <w:ind w:right="4500"/>
        <w:spacing w:after="0" w:line="440" w:lineRule="auto"/>
        <w:rPr>
          <w:sz w:val="20"/>
          <w:szCs w:val="20"/>
          <w:color w:val="auto"/>
        </w:rPr>
      </w:pPr>
      <w:r>
        <w:rPr>
          <w:rFonts w:ascii="Arial" w:cs="Arial" w:eastAsia="Arial" w:hAnsi="Arial"/>
          <w:sz w:val="18"/>
          <w:szCs w:val="18"/>
          <w:b w:val="1"/>
          <w:bCs w:val="1"/>
          <w:color w:val="auto"/>
        </w:rPr>
        <w:t>Three Months Ended March 31, 2019 Compared to Three Months Ended March 31, 2018 Revenues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Revenues increased $10.8 million, or 5.6%, to $204.4 million for the first three months of 2019 from $193.7 million for the first three months of 2018. Of the overall $10.8 million increase in revenues, $13.6 million was attributable to an increase in revenues from our full-time billable consultants, partially offset by a $2.8 million decrease in revenues attributable to our full-time equivalents. The increase in full-time billable consultant revenues was attributable to strengthened demand for services in all of our segments, as discussed below in Segment Results; and reflected increases in the average number of full-time billable consultants, the consultant utilization rate, and the average billing rate during the first three months of 2019 compared to the same prior year period. The decrease in full-time equivalent revenues was attributable to decreases in full-time equivalent revenues in all of our segments, as discussed below in Segment Results; and reflected an overall decrease in revenue per full-time equivalent, partially offset by an overall increase in the average number of full-time equivalents.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total direct costs, including amortization of intangible assets and software development costs, increased $4.9 million, or 3.7%, to $138.9 million for the three months ended March 31, 2019, from $134.0 million for the three months ended March 31, 2018. The overall $4.9 million increase primarily related to a $3.1 million increase in salaries and related expenses for our revenue-generating professionals, which was largely driven by increased headcount in our Education and Business Advisory segments, and a $1.2 million increase in performance bonus expense for our revenue-generating professionals. As a percentage of revenues, our total direct costs decreased to 67.9% during the first three months of 2019 compared to 69.2% during the first three months of 2018 primarily due to revenue growth that outpaced the increase in salaries and related expenses for our revenue-generating professionals and a decrease in contractor expenses. These decreases to direct costs as a percentage of revenues were</w:t>
      </w:r>
    </w:p>
    <w:p>
      <w:pPr>
        <w:sectPr>
          <w:pgSz w:w="11900" w:h="16838" w:orient="portrait"/>
          <w:cols w:equalWidth="0" w:num="1">
            <w:col w:w="11360"/>
          </w:cols>
          <w:pgMar w:left="240" w:top="125" w:right="299" w:bottom="1440" w:gutter="0" w:footer="0" w:header="0"/>
        </w:sect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60"/>
          </w:cols>
          <w:pgMar w:left="240" w:top="125" w:right="2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partially offset by increases in signing, retention and other bonus expense for our revenue-generating professionals and project costs, as percentages of revenues, for the first three months of 2019 compared to the same prior year period.</w:t>
      </w:r>
    </w:p>
    <w:p>
      <w:pPr>
        <w:spacing w:after="0" w:line="11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Total direct costs for the three months ended March 31, 2019 included $1.1 million of amortization expense for internal software development costs and intangible assets, compared to $1.2 million of amortization expense for the same prior year period. The $0.1 million decrease in amortization expense was primarily attributable to certain intangible assets acquired in our Studer Group acquisition which were fully amortized, largely offset by an increase in amortization for internal software development costs. Intangible asset amortization included within direct costs primarily relates to technology and software, certain customer relationships, publishing content and customer contracts acquired in connection with our business acquisitions. See Note 4 "Goodwill and Intangible Assets" within the notes to our consolidated financial statements for additional information about our intangible assets.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7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Selling, general and administrative expenses increased $3.7 million, or 7.8%, to $50.7 million in the three months ended March 31, 2019, from $47.1 million in the three months ended March 31, 2018. The overall $3.7 million increase was primarily related to a $3.3 million increase in salaries and related expenses for our support personnel, a $0.5 million increase in computer and related equipment expenses, and a $0.4 million increase in share-based compensation expense for our support personnel. These increases were partially offset by a $0.3 million decrease in accounting, tax and audit fees. As a percentage of revenues, selling, general and administrative expenses increased to 24.8% during the first three months of 2019 compared to 24.3% during the first three months of 2018, primarily due to the increase in salaries and related expenses for our support personnel, as a percentage of revenues.</w:t>
      </w:r>
    </w:p>
    <w:p>
      <w:pPr>
        <w:spacing w:after="0" w:line="1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Restructuring charges for the first three months of 2019 totaled $1.3 million, compared to $0.7 million for the first three months of 2018. During the first quarter of 2019, we exited a portion of our Lake Oswego, Oregon corporate office resulting in a $0.7 million lease impairment charge on the related operating lease right-of-use ("ROU") asset and leasehold improvements and $0.2 million of accelerated depreciation on related furniture and fixtures. The lease impairment charge was recognized in accordance with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we adopted on a modified retrospective basis on January 1, 2019. See Note 2 "Basis of Presentation and Significant Accounting Policies" and Note 3 "New Accounting Pronouncements" within the notes to our consolidated financial statements for additional information on our adoption of ASC 842. See Note 5 "Leases" within the notes to our consolidated financial statements for additional information on the long-lived asset impairment test performed in the first quarter of 2019. Additionally, we recognized a $0.2 million restructuring charge in the first quarter of 2019 related to workforce reductions in our corporate operations. The $0.7 million restructuring charge incurred in the first three months of 2018 primarily related to updated lease assumptions for our San Francisco office vacated in the second quarter of 2017, which was accounted for in accordance with ASC 840, </w:t>
      </w:r>
      <w:r>
        <w:rPr>
          <w:rFonts w:ascii="Arial" w:cs="Arial" w:eastAsia="Arial" w:hAnsi="Arial"/>
          <w:sz w:val="17"/>
          <w:szCs w:val="17"/>
          <w:i w:val="1"/>
          <w:iCs w:val="1"/>
          <w:color w:val="auto"/>
        </w:rPr>
        <w:t>Leases</w:t>
      </w:r>
      <w:r>
        <w:rPr>
          <w:rFonts w:ascii="Arial" w:cs="Arial" w:eastAsia="Arial" w:hAnsi="Arial"/>
          <w:sz w:val="17"/>
          <w:szCs w:val="17"/>
          <w:color w:val="auto"/>
        </w:rPr>
        <w:t>. See Note 9 "Restructuring Charges" within the notes to our consolidated financial statements for additional information on our restructuring charges.</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Other losses (gains), net totaled a gain of $0.5 million for the three months ended March 31, 2019, which primarily consisted of a $0.4 million remeasurement gain to decrease the estimated fair value of our liabilities for contingent consideration payments related to business acquisitions. Other losses (gains), net totaled a loss of $0.8 million for the three months ended March 31, 2018, which represented increases in the estimated fair value of our liabilities for contingent consideration payments related to business acquisitions. In connection with certain business acquisitions, we may be required to pay post-closing consideration to the sellers if specific financial performance targets are met over a number of years as specified in the related purchase agreements. See Note 11 "Fair Value of Financial Instruments" within the notes to our consolidated financial statements for additional information on the fair value of contingent consideration liabilities.</w:t>
      </w:r>
    </w:p>
    <w:p>
      <w:pPr>
        <w:spacing w:after="0" w:line="1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Depreciation and amortization expense decreased by $1.6 million to $7.2 million in the three months ended March 31, 2019, from $8.8 million in the three months ended March 31, 2018. The decrease was primarily attributable to decreasing amortization expense of the trade name and customer relationships acquired in our Studer Group acquisition as well as certain customer relationships acquired in other business acquisitions, due to the accelerated basis of amortization in prior periods. Intangible asset amortization included within operating expenses primarily relates to certain customer relationships, trade names and non-competition agreements acquired in connection with our business acquisitions. See Note 4 "Goodwill and Intangible Assets" within the notes to our consolidated financial statements for additional information about our intangible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Operating income increased $4.4 million to $6.8 million in the first three months of 2019 from $2.3 million in the first three months of 2018. Operating margin, which is defined as operating income expressed as a percentage of revenues, increased to 3.3% for the three months ended March 31, 2019, compared to 1.2% for the three months ended March 31, 2018. The increase in operating margin was primarily attributable to the revenue growth that outpaced the increase in salaries and related expenses for our revenue-generating professionals, the decrease in intangible asset amortization expense, and the remeasurement gain recognized in the first quarter of 2019 related to our liabilities for contingent consideration compared to the remeasurement loss recognized in the first quarter of 2018. These increases to the operating margin were partially offset by the increase in salaries and related expenses for our support personnel, as a percentage of revenues, during the first three months of 2019 compared to the same prior year period.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Total other expense, net decreased by $3.1 million to $2.0 million in the first three months of 2019 from $5.1 million in the first three months of 2018. The decrease in total other expense, net was primarily attributable to a $2.1 million gain in the market value of our investments that are used to fund our deferred compensation liability compared to a $0.2 million loss in the same prior year period, and a $0.7 million decrease in interest expense, net of interest income in the first quarter of 2019 compared to the first quarter of 2018. The decrease in interest expense was due to lower levels of borrowing under our credit facility during the first three months of 2019 compared to the same prior year period, partially offset by higher interest rates during the first three months of 2019 compared to the same prior year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For the three months ended March 31, 2019, our effective tax rate was 29.0% as we recognized income tax expense from continuing operations of $1.4 million on income from continuing operations of $4.7 million. The effective tax rate of 29.0% was less favorable than the statutory rate, inclusive of state income taxes, of 26.4% primarily due to $0.5 million of foreign losses with no tax benefit, which had an unfavorable impact of 2.9% on the effective tax rate; and $0.1 million of additional tax expense related to disallowed executive compensation deductions, which had an unfavorable impact of 1.8% on the effective tax rate. These unfavorable adjustments to our effective tax rate were partially offset by $0.1 million of discrete tax benefit for share-based compensation awards that vested during the first quarter of 2019 and which had a favorable impact of 1.8% on the effective tax rate.</w:t>
      </w:r>
    </w:p>
    <w:p>
      <w:pPr>
        <w:spacing w:after="0" w:line="11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For the three months ended March 31, 2018, our effective tax rate was (14.7)% as we recognized income tax expense from continuing operations of $0.4 million on a loss from continuing operations of $2.8 million. The effective tax rate of (14.7)% was less favorable than the statutory rate inclusive of state income taxes, of 26.0% primarily due to discrete tax expense for share-based compensation awards that vested during the quarter and which had an unfavorable impact of 43.7% on the effective tax rate.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from Continuing Operations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from continuing operations increased by $6.6 million to $3.4 million for the three months ended March 31, 2019, from a net loss from continuing operations of $3.2 million for the same prior year period. As a result of the increase in net income from continuing operations, diluted earnings per share from continuing operations for the first three months of 2019 was $0.15 compared to diluted loss per share from continuing operations of $0.15 for the first three months of 2018.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EBITDA increased $5.1 million to $17.3 million for the three months ended March 31, 2019, from $12.2 million for the three months ended March 31, 2018. Adjusted EBITDA increased $4.3 million to $18.0 million in the first three months of 2019 from $13.7 million in the first three months of 2018. The increases in EBITDA and adjusted EBITDA were primarily attributable to the increase in revenues, partially offset by the increases in salaries and related expenses for both our support personnel and our revenue-generating professionals and performance bonus expense for our revenue-generating professionals.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Adjusted net income from continuing operations increased $4.6 million to $8.9 million in the first three months of 2019 compared to $4.2 million in the first three months of 2018. As a result of the increase in adjusted net income from continuing operations, adjusted diluted earnings per share from continuing operations for the first three months of 2019 was $0.40 compared to $0.19 for the first three months of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Healthcare segment revenues increased $3.8 million, or 4.2%, to $93.7 million for the first three months of 2019 from $89.9 million for the first three months of 2018.</w:t>
      </w:r>
    </w:p>
    <w:p>
      <w:pPr>
        <w:spacing w:after="0" w:line="116"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During the three months ended March 31, 2019, revenues from fixed-fee engagements; time-and-expense engagements; performance-based arrangements; and software support, maintenance and subscription arrangements represented 67.9%, 13.6%, 12.6%, and 5.9% of this segment’s revenues, respectively, compared to 67.0%, 14.2%, 11.4%, and 7.4% of this segment’s revenues, respectively, for the same prior year period. Performance-based fee revenue was $11.8 million during the first three months of 2019, compared to $10.2 million during the first three months of 2018. The level of performance-based fees earned may vary based on our clients’ risk sharing preferences and the mix of services we provide.</w:t>
      </w:r>
    </w:p>
    <w:p>
      <w:pPr>
        <w:spacing w:after="0" w:line="119"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Of the overall $3.8 million increase in revenues, $5.5 million was attributable to an increase in revenues from our full-time billable consultants, partially offset by a $1.8 million decrease in revenues attributable to our full-time equivalents. The increase in revenues attributable to our full-time billable consultants reflected increases in the average billing rate and the average number of full-time billable consultants, partially offset by a</w:t>
      </w:r>
    </w:p>
    <w:p>
      <w:pPr>
        <w:sectPr>
          <w:pgSz w:w="11900" w:h="16838" w:orient="portrait"/>
          <w:cols w:equalWidth="0" w:num="1">
            <w:col w:w="11380"/>
          </w:cols>
          <w:pgMar w:left="240" w:top="125" w:right="279" w:bottom="1440" w:gutter="0" w:footer="0" w:header="0"/>
        </w:sectPr>
      </w:pP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80"/>
          </w:cols>
          <w:pgMar w:left="240" w:top="125" w:right="27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decrease in the consultant utilization rate. The decrease in revenues attributable to our full-time equivalents reflected a decrease in revenue per full-time equivalent, partially offset by an increase in the average number of full-time equivalents.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Healthcare segment operating income increased $3.4 million, or 13.9%, to $27.9 million for the three months ended March 31, 2019, from $24.5 million for the three months ended March 31, 2018. The Healthcare segment operating margin increased to 29.7% for the first three months of 2019 from 27.2% in the same period last year. The increase in this segment’s operating margin was primarily attributable to decreases in salaries and related expenses for our revenue-generating professionals, which included an increase in capitalization of salaries and related expenses related to internal software development projects, and contractor expense; partially offset by increases in salaries and related expenses for our support personnel, practice administration and meetings expense and project costs, all as percentages of revenues.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Business Advisory segment revenues increased $2.9 million, or 5.2%, to $58.8 million for the first three months of 2019 from $55.9 million for the first three months of 2018.</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three months of 2019, revenues from fixed-fee engagements; time-and-expense engagements; performance-based arrangements; and software support, maintenance and subscription arrangements represented 36.9%, 60.0%, 1.1%, and 2.0% of this segment’s revenues, respectively, compared to 40.1%, 56.1%, 1.6%, and 2.2% of this segment’s revenues, respectively, during the same prior year period. Performance-based fee revenue was $0.7 million for the first three months of 2019, compared to $0.9 million for the first three months of 2018. The level of performance-based fees earned may vary based on our clients’ preferences and the mix of services we provide.</w:t>
      </w:r>
    </w:p>
    <w:p>
      <w:pPr>
        <w:spacing w:after="0" w:line="13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Of the overall $2.9 million increase in revenues, $3.7 million was attributable to an increase in revenues from our full-time billable consultants, partially offset by a $0.8 million decrease in revenues attributable to our full-time equivalents. The increase in revenues from our full-time billable consultants was primarily driven by increases in the consultant utilization rate and the average number of full-time billable consultants, partially offset by a decrease in the average billing rate. The decrease in revenues from our full-time equivalents was driven by a decreased use of contractors and our part-time project consultants; and reflected a decrease in the average number of full-time equivalents, partially offset by an increase in revenue per full-time equivalent in the first three months of 2019 compared to the same prior year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Business Advisory segment operating income increased by $0.6 million, or 6.5%, to $9.6 million for the three months ended March 31, 2019, from $9.0 million for the three months ended March 31, 2018. The Business Advisory segment operating margin increased to 16.3% for the first three months of 2019 from 16.1% in the same period last year. The increase in this segment’s operating margin was primarily attributable to revenue growth that outpaced increases in salaries and related expenses and performance bonus expense for our revenue-generating professionals. These increases to the segment's operating margin were largely offset by increases in signing, retention and other bonus expense and share-based compensation expense for our revenue generating professionals, both as percentages of revenues.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Education segment revenues increased $4.1 million, or 8.5%, to $52.0 million for the first three months of 2019 from $47.9 million for the first three months of 2018.</w:t>
      </w:r>
    </w:p>
    <w:p>
      <w:pPr>
        <w:spacing w:after="0" w:line="11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three months ended March 31, 2019, revenues from fixed-fee engagements; time-and-expense engagements; and software support, maintenance and subscription arrangements represented 23.8%, 68.1%, and 8.1% of this segment’s revenues, respectively, compared to 23.6%, 69.8%, and 6.6% of this segment's revenues, respectively, during the same prior year period.</w:t>
      </w:r>
    </w:p>
    <w:p>
      <w:pPr>
        <w:spacing w:after="0" w:line="1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Of the overall $4.1 million increase in revenues, $4.4 million was attributable to an increase in revenues from to our full-time billable consultants, partially offset by a $0.3 million decrease in revenues attributable to our full-time equivalents. The increase in revenues from our full-time billable consultants reflected increases in the average number of full-time billable consultants and the consultant utilization rate, partially offset by a decrease in the average billing rate. The decrease in revenues from our full-time equivalents was driven by a decreased use of our part-time project consultants; and reflected decreases in the average number of full-time equivalents, partially offset by an increase in revenue per full-time equivalent in the first three months of 2019 compared to the same prior year period.</w:t>
      </w:r>
    </w:p>
    <w:p>
      <w:pPr>
        <w:sectPr>
          <w:pgSz w:w="11900" w:h="16838" w:orient="portrait"/>
          <w:cols w:equalWidth="0" w:num="1">
            <w:col w:w="11400"/>
          </w:cols>
          <w:pgMar w:left="240" w:top="125" w:right="259"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125" w:right="25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Education segment operating income increased $1.2 million, or 10.4%, to $12.6 million for the three months ended March 31, 2019, from $11.4 million for the three months ended March 31, 2018. The Education segment operating margin increased to 24.3% for the first three months of 2019 from 23.9% in the same period last year. The increase in this segment’s operating margin was primarily attributable to a decrease in practice administration and meetings expense, revenue growth that outpaced the increase in salaries and related expenses for our revenue-generating professionals, and decreases in technology expense and salaries and related expenses for our support personnel, as percentages of revenues. These increases to the segment's operating margin were partially offset by increases in performance bonus expense for our revenue-generating professionals, contractor expenses, and promotion and marketing expenses, all as percentages of revenue.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Cash and cash equivalents decreased $24.6 million to $8.5 million at March 31, 2019 from $33.1 million at December 31, 2018. As of March 31, 2019, our primary sources of liquidity are cash on hand, cash flows from our U.S. operations, and borrowing capacity available under our credit facility.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20"/>
                <w:szCs w:val="20"/>
                <w:color w:val="auto"/>
              </w:rPr>
            </w:pPr>
          </w:p>
        </w:tc>
      </w:tr>
      <w:tr>
        <w:trPr>
          <w:trHeight w:val="27"/>
        </w:trPr>
        <w:tc>
          <w:tcPr>
            <w:tcW w:w="8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(in thousands):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8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(36,263)</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29,541</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(10,473)</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cash used in operating activities totaled $38.3 million and $36.3 million for the three months ended March 31, 2019 and 2018, respectively.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1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increase in cash used in operating activities for the first three months of 2019 compared to the same prior year period was primarily attributable to an increase in the amount paid for annual performance bonuses during the first quarter of 2019 compared to the first quarter of 2018, largely offset by an increase in cash collections from clients.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$8.1 million and $3.8 million for the three months ended March 31, 2019 and 2018, respectively.</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use of cash in the first three months of 2019 primarily consisted of $3.6 million for contributions to our life insurance policies which fund our deferred compensation plan; $2.3 million for purchases of property and equipment, primarily related to purchases of computers and related equipment; and $2.1 million for payments related to internally developed software.</w:t>
      </w:r>
    </w:p>
    <w:p>
      <w:pPr>
        <w:spacing w:after="0" w:line="12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use of cash in the first three months of 2018 primarily consisted of $1.5 million for contributions to our life insurance policies which fund our deferred compensation plan; $1.4 million for purchases of property and equipment, primarily related to purchases of computers and related equipment; and $0.7 million for payments related to internally developed software.</w:t>
      </w:r>
    </w:p>
    <w:p>
      <w:pPr>
        <w:spacing w:after="0" w:line="12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estimate that cash utilized for purchases of property and equipment and software development in 2019 will be approximately $15 million to $20 million, primarily consisting of information technology related equipment to support our corporate infrastructure, leasehold improvements for certain office locations, and software development costs.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5"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Net cash provided by financing activities was $21.7 million for the three months ended March 31, 2019. During the first three months of 2019, we borrowed $40.5 million under our credit facility, primarily to fund our annual performance bonus payment, and made repayments on our credit facility of $14.5 million.</w:t>
      </w:r>
    </w:p>
    <w:p>
      <w:pPr>
        <w:spacing w:after="0" w:line="70"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Net cash provided by financing activities was $29.5 million for the three months ended March 31, 2018. During the first three months of 2018, we borrowed $91.5 million under our credit facility, primarily to fund our annual performance bonus payment, and made repayments on our credit facility of $58.0 million.</w:t>
      </w:r>
    </w:p>
    <w:p>
      <w:pPr>
        <w:sectPr>
          <w:pgSz w:w="11900" w:h="16838" w:orient="portrait"/>
          <w:cols w:equalWidth="0" w:num="1">
            <w:col w:w="11420"/>
          </w:cols>
          <w:pgMar w:left="240" w:top="125"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currently have a share repurchase program permitting us to repurchase up to $125 million of our common stock through October 31, 2019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No shares were repurchased in the first three months of 2019 or 2018. As of March 31, 2019, $35.1 million remains available for share repurchases.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March 31, 2019, we had $250.0 million principal amount of our 1.25% convertible senior notes outstanding, $76.0 million outstanding under our senior secured credit facility, and $4.2 million outstanding under a promissory note,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1.25% Convertible Senior Notes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September 2014, we issued $250.0 million principal amount of the Convertible Notes in a private offering.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 We expect to refinance the principal amount of the outstanding notes at maturity with the borrowing capacity available under our revolving credit facility.</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w:t>
      </w:r>
    </w:p>
    <w:p>
      <w:pPr>
        <w:spacing w:after="0" w:line="1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w:t>
      </w:r>
    </w:p>
    <w:p>
      <w:pPr>
        <w:spacing w:after="0" w:line="13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carrying amount of our Convertible Notes as of March 31, 2019 and December 31, 2018, was $245.1 million and $242.6 million, respectively, which represented the $250.0 million principal amount net of unamortized debt discount and issuance costs. The carrying amount of our Convertible Notes is included in current maturities of long-term debt on the consolidated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8 “Financing Arrangements” within the notes to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has a $500 million senior secured revolving credit facility, subject to the terms of a Second Amended and Restated Credit Agreement dated as of March 31, 2015, as amended to date (as amended and modified the "Amended Credit Agreement"), that becomes due and payable in full upon maturity on March 23, 2023. The Amended Credit Agreement provides the option to increase the revolving credit facility or establish term loan facilities in an aggregate amount of up to $150 million, subject to customary conditions and the approval of any lender whose commitment would be increased, resulting in a maximum available principal amount under the Amended Credit Agreement of $650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1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 LIBOR borrowings, or between 0.25% per annum and 1.00% per annum, in the case of base rate loans, based upon our Consolidated Leverage Ratio at such time.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ectPr>
          <w:pgSz w:w="11900" w:h="16838" w:orient="portrait"/>
          <w:cols w:equalWidth="0" w:num="1">
            <w:col w:w="11360"/>
          </w:cols>
          <w:pgMar w:left="240" w:top="125" w:right="299" w:bottom="1440" w:gutter="0" w:footer="0" w:header="0"/>
        </w:sect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60"/>
          </w:cols>
          <w:pgMar w:left="240" w:top="125" w:right="29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3.50 to 1.00 to 4.00 to 1.00, depending on the measurement period, and</w:t>
      </w:r>
    </w:p>
    <w:p>
      <w:pPr>
        <w:ind w:right="240" w:firstLine="8"/>
        <w:spacing w:after="0" w:line="271" w:lineRule="auto"/>
        <w:tabs>
          <w:tab w:leader="none" w:pos="2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At March 31, 2019, we were in compliance with these financial covenants with a Consolidated Leverage Ratio of 2.99 to 1.00 and a Consolidated Interest Coverage Ratio of 12.08 to 1.00.</w:t>
      </w:r>
    </w:p>
    <w:p>
      <w:pPr>
        <w:spacing w:after="0" w:line="1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Amended Credit Agreement contains restricted payment provisions, including a potential limit on the amount of dividends we may pay. Pursuant to the terms of the Amended Credit Agreement, if our Consolidated Leverage Ratio is greater than 3.00, the amount of dividends and other Restricted Payments (as defined in the Amended Credit Agreement) we may pay is limited to an amount up to $75 million plus 50% of cumulative consolidated net income (as defined in the Amended Credit Agreement) from the closing date of the Amended Credit Agreement plus 50% of the net cash proceeds from equity issuances after the closing date of the Amended Credit Agreement.</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Borrowings outstanding under the Amended Credit Agreement at March 31, 2019 totaled $76.0 million. These borrowings carried a weighted average interest rate of 4.5%, including the impact of the interest rate swap in effect as of March 31, 2019 and described in Note 10 “Derivative Instrument and Hedging Activity” within the notes to the consolidated financial statements. Borrowings outstanding under the Amended Credit Agreement at December 31, 2018 were $50.0 million and carried a weighted average interest rate of 3.7%, including the impact of the interest rate swap described in Note 10 “Derivative Instrument and Hedging Activity” within the notes to the consolidated financial statements. The borrowing capacity under the revolving credit facility is reduced by any outstanding borrowings under the revolving credit facility and outstanding letters of credit. At March 31, 2019, we had outstanding letters of credit totaling $1.6 million, which are primarily used as security deposits for our office facilities. As of March 31, 2019, the unused borrowing capacity under the revolving credit facility was $422.4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March 31, 2019, the outstanding principal amount of the promissory note was $4.2 million, and the aircraft had a carrying amount of $5.6 million. At December 31, 2018, the outstanding principal amount of the promissory note was $4.4 million, and the aircraft had a carrying amount of $5.8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8 “Financing Arrangements” within the notes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For a summary of our commitments to make future payments under contractual obligations, see “Item 7. Management’s Discussion and Analysis of Financial Condition and Results of Operations – Contractual Obligations” in our Annual Report on Form 10-K for the year ended December 31, 2018. There have been no material changes to our contractual obligations since December 31, 2018. See Note 2 "Basis of Presentation and Significant Accounting Policies" and Note 3 "New Accounting Pronouncements" within the notes to our consolidated financial statements for information on our adoption of ASC 842, </w:t>
      </w:r>
      <w:r>
        <w:rPr>
          <w:rFonts w:ascii="Arial" w:cs="Arial" w:eastAsia="Arial" w:hAnsi="Arial"/>
          <w:sz w:val="17"/>
          <w:szCs w:val="17"/>
          <w:i w:val="1"/>
          <w:iCs w:val="1"/>
          <w:color w:val="auto"/>
        </w:rPr>
        <w:t>Leases</w:t>
      </w:r>
      <w:r>
        <w:rPr>
          <w:rFonts w:ascii="Arial" w:cs="Arial" w:eastAsia="Arial" w:hAnsi="Arial"/>
          <w:sz w:val="17"/>
          <w:szCs w:val="17"/>
          <w:color w:val="auto"/>
        </w:rPr>
        <w:t>. See Note 5 "Leases" within the notes to our consolidated financial statements for information on our future lease payments and a reconciliation of those lease payments to our operating lease liabilities recorded on our consolidated balance sheet.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are based upon our consolidated financial statements, which have been prepared in accordance with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2018. There have been no material changes to our critical accounting policies during the first three months of 2019.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Refer to Note 3 “New Accounting Pronouncements” within the notes to the consolidated financial statements for information on new accounting pronouncements.</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Interest Rate Risk</w:t>
      </w:r>
    </w:p>
    <w:p>
      <w:pPr>
        <w:spacing w:after="0" w:line="17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value of our Convertible Notes is exposed to interest rate risk. Generally, the fair value of our fixed interest rate Convertible Notes will increase as interest rates fall and decrease as interest rates rise. In addition, the fair value of our Convertible Notes is affected by our stock price. The carrying value of our Convertible Notes was $245.1 million as of March 31, 2019, which represents the liability component of the $250.0 million principal balance. The estimated fair value of our Convertible Notes at March 31, 2019 was $246.2 million, and was determined based on the quoted bid price of the Convertible Notes in an over-the-counter market as of the last day of trading for the quarter ended March 31, 2019, which was $98.476 per $100 principal amount. At December 31, 2018, the carrying value of our Convertible Notes was $242.6 million, and the estimated fair value of our Convertible Notes was $242.9 million, which was determined based on the quoted bid price of the Convertible Notes in an over-the-counter market as of the last day of trading for the year ended December 31, 2018, which was $97.176 per $100 principal amount.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Concurrent with the issuance of the Convertible Notes, we entered into separate convertible note hedge and warrant transactions. The convertible note hedge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transactions are intended to reduce the potential future economic dilution associated with the conversion of the Convertible Notes and, combined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warrants, effectively raise the price at which economic dilution would occur from the initial conversion price of approximately $79.89 to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Under the convertible note hedge transactions, we have the option to purchase a total of approximately 3.1 million shares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which is the number of shares initially issuable upon conversion of the Convertible Notes in full, at a price of approximately $79.89, which corresponds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initial conversion price of the Convertible Notes, subject to customary anti-dilution adjustments substantially similar to those in the Convertible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warrant transactions, the holders of the warrants have the option to purchase a total of approximately 3.1 million shares of our common stock 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approximately $97.12. If the average market value per share of our common stock for the reporting period exceeds the strike price of the warrants,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warrants will have a dilutive effect on our earnings per share.</w:t>
      </w:r>
    </w:p>
    <w:p>
      <w:pPr>
        <w:spacing w:after="0" w:line="15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exposure to changes in interest rates associated with borrowings under our bank credit facility, which has variable interest rates tied to LIBOR or an alternate base rate, at our option. At March 31, 2019, we had borrowings outstanding under the credit facility totaling $76.0 million that carried a weighted average interest rate of 4.5%, including the impact of the interest rate swap described below. A hypothetical 100 basis point change in this interest rate would have a $0.3 million effect on our pretax income, on an annualized basis, including the effect of the interest rate swap. At December 31, 2018, we had borrowings outstanding under the credit facility totaling $50.0 million that carried a weighted average interest rate of 3.7% including the impact of the interest rate swap described below. As of December 31, 2018, these variable rate borrowings were fully hedged against changes in interest rates by the interest rate swap, which had a notional amount of $50.0 million. As our variable rate borrowings were fully hedged as of December 31, 2018, a change in the interest rate would have had no impact on our consolidated financial statements.</w:t>
      </w:r>
    </w:p>
    <w:p>
      <w:pPr>
        <w:spacing w:after="0" w:line="1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33"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also have exposure to changes in interest rates associated with the promissory note assumed on June 30, 2017 in connection with our purchase of an aircraft, which has variable interest rates tied to LIBOR. At March 31, 2019, the outstanding principal amount of the promissory note was $4.2</w:t>
      </w:r>
    </w:p>
    <w:p>
      <w:pPr>
        <w:sectPr>
          <w:pgSz w:w="11900" w:h="16838" w:orient="portrait"/>
          <w:cols w:equalWidth="0" w:num="1">
            <w:col w:w="11420"/>
          </w:cols>
          <w:pgMar w:left="240" w:top="125"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million and carried an interest rate of 4.5%. A hypothetical 100 basis point change in this interest rate would not have a material effect on our pretax income. At December 31, 2018, the outstanding principal amount of the promissory note was $4.4 million and carried an interest rate of 4.3%. A hypothetical 100 basis point change in the interest rate as of December 31, 2018 would not have had a material effect on our pretax income.</w:t>
      </w:r>
    </w:p>
    <w:p>
      <w:pPr>
        <w:spacing w:after="0" w:line="1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 non-interest bearing convertible debt investment in a privately-held company, which we account for as an available-for-sale debt security. As such, the investment is carried at fair value with unrealized holding gains and losses excluded from earnings and reported in other comprehensive income. As of March 31, 2019, the fair value of the investment was $54.0 million, with a total cost basis of $27.9 million. At December 31, 2018, the fair value of the investment was $50.4 million, with a total cost basis of $27.9 million.</w:t>
      </w:r>
    </w:p>
    <w:p>
      <w:pPr>
        <w:spacing w:after="0" w:line="29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March 31, 2019. Based on this evaluation, our Chief Executive Officer and Chief Financial Officer have concluded that, as of March 31, 2019,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March 31, 2019 that has materially affected, or is reasonably likely to materially affect, our internal control over financial reporting.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60"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Note 14 "Commitments, Contingencies and Guarantees" included in Part I, Item 1 of this Quarterly Report on Form 10-Q.</w:t>
      </w:r>
    </w:p>
    <w:p>
      <w:pPr>
        <w:spacing w:after="0" w:line="1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9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Part 1, Item 1A, “Risk Factors” in our Annual Report on Form 10-K for the fiscal year ended December 31, 2018, which was filed with the Securities and Exchange Commission on February 27, 2019, for a complete description of the material risks we face.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March 31, 2019, we reacquired 94,500 shares of common stock with a weighted average fair market value of $46.40 as a result of such tax withholdings.</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October 2014, our board of directors authorized a share repurchase program pursuant to which we may, from time to time, repurchase up to $125 million of our common stock, which expires on October 31, 2019 (the "Share Repurchase Program"). The amount and timing of the repurchases will be determined by management and will depend on a variety of factors, including the trading price of our common stock, capacity under our line of credit, general market and business conditions, and applicable legal requirements. The following table provides information with respect to purchases we made of our common stock during the quarter ended March 31, 2019.</w:t>
      </w:r>
    </w:p>
    <w:p>
      <w:pPr>
        <w:sectPr>
          <w:pgSz w:w="11900" w:h="16838" w:orient="portrait"/>
          <w:cols w:equalWidth="0" w:num="1">
            <w:col w:w="11400"/>
          </w:cols>
          <w:pgMar w:left="240" w:top="125" w:right="25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125" w:right="2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Dollar Value of Shares</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that may yet be</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Purchased under the</w:t>
            </w:r>
          </w:p>
        </w:tc>
      </w:tr>
      <w:tr>
        <w:trPr>
          <w:trHeight w:val="261"/>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xml:space="preserve">Shares Purchased </w:t>
            </w:r>
            <w:r>
              <w:rPr>
                <w:rFonts w:ascii="Arial" w:cs="Arial" w:eastAsia="Arial" w:hAnsi="Arial"/>
                <w:sz w:val="21"/>
                <w:szCs w:val="21"/>
                <w:b w:val="1"/>
                <w:bCs w:val="1"/>
                <w:color w:val="auto"/>
                <w:w w:val="87"/>
                <w:vertAlign w:val="superscript"/>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Paid per Share</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 xml:space="preserve">Plans or Programs </w:t>
            </w:r>
            <w:r>
              <w:rPr>
                <w:rFonts w:ascii="Arial" w:cs="Arial" w:eastAsia="Arial" w:hAnsi="Arial"/>
                <w:sz w:val="21"/>
                <w:szCs w:val="21"/>
                <w:b w:val="1"/>
                <w:bCs w:val="1"/>
                <w:color w:val="auto"/>
                <w:w w:val="87"/>
                <w:vertAlign w:val="superscript"/>
              </w:rPr>
              <w:t>(2)</w:t>
            </w: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2019 - January 31, 2019</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51.31</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February 1, 2019 - February 28, 2019</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35,143,546</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2019 - March 31, 2019</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86,755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45.96</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5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94,500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40" w:lineRule="exact"/>
        <w:rPr>
          <w:sz w:val="20"/>
          <w:szCs w:val="20"/>
          <w:color w:val="auto"/>
        </w:rPr>
      </w:pPr>
    </w:p>
    <w:p>
      <w:pPr>
        <w:ind w:left="980" w:right="440" w:hanging="972"/>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shares repurchased for each period represents shares to satisfy employee tax withholding requirements. These shares do not reduce the repurchase authority under the Share Repurchase Program.</w:t>
      </w:r>
    </w:p>
    <w:p>
      <w:pPr>
        <w:spacing w:after="0" w:line="8" w:lineRule="exact"/>
        <w:rPr>
          <w:rFonts w:ascii="Arial" w:cs="Arial" w:eastAsia="Arial" w:hAnsi="Arial"/>
          <w:sz w:val="18"/>
          <w:szCs w:val="18"/>
          <w:color w:val="auto"/>
        </w:rPr>
      </w:pPr>
    </w:p>
    <w:p>
      <w:pPr>
        <w:ind w:left="980" w:hanging="972"/>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Incorporated by Reference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20" w:type="dxa"/>
            <w:vAlign w:val="bottom"/>
            <w:gridSpan w:val="6"/>
            <w:vMerge w:val="restart"/>
          </w:tcPr>
          <w:p>
            <w:pPr>
              <w:ind w:left="56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Filed</w:t>
            </w:r>
          </w:p>
        </w:tc>
        <w:tc>
          <w:tcPr>
            <w:tcW w:w="10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Furnished</w:t>
            </w: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3"/>
                <w:szCs w:val="13"/>
                <w:color w:val="auto"/>
              </w:rPr>
            </w:pPr>
          </w:p>
        </w:tc>
        <w:tc>
          <w:tcPr>
            <w:tcW w:w="7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Period</w:t>
            </w: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92"/>
        </w:trPr>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89"/>
        </w:trPr>
        <w:tc>
          <w:tcPr>
            <w:tcW w:w="660" w:type="dxa"/>
            <w:vAlign w:val="bottom"/>
          </w:tcPr>
          <w:p>
            <w:pPr>
              <w:ind w:left="4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80" w:type="dxa"/>
            <w:vAlign w:val="bottom"/>
            <w:gridSpan w:val="9"/>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Certification of the Chief Executive Officer, pursuant to Rule 13a-</w:t>
              </w:r>
            </w:hyperlink>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gridSpan w:val="9"/>
          </w:tcPr>
          <w:p>
            <w:pPr>
              <w:spacing w:after="0" w:line="183" w:lineRule="exact"/>
              <w:rPr>
                <w:rFonts w:ascii="Arial" w:cs="Arial" w:eastAsia="Arial" w:hAnsi="Arial"/>
                <w:sz w:val="16"/>
                <w:szCs w:val="16"/>
                <w:color w:val="0000FF"/>
              </w:rPr>
            </w:pPr>
            <w:hyperlink w:anchor="page43">
              <w:r>
                <w:rPr>
                  <w:rFonts w:ascii="Arial" w:cs="Arial" w:eastAsia="Arial" w:hAnsi="Arial"/>
                  <w:sz w:val="16"/>
                  <w:szCs w:val="16"/>
                  <w:color w:val="0000FF"/>
                </w:rPr>
                <w:t>14(a)/15d-14(a), as adopted pursuant to Section 302 of the Sarbanes-</w:t>
              </w:r>
            </w:hyperlink>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4"/>
              </w:rPr>
            </w:pPr>
            <w:hyperlink w:anchor="page43">
              <w:r>
                <w:rPr>
                  <w:rFonts w:ascii="Arial" w:cs="Arial" w:eastAsia="Arial" w:hAnsi="Arial"/>
                  <w:sz w:val="16"/>
                  <w:szCs w:val="16"/>
                  <w:color w:val="0000FF"/>
                  <w:w w:val="94"/>
                </w:rPr>
                <w:t>Oxley Act of 2002.</w:t>
              </w:r>
            </w:hyperlink>
          </w:p>
        </w:tc>
        <w:tc>
          <w:tcPr>
            <w:tcW w:w="3200" w:type="dxa"/>
            <w:vAlign w:val="bottom"/>
            <w:tcBorders>
              <w:top w:val="single" w:sz="8" w:color="0000FF"/>
            </w:tcBorders>
            <w:gridSpan w:val="2"/>
          </w:tcPr>
          <w:p>
            <w:pPr>
              <w:spacing w:after="0"/>
              <w:rPr>
                <w:sz w:val="15"/>
                <w:szCs w:val="15"/>
                <w:color w:val="auto"/>
              </w:rPr>
            </w:pPr>
          </w:p>
        </w:tc>
        <w:tc>
          <w:tcPr>
            <w:tcW w:w="520" w:type="dxa"/>
            <w:vAlign w:val="bottom"/>
            <w:gridSpan w:val="5"/>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9"/>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Certification of the Chief Financial Officer, pursuant to Rule 13a-</w:t>
              </w:r>
            </w:hyperlink>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gridSpan w:val="9"/>
          </w:tcPr>
          <w:p>
            <w:pPr>
              <w:spacing w:after="0" w:line="183" w:lineRule="exact"/>
              <w:rPr>
                <w:rFonts w:ascii="Arial" w:cs="Arial" w:eastAsia="Arial" w:hAnsi="Arial"/>
                <w:sz w:val="16"/>
                <w:szCs w:val="16"/>
                <w:color w:val="0000FF"/>
              </w:rPr>
            </w:pPr>
            <w:hyperlink w:anchor="page44">
              <w:r>
                <w:rPr>
                  <w:rFonts w:ascii="Arial" w:cs="Arial" w:eastAsia="Arial" w:hAnsi="Arial"/>
                  <w:sz w:val="16"/>
                  <w:szCs w:val="16"/>
                  <w:color w:val="0000FF"/>
                </w:rPr>
                <w:t>14(a)/15d-14(a), as adopted pursuant to Section 302 of the Sarbanes-</w:t>
              </w:r>
            </w:hyperlink>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4"/>
              </w:rPr>
            </w:pPr>
            <w:hyperlink w:anchor="page44">
              <w:r>
                <w:rPr>
                  <w:rFonts w:ascii="Arial" w:cs="Arial" w:eastAsia="Arial" w:hAnsi="Arial"/>
                  <w:sz w:val="16"/>
                  <w:szCs w:val="16"/>
                  <w:color w:val="0000FF"/>
                  <w:w w:val="94"/>
                </w:rPr>
                <w:t>Oxley Act of 2002.</w:t>
              </w:r>
            </w:hyperlink>
          </w:p>
        </w:tc>
        <w:tc>
          <w:tcPr>
            <w:tcW w:w="3200" w:type="dxa"/>
            <w:vAlign w:val="bottom"/>
            <w:tcBorders>
              <w:top w:val="single" w:sz="8" w:color="0000FF"/>
            </w:tcBorders>
            <w:gridSpan w:val="2"/>
          </w:tcPr>
          <w:p>
            <w:pPr>
              <w:spacing w:after="0"/>
              <w:rPr>
                <w:sz w:val="15"/>
                <w:szCs w:val="15"/>
                <w:color w:val="auto"/>
              </w:rPr>
            </w:pPr>
          </w:p>
        </w:tc>
        <w:tc>
          <w:tcPr>
            <w:tcW w:w="520" w:type="dxa"/>
            <w:vAlign w:val="bottom"/>
            <w:gridSpan w:val="5"/>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tcBorders>
              <w:bottom w:val="single" w:sz="8" w:color="0000FF"/>
            </w:tcBorders>
            <w:gridSpan w:val="7"/>
          </w:tcPr>
          <w:p>
            <w:pPr>
              <w:spacing w:after="0"/>
              <w:rPr>
                <w:rFonts w:ascii="Arial" w:cs="Arial" w:eastAsia="Arial" w:hAnsi="Arial"/>
                <w:sz w:val="16"/>
                <w:szCs w:val="16"/>
                <w:color w:val="0000FF"/>
                <w:w w:val="93"/>
              </w:rPr>
            </w:pPr>
            <w:hyperlink w:anchor="page45">
              <w:r>
                <w:rPr>
                  <w:rFonts w:ascii="Arial" w:cs="Arial" w:eastAsia="Arial" w:hAnsi="Arial"/>
                  <w:sz w:val="16"/>
                  <w:szCs w:val="16"/>
                  <w:color w:val="0000FF"/>
                  <w:w w:val="93"/>
                </w:rPr>
                <w:t>Certification of the Chief Executive Officer, pursuant to 18 U.S.C. Section</w:t>
              </w:r>
            </w:hyperlink>
          </w:p>
        </w:tc>
        <w:tc>
          <w:tcPr>
            <w:tcW w:w="14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bottom w:val="single" w:sz="8" w:color="0000FF"/>
            </w:tcBorders>
            <w:gridSpan w:val="5"/>
          </w:tcPr>
          <w:p>
            <w:pPr>
              <w:spacing w:after="0" w:line="183" w:lineRule="exact"/>
              <w:rPr>
                <w:rFonts w:ascii="Arial" w:cs="Arial" w:eastAsia="Arial" w:hAnsi="Arial"/>
                <w:sz w:val="16"/>
                <w:szCs w:val="16"/>
                <w:color w:val="0000FF"/>
                <w:w w:val="90"/>
              </w:rPr>
            </w:pPr>
            <w:hyperlink w:anchor="page45">
              <w:r>
                <w:rPr>
                  <w:rFonts w:ascii="Arial" w:cs="Arial" w:eastAsia="Arial" w:hAnsi="Arial"/>
                  <w:sz w:val="16"/>
                  <w:szCs w:val="16"/>
                  <w:color w:val="0000FF"/>
                  <w:w w:val="90"/>
                </w:rPr>
                <w:t>1350, as adopted pursuant to Section 906 of the Sarbanes-Oxley Act of</w:t>
              </w:r>
            </w:hyperlink>
          </w:p>
        </w:tc>
        <w:tc>
          <w:tcPr>
            <w:tcW w:w="360" w:type="dxa"/>
            <w:vAlign w:val="bottom"/>
            <w:gridSpan w:val="4"/>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0000FF"/>
            </w:tcBorders>
          </w:tcPr>
          <w:p>
            <w:pPr>
              <w:spacing w:after="0" w:line="183" w:lineRule="exact"/>
              <w:rPr>
                <w:rFonts w:ascii="Arial" w:cs="Arial" w:eastAsia="Arial" w:hAnsi="Arial"/>
                <w:sz w:val="16"/>
                <w:szCs w:val="16"/>
                <w:color w:val="0000FF"/>
                <w:w w:val="84"/>
              </w:rPr>
            </w:pPr>
            <w:hyperlink w:anchor="page45">
              <w:r>
                <w:rPr>
                  <w:rFonts w:ascii="Arial" w:cs="Arial" w:eastAsia="Arial" w:hAnsi="Arial"/>
                  <w:sz w:val="16"/>
                  <w:szCs w:val="16"/>
                  <w:color w:val="0000FF"/>
                  <w:w w:val="84"/>
                </w:rPr>
                <w:t>2002.</w:t>
              </w:r>
            </w:hyperlink>
          </w:p>
        </w:tc>
        <w:tc>
          <w:tcPr>
            <w:tcW w:w="9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tcBorders>
              <w:bottom w:val="single" w:sz="8" w:color="0000FF"/>
            </w:tcBorders>
            <w:gridSpan w:val="6"/>
          </w:tcPr>
          <w:p>
            <w:pPr>
              <w:spacing w:after="0"/>
              <w:rPr>
                <w:rFonts w:ascii="Arial" w:cs="Arial" w:eastAsia="Arial" w:hAnsi="Arial"/>
                <w:sz w:val="16"/>
                <w:szCs w:val="16"/>
                <w:color w:val="0000FF"/>
                <w:w w:val="93"/>
              </w:rPr>
            </w:pPr>
            <w:hyperlink w:anchor="page46">
              <w:r>
                <w:rPr>
                  <w:rFonts w:ascii="Arial" w:cs="Arial" w:eastAsia="Arial" w:hAnsi="Arial"/>
                  <w:sz w:val="16"/>
                  <w:szCs w:val="16"/>
                  <w:color w:val="0000FF"/>
                  <w:w w:val="93"/>
                </w:rPr>
                <w:t>Certification of the Chief Financial Officer, pursuant to 18 U.S.C. Section</w:t>
              </w:r>
            </w:hyperlink>
          </w:p>
        </w:tc>
        <w:tc>
          <w:tcPr>
            <w:tcW w:w="180" w:type="dxa"/>
            <w:vAlign w:val="bottom"/>
            <w:gridSpan w:val="3"/>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bottom w:val="single" w:sz="8" w:color="0000FF"/>
            </w:tcBorders>
            <w:gridSpan w:val="5"/>
          </w:tcPr>
          <w:p>
            <w:pPr>
              <w:spacing w:after="0" w:line="183" w:lineRule="exact"/>
              <w:rPr>
                <w:rFonts w:ascii="Arial" w:cs="Arial" w:eastAsia="Arial" w:hAnsi="Arial"/>
                <w:sz w:val="16"/>
                <w:szCs w:val="16"/>
                <w:color w:val="0000FF"/>
                <w:w w:val="90"/>
              </w:rPr>
            </w:pPr>
            <w:hyperlink w:anchor="page46">
              <w:r>
                <w:rPr>
                  <w:rFonts w:ascii="Arial" w:cs="Arial" w:eastAsia="Arial" w:hAnsi="Arial"/>
                  <w:sz w:val="16"/>
                  <w:szCs w:val="16"/>
                  <w:color w:val="0000FF"/>
                  <w:w w:val="90"/>
                </w:rPr>
                <w:t>1350, as adopted pursuant to Section 906 of the Sarbanes-Oxley Act of</w:t>
              </w:r>
            </w:hyperlink>
          </w:p>
        </w:tc>
        <w:tc>
          <w:tcPr>
            <w:tcW w:w="360" w:type="dxa"/>
            <w:vAlign w:val="bottom"/>
            <w:gridSpan w:val="4"/>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0000FF"/>
            </w:tcBorders>
          </w:tcPr>
          <w:p>
            <w:pPr>
              <w:spacing w:after="0" w:line="183" w:lineRule="exact"/>
              <w:rPr>
                <w:rFonts w:ascii="Arial" w:cs="Arial" w:eastAsia="Arial" w:hAnsi="Arial"/>
                <w:sz w:val="16"/>
                <w:szCs w:val="16"/>
                <w:color w:val="0000FF"/>
                <w:w w:val="84"/>
              </w:rPr>
            </w:pPr>
            <w:hyperlink w:anchor="page46">
              <w:r>
                <w:rPr>
                  <w:rFonts w:ascii="Arial" w:cs="Arial" w:eastAsia="Arial" w:hAnsi="Arial"/>
                  <w:sz w:val="16"/>
                  <w:szCs w:val="16"/>
                  <w:color w:val="0000FF"/>
                  <w:w w:val="84"/>
                </w:rPr>
                <w:t>2002.</w:t>
              </w:r>
            </w:hyperlink>
          </w:p>
        </w:tc>
        <w:tc>
          <w:tcPr>
            <w:tcW w:w="9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23"/>
                <w:szCs w:val="23"/>
                <w:color w:val="auto"/>
              </w:rPr>
            </w:pPr>
          </w:p>
        </w:tc>
        <w:tc>
          <w:tcPr>
            <w:tcW w:w="4980" w:type="dxa"/>
            <w:vAlign w:val="bottom"/>
            <w:gridSpan w:val="9"/>
          </w:tcPr>
          <w:p>
            <w:pPr>
              <w:spacing w:after="0"/>
              <w:rPr>
                <w:sz w:val="20"/>
                <w:szCs w:val="20"/>
                <w:color w:val="auto"/>
              </w:rPr>
            </w:pPr>
            <w:r>
              <w:rPr>
                <w:rFonts w:ascii="Arial" w:cs="Arial" w:eastAsia="Arial" w:hAnsi="Arial"/>
                <w:sz w:val="16"/>
                <w:szCs w:val="16"/>
                <w:color w:val="auto"/>
              </w:rPr>
              <w:t>XBRL Instance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3"/>
                <w:szCs w:val="23"/>
                <w:color w:val="auto"/>
              </w:rPr>
            </w:pPr>
          </w:p>
        </w:tc>
        <w:tc>
          <w:tcPr>
            <w:tcW w:w="4980" w:type="dxa"/>
            <w:vAlign w:val="bottom"/>
            <w:gridSpan w:val="9"/>
          </w:tcPr>
          <w:p>
            <w:pPr>
              <w:spacing w:after="0"/>
              <w:rPr>
                <w:sz w:val="20"/>
                <w:szCs w:val="20"/>
                <w:color w:val="auto"/>
              </w:rPr>
            </w:pPr>
            <w:r>
              <w:rPr>
                <w:rFonts w:ascii="Arial" w:cs="Arial" w:eastAsia="Arial" w:hAnsi="Arial"/>
                <w:sz w:val="16"/>
                <w:szCs w:val="16"/>
                <w:color w:val="auto"/>
              </w:rPr>
              <w:t>XBRL Taxonomy Extension Schema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23"/>
                <w:szCs w:val="23"/>
                <w:color w:val="auto"/>
              </w:rPr>
            </w:pPr>
          </w:p>
        </w:tc>
        <w:tc>
          <w:tcPr>
            <w:tcW w:w="4980" w:type="dxa"/>
            <w:vAlign w:val="bottom"/>
            <w:gridSpan w:val="9"/>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3"/>
                <w:szCs w:val="23"/>
                <w:color w:val="auto"/>
              </w:rPr>
            </w:pPr>
          </w:p>
        </w:tc>
        <w:tc>
          <w:tcPr>
            <w:tcW w:w="4980" w:type="dxa"/>
            <w:vAlign w:val="bottom"/>
            <w:gridSpan w:val="9"/>
          </w:tcPr>
          <w:p>
            <w:pPr>
              <w:spacing w:after="0"/>
              <w:rPr>
                <w:sz w:val="20"/>
                <w:szCs w:val="20"/>
                <w:color w:val="auto"/>
              </w:rPr>
            </w:pPr>
            <w:r>
              <w:rPr>
                <w:rFonts w:ascii="Arial" w:cs="Arial" w:eastAsia="Arial" w:hAnsi="Arial"/>
                <w:sz w:val="16"/>
                <w:szCs w:val="16"/>
                <w:color w:val="auto"/>
              </w:rPr>
              <w:t>XBRL Taxonomy Extension Label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3"/>
                <w:szCs w:val="23"/>
                <w:color w:val="auto"/>
              </w:rPr>
            </w:pPr>
          </w:p>
        </w:tc>
        <w:tc>
          <w:tcPr>
            <w:tcW w:w="4980" w:type="dxa"/>
            <w:vAlign w:val="bottom"/>
            <w:gridSpan w:val="9"/>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23"/>
                <w:szCs w:val="23"/>
                <w:color w:val="auto"/>
              </w:rPr>
            </w:pPr>
          </w:p>
        </w:tc>
        <w:tc>
          <w:tcPr>
            <w:tcW w:w="4980" w:type="dxa"/>
            <w:vAlign w:val="bottom"/>
            <w:gridSpan w:val="9"/>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1240" w:val="left"/>
          <w:tab w:leader="none" w:pos="8040" w:val="left"/>
          <w:tab w:leader="none" w:pos="8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2019</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31750</wp:posOffset>
            </wp:positionV>
            <wp:extent cx="15265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57"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125"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1560" w:val="left"/>
          <w:tab w:leader="none" w:pos="7120" w:val="left"/>
          <w:tab w:leader="none" w:pos="8600" w:val="left"/>
          <w:tab w:leader="none" w:pos="8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560" w:val="left"/>
          <w:tab w:leader="none" w:pos="7120" w:val="left"/>
          <w:tab w:leader="none" w:pos="8620" w:val="left"/>
          <w:tab w:leader="none" w:pos="9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D.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26"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March 31, 2019 as filed with the Securities and Exchange Commission on the date hereof (the “Report”), I, James H. Roth, Chief Executive Officer of the Company, hereby certify, pursuant to 18 U.S.C. Section 1350, as adopted pursuant to Section 906 of the Sarbanes-Oxley Act of 2002, that:</w:t>
      </w:r>
    </w:p>
    <w:p>
      <w:pPr>
        <w:spacing w:after="0" w:line="127"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560" w:val="left"/>
          <w:tab w:leader="none" w:pos="7120" w:val="left"/>
          <w:tab w:leader="none" w:pos="870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H. R</w:t>
      </w:r>
      <w:r>
        <w:rPr>
          <w:rFonts w:ascii="Arial" w:cs="Arial" w:eastAsia="Arial" w:hAnsi="Arial"/>
          <w:sz w:val="13"/>
          <w:szCs w:val="13"/>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26"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In connection with the Quarterly Report of Huron Consulting Group Inc. (the “Company”) on Form 10-Q for the quarter ended March 31, 2019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93"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560" w:val="left"/>
          <w:tab w:leader="none" w:pos="7120" w:val="left"/>
          <w:tab w:leader="none" w:pos="8720" w:val="left"/>
          <w:tab w:leader="none" w:pos="9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pacing w:after="0" w:line="184"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lowerRoman"/>
      <w:start w:val="2"/>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lowerRoman"/>
      <w:start w:val="2"/>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2019-12-28T13:40:39Z</dcterms:created>
  <dcterms:modified xsi:type="dcterms:W3CDTF">2019-12-28T13:40:39Z</dcterms:modified>
</cp:coreProperties>
</file>