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497205</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2, 2014</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of Stockholders of Huron Consulting Group Inc. (the “Company”) will be held at the Company’s corporate headquarters located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550 West Van Buren Street, Chicago, Illinois 60607 on May 2, 2014, at 11:00 a.m. Central Daylight Savings Time, for the following purposes:</w:t>
      </w:r>
    </w:p>
    <w:p>
      <w:pPr>
        <w:spacing w:after="0" w:line="84" w:lineRule="exact"/>
        <w:rPr>
          <w:sz w:val="20"/>
          <w:szCs w:val="20"/>
          <w:color w:val="auto"/>
        </w:rPr>
      </w:pPr>
    </w:p>
    <w:p>
      <w:pPr>
        <w:ind w:left="1080" w:hanging="177"/>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to the board of directors the two persons nominated by the board of directors to serve as Class I Directors;</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approve an amendment to the Company’s 2012 Omnibus Incentive Plan to increase the number of shares authorized for issuance under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84" w:lineRule="exact"/>
        <w:rPr>
          <w:sz w:val="20"/>
          <w:szCs w:val="20"/>
          <w:color w:val="auto"/>
        </w:rPr>
      </w:pPr>
    </w:p>
    <w:p>
      <w:pPr>
        <w:ind w:left="1080" w:hanging="177"/>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2014; and</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4, 2014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3141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1410" cy="848995"/>
                    </a:xfrm>
                    <a:prstGeom prst="rect">
                      <a:avLst/>
                    </a:prstGeom>
                    <a:noFill/>
                  </pic:spPr>
                </pic:pic>
              </a:graphicData>
            </a:graphic>
          </wp:anchor>
        </w:drawing>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Held on May 2, 2014</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Diane E. Ratekin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Corporate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2014</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19"/>
                <w:szCs w:val="19"/>
                <w:color w:val="auto"/>
              </w:rPr>
            </w:pPr>
          </w:p>
        </w:tc>
      </w:tr>
      <w:tr>
        <w:trPr>
          <w:trHeight w:val="380"/>
        </w:trPr>
        <w:tc>
          <w:tcPr>
            <w:tcW w:w="10380" w:type="dxa"/>
            <w:vAlign w:val="bottom"/>
            <w:gridSpan w:val="4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2"/>
          </w:tcPr>
          <w:p>
            <w:pPr>
              <w:spacing w:after="0"/>
              <w:rPr>
                <w:sz w:val="24"/>
                <w:szCs w:val="24"/>
                <w:color w:val="auto"/>
              </w:rPr>
            </w:pPr>
          </w:p>
        </w:tc>
        <w:tc>
          <w:tcPr>
            <w:tcW w:w="644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36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1—ELECTION OF DIRECTORS</w:t>
              </w:r>
            </w:hyperlink>
          </w:p>
        </w:tc>
        <w:tc>
          <w:tcPr>
            <w:tcW w:w="702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Board of Directors</w:t>
              </w:r>
            </w:hyperlink>
          </w:p>
        </w:tc>
        <w:tc>
          <w:tcPr>
            <w:tcW w:w="8620" w:type="dxa"/>
            <w:vAlign w:val="bottom"/>
            <w:gridSpan w:val="3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Nominees to Board of Directors</w:t>
              </w:r>
            </w:hyperlink>
          </w:p>
        </w:tc>
        <w:tc>
          <w:tcPr>
            <w:tcW w:w="7680" w:type="dxa"/>
            <w:vAlign w:val="bottom"/>
            <w:gridSpan w:val="2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Directors Not Standing for Election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6"/>
          </w:tcPr>
          <w:p>
            <w:pPr>
              <w:spacing w:after="0"/>
              <w:rPr>
                <w:sz w:val="17"/>
                <w:szCs w:val="17"/>
                <w:color w:val="auto"/>
              </w:rPr>
            </w:pPr>
          </w:p>
        </w:tc>
        <w:tc>
          <w:tcPr>
            <w:tcW w:w="7440" w:type="dxa"/>
            <w:vAlign w:val="bottom"/>
            <w:gridSpan w:val="2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Independence</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Board Leadership Structure and Risk Oversight</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Board Meetings and Committees</w:t>
              </w:r>
            </w:hyperlink>
          </w:p>
        </w:tc>
        <w:tc>
          <w:tcPr>
            <w:tcW w:w="1020" w:type="dxa"/>
            <w:vAlign w:val="bottom"/>
            <w:tcBorders>
              <w:top w:val="single" w:sz="8" w:color="0000EE"/>
            </w:tcBorders>
            <w:gridSpan w:val="13"/>
          </w:tcPr>
          <w:p>
            <w:pPr>
              <w:spacing w:after="0"/>
              <w:rPr>
                <w:sz w:val="17"/>
                <w:szCs w:val="17"/>
                <w:color w:val="auto"/>
              </w:rPr>
            </w:pPr>
          </w:p>
        </w:tc>
        <w:tc>
          <w:tcPr>
            <w:tcW w:w="6600" w:type="dxa"/>
            <w:vAlign w:val="bottom"/>
            <w:gridSpan w:val="1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Stockholder Communications Policy</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Diversity of Board Skills and Experience</w:t>
              </w:r>
            </w:hyperlink>
          </w:p>
        </w:tc>
        <w:tc>
          <w:tcPr>
            <w:tcW w:w="7040" w:type="dxa"/>
            <w:vAlign w:val="bottom"/>
            <w:gridSpan w:val="1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Compensation of Directors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Director Compensation Table</w:t>
              </w:r>
            </w:hyperlink>
          </w:p>
        </w:tc>
        <w:tc>
          <w:tcPr>
            <w:tcW w:w="7860" w:type="dxa"/>
            <w:vAlign w:val="bottom"/>
            <w:gridSpan w:val="2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Section 16(a) Beneficial Ownership Reporting Compliance</w:t>
              </w:r>
            </w:hyperlink>
          </w:p>
        </w:tc>
        <w:tc>
          <w:tcPr>
            <w:tcW w:w="578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Stock Ownership of Certain Beneficial Owners and Management</w:t>
              </w:r>
            </w:hyperlink>
          </w:p>
        </w:tc>
        <w:tc>
          <w:tcPr>
            <w:tcW w:w="536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304"/>
        </w:trPr>
        <w:tc>
          <w:tcPr>
            <w:tcW w:w="240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EXECUTIVE COMPENSATION</w:t>
              </w:r>
            </w:hyperlink>
          </w:p>
        </w:tc>
        <w:tc>
          <w:tcPr>
            <w:tcW w:w="7980" w:type="dxa"/>
            <w:vAlign w:val="bottom"/>
            <w:gridSpan w:val="2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40" w:type="dxa"/>
            <w:vAlign w:val="bottom"/>
            <w:gridSpan w:val="4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2013 Summary Compensation Table</w:t>
              </w:r>
            </w:hyperlink>
          </w:p>
        </w:tc>
        <w:tc>
          <w:tcPr>
            <w:tcW w:w="716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2013 Grants of Plan-Based Awards</w:t>
              </w:r>
            </w:hyperlink>
          </w:p>
        </w:tc>
        <w:tc>
          <w:tcPr>
            <w:tcW w:w="100" w:type="dxa"/>
            <w:vAlign w:val="bottom"/>
            <w:tcBorders>
              <w:top w:val="single" w:sz="8" w:color="0000EE"/>
            </w:tcBorders>
            <w:gridSpan w:val="2"/>
          </w:tcPr>
          <w:p>
            <w:pPr>
              <w:spacing w:after="0"/>
              <w:rPr>
                <w:sz w:val="17"/>
                <w:szCs w:val="17"/>
                <w:color w:val="auto"/>
              </w:rPr>
            </w:pPr>
          </w:p>
        </w:tc>
        <w:tc>
          <w:tcPr>
            <w:tcW w:w="7360" w:type="dxa"/>
            <w:vAlign w:val="bottom"/>
            <w:gridSpan w:val="1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Employment and Severance Agreements</w:t>
              </w:r>
            </w:hyperlink>
          </w:p>
        </w:tc>
        <w:tc>
          <w:tcPr>
            <w:tcW w:w="706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8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2013 Outstanding Equity Awards at Fiscal Year-End</w:t>
              </w:r>
            </w:hyperlink>
          </w:p>
        </w:tc>
        <w:tc>
          <w:tcPr>
            <w:tcW w:w="6260" w:type="dxa"/>
            <w:vAlign w:val="bottom"/>
            <w:gridSpan w:val="9"/>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EE"/>
            </w:tcBorders>
            <w:gridSpan w:val="23"/>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2013 Option Exercises and Stock Vested</w:t>
              </w:r>
            </w:hyperlink>
          </w:p>
        </w:tc>
        <w:tc>
          <w:tcPr>
            <w:tcW w:w="7080" w:type="dxa"/>
            <w:vAlign w:val="bottom"/>
            <w:gridSpan w:val="1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2013 Nonqualified Deferred Compensation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Potential Payments upon Termination or Change of Control</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Compensation Committee Report</w:t>
              </w:r>
            </w:hyperlink>
          </w:p>
        </w:tc>
        <w:tc>
          <w:tcPr>
            <w:tcW w:w="5760" w:type="dxa"/>
            <w:vAlign w:val="bottom"/>
            <w:gridSpan w:val="7"/>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34"/>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Compensation Committee Interlocks and Insider Participation</w:t>
              </w:r>
            </w:hyperlink>
          </w:p>
        </w:tc>
        <w:tc>
          <w:tcPr>
            <w:tcW w:w="558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Certain Relationships and Related Transactions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10380" w:type="dxa"/>
            <w:vAlign w:val="bottom"/>
            <w:tcBorders>
              <w:bottom w:val="single" w:sz="8" w:color="0000EE"/>
            </w:tcBorders>
            <w:gridSpan w:val="42"/>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PROPOSAL 2—APPROVAL OF AN AMENDMENT TO THE HURON CONSULTING GROUP INC. 2012 OMNIBUS INCENTIVE PLAN TO</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220" w:type="dxa"/>
            <w:vAlign w:val="bottom"/>
          </w:tcPr>
          <w:p>
            <w:pPr>
              <w:spacing w:after="0"/>
              <w:rPr>
                <w:sz w:val="17"/>
                <w:szCs w:val="17"/>
                <w:color w:val="auto"/>
              </w:rPr>
            </w:pPr>
          </w:p>
        </w:tc>
        <w:tc>
          <w:tcPr>
            <w:tcW w:w="10160" w:type="dxa"/>
            <w:vAlign w:val="bottom"/>
            <w:gridSpan w:val="4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INCREASE THE NUMBER OF SHARES AUTHORIZED FOR ISSUANCE UNDER THE PLAN</w:t>
              </w:r>
            </w:hyperlink>
          </w:p>
        </w:tc>
        <w:tc>
          <w:tcPr>
            <w:tcW w:w="940" w:type="dxa"/>
            <w:vAlign w:val="bottom"/>
          </w:tcPr>
          <w:p>
            <w:pPr>
              <w:spacing w:after="0"/>
              <w:rPr>
                <w:sz w:val="17"/>
                <w:szCs w:val="17"/>
                <w:color w:val="auto"/>
              </w:rPr>
            </w:pPr>
          </w:p>
        </w:tc>
      </w:tr>
      <w:tr>
        <w:trPr>
          <w:trHeight w:val="304"/>
        </w:trPr>
        <w:tc>
          <w:tcPr>
            <w:tcW w:w="2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Background</w:t>
              </w:r>
            </w:hyperlink>
          </w:p>
        </w:tc>
        <w:tc>
          <w:tcPr>
            <w:tcW w:w="5940" w:type="dxa"/>
            <w:vAlign w:val="bottom"/>
            <w:tcBorders>
              <w:top w:val="single" w:sz="8" w:color="0000EE"/>
            </w:tcBorders>
            <w:gridSpan w:val="36"/>
          </w:tcPr>
          <w:p>
            <w:pPr>
              <w:spacing w:after="0"/>
              <w:rPr>
                <w:sz w:val="24"/>
                <w:szCs w:val="24"/>
                <w:color w:val="auto"/>
              </w:rPr>
            </w:pPr>
          </w:p>
        </w:tc>
        <w:tc>
          <w:tcPr>
            <w:tcW w:w="314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Reasons for the Proposal</w:t>
              </w:r>
            </w:hyperlink>
          </w:p>
        </w:tc>
        <w:tc>
          <w:tcPr>
            <w:tcW w:w="8180" w:type="dxa"/>
            <w:vAlign w:val="bottom"/>
            <w:gridSpan w:val="30"/>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Burn Rate Commitment</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Approval Required</w:t>
              </w:r>
            </w:hyperlink>
          </w:p>
        </w:tc>
        <w:tc>
          <w:tcPr>
            <w:tcW w:w="320" w:type="dxa"/>
            <w:vAlign w:val="bottom"/>
            <w:tcBorders>
              <w:top w:val="single" w:sz="8" w:color="0000EE"/>
            </w:tcBorders>
            <w:gridSpan w:val="4"/>
          </w:tcPr>
          <w:p>
            <w:pPr>
              <w:spacing w:after="0"/>
              <w:rPr>
                <w:sz w:val="17"/>
                <w:szCs w:val="17"/>
                <w:color w:val="auto"/>
              </w:rPr>
            </w:pPr>
          </w:p>
        </w:tc>
        <w:tc>
          <w:tcPr>
            <w:tcW w:w="8260" w:type="dxa"/>
            <w:vAlign w:val="bottom"/>
            <w:gridSpan w:val="3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the Plan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Performance Criteria</w:t>
              </w:r>
            </w:hyperlink>
          </w:p>
        </w:tc>
        <w:tc>
          <w:tcPr>
            <w:tcW w:w="140" w:type="dxa"/>
            <w:vAlign w:val="bottom"/>
            <w:tcBorders>
              <w:top w:val="single" w:sz="8" w:color="0000EE"/>
            </w:tcBorders>
            <w:gridSpan w:val="2"/>
          </w:tcPr>
          <w:p>
            <w:pPr>
              <w:spacing w:after="0"/>
              <w:rPr>
                <w:sz w:val="17"/>
                <w:szCs w:val="17"/>
                <w:color w:val="auto"/>
              </w:rPr>
            </w:pPr>
          </w:p>
        </w:tc>
        <w:tc>
          <w:tcPr>
            <w:tcW w:w="8320" w:type="dxa"/>
            <w:vAlign w:val="bottom"/>
            <w:gridSpan w:val="3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Tax Consequences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10380" w:type="dxa"/>
            <w:vAlign w:val="bottom"/>
            <w:gridSpan w:val="4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PROPOSAL 3—ADVISORY VOTE ON 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440" w:type="dxa"/>
            <w:vAlign w:val="bottom"/>
            <w:gridSpan w:val="4"/>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04"/>
        </w:trPr>
        <w:tc>
          <w:tcPr>
            <w:tcW w:w="10380" w:type="dxa"/>
            <w:vAlign w:val="bottom"/>
            <w:gridSpan w:val="4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PROPOSAL 4—RATIFICATION OF APPOINTMENT OF INDEPENDENT REGISTERED PUBLIC ACCOUNTING FIRM</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500" w:type="dxa"/>
            <w:vAlign w:val="bottom"/>
            <w:tcBorders>
              <w:top w:val="single" w:sz="8" w:color="0000EE"/>
            </w:tcBorders>
            <w:gridSpan w:val="3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Audit and Non-Audit Fees</w:t>
              </w:r>
            </w:hyperlink>
          </w:p>
        </w:tc>
        <w:tc>
          <w:tcPr>
            <w:tcW w:w="144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gridSpan w:val="4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Policy on Audit Committee Preapproval of Audit and Non-Audit Services of Independent Registered Public Accounting Firm</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Report of the Audit Committee</w:t>
              </w:r>
            </w:hyperlink>
          </w:p>
        </w:tc>
        <w:tc>
          <w:tcPr>
            <w:tcW w:w="6640" w:type="dxa"/>
            <w:vAlign w:val="bottom"/>
            <w:tcBorders>
              <w:top w:val="single" w:sz="8" w:color="0000EE"/>
            </w:tcBorders>
            <w:gridSpan w:val="25"/>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04"/>
        </w:trPr>
        <w:tc>
          <w:tcPr>
            <w:tcW w:w="10380" w:type="dxa"/>
            <w:vAlign w:val="bottom"/>
            <w:gridSpan w:val="4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SUBMISSION OF STOCKHOLDER PROPOSALS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6"/>
          </w:tcPr>
          <w:p>
            <w:pPr>
              <w:spacing w:after="0"/>
              <w:rPr>
                <w:sz w:val="24"/>
                <w:szCs w:val="24"/>
                <w:color w:val="auto"/>
              </w:rPr>
            </w:pPr>
          </w:p>
        </w:tc>
        <w:tc>
          <w:tcPr>
            <w:tcW w:w="662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2014 Annual Meeting of Stockholders of Huron Consulting Group Inc. (the “Company,” “Huron,” “we” or “us”). The 2014 Annual Meeting of Stockholders (the “Annual Meeting”) will be held on Friday, May 2, 2014 at 11:00 a.m. Central Daylight Savings Time, at the Company’s corporate headquarters located at 550 West Van Buren Street, Chicago, Illinois 60607. This Proxy Statement and the accompanying proxy card are first being mailed to stockholders on or about March 24,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4, 2014 (the “Record Date”) will be entitled to vote at the Annual Meeting. As of the Record Date, there were 23,652,291 shares of common stock issued and outstanding.</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4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nominated H. Eugene Lockhart and George E. Massaro as Class I Directors to be voted upon at the 2014 Annual Meeting.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DuBose Ausley and John S. Moody are Class II Directors serving terms ending at the 2015 Annual Meeting. James D. Edwards, John McCartney and James 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Roth are Class III Directors serving terms ending at the 2016 Annual Meeting.</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two nominees as Class I Directors and the other matters described herein. The board of directors knows of no reason that Mr. Lockhart or Mr. Massaro might be unavailable to serve as the Class I Directors, and each has expressed an intention to serve, if elected. If Mr. Lockhart or Mr. Massaro is unable to serve, the shares represented by all valid proxies will be voted “FOR” the election of such substitute nominee as the board of directors may recommend. There are no arrangements or understandings between any of the persons nominated to be a Class I Director and any other person pursuant to which any of such nominees was selected.</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Lockhart and Mr. Massaro as Class I Directors, unless specified otherwise.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LOCKHART AND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MASSARO AS CLASS I DIRECTORS.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tbl>
      <w:tblPr>
        <w:tblLayout w:type="fixed"/>
        <w:tblInd w:w="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ind w:left="40"/>
              <w:spacing w:after="0" w:line="159" w:lineRule="exact"/>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Principal Occupation</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Director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Which</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2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75"/>
              </w:rPr>
              <w:t>Age</w:t>
            </w:r>
          </w:p>
        </w:tc>
        <w:tc>
          <w:tcPr>
            <w:tcW w:w="7000" w:type="dxa"/>
            <w:vAlign w:val="bottom"/>
            <w:gridSpan w:val="3"/>
            <w:vMerge w:val="continue"/>
          </w:tcPr>
          <w:p>
            <w:pPr>
              <w:spacing w:after="0"/>
              <w:rPr>
                <w:sz w:val="12"/>
                <w:szCs w:val="12"/>
                <w:color w:val="auto"/>
              </w:rPr>
            </w:pPr>
          </w:p>
        </w:tc>
        <w:tc>
          <w:tcPr>
            <w:tcW w:w="7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Since</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Term 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H. Eugene Lockhart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70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Partner and Chairman, Financial Institutions, Diamond Castle Holdings, LLC</w:t>
            </w:r>
          </w:p>
        </w:tc>
        <w:tc>
          <w:tcPr>
            <w:tcW w:w="500" w:type="dxa"/>
            <w:vAlign w:val="bottom"/>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w w:val="85"/>
              </w:rPr>
              <w:t>Class I 2014</w:t>
            </w:r>
          </w:p>
        </w:tc>
        <w:tc>
          <w:tcPr>
            <w:tcW w:w="0" w:type="dxa"/>
            <w:vAlign w:val="bottom"/>
          </w:tcPr>
          <w:p>
            <w:pPr>
              <w:spacing w:after="0"/>
              <w:rPr>
                <w:sz w:val="1"/>
                <w:szCs w:val="1"/>
                <w:color w:val="auto"/>
              </w:rPr>
            </w:pPr>
          </w:p>
        </w:tc>
      </w:tr>
      <w:tr>
        <w:trPr>
          <w:trHeight w:val="275"/>
        </w:trPr>
        <w:tc>
          <w:tcPr>
            <w:tcW w:w="248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66</w:t>
            </w:r>
          </w:p>
        </w:tc>
        <w:tc>
          <w:tcPr>
            <w:tcW w:w="700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 Huron Consulting Group Inc.</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2004</w:t>
            </w:r>
          </w:p>
        </w:tc>
        <w:tc>
          <w:tcPr>
            <w:tcW w:w="920" w:type="dxa"/>
            <w:vAlign w:val="bottom"/>
          </w:tcPr>
          <w:p>
            <w:pPr>
              <w:ind w:left="40"/>
              <w:spacing w:after="0"/>
              <w:rPr>
                <w:sz w:val="20"/>
                <w:szCs w:val="20"/>
                <w:color w:val="auto"/>
              </w:rPr>
            </w:pPr>
            <w:r>
              <w:rPr>
                <w:rFonts w:ascii="Arial" w:cs="Arial" w:eastAsia="Arial" w:hAnsi="Arial"/>
                <w:sz w:val="18"/>
                <w:szCs w:val="18"/>
                <w:color w:val="auto"/>
                <w:w w:val="85"/>
              </w:rPr>
              <w:t>Class I 2014</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H. Eugene Lockhart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ind w:left="2740" w:right="180"/>
        <w:spacing w:after="0" w:line="261" w:lineRule="auto"/>
        <w:rPr>
          <w:sz w:val="20"/>
          <w:szCs w:val="20"/>
          <w:color w:val="auto"/>
        </w:rPr>
      </w:pPr>
      <w:r>
        <w:rPr>
          <w:rFonts w:ascii="Arial" w:cs="Arial" w:eastAsia="Arial" w:hAnsi="Arial"/>
          <w:sz w:val="18"/>
          <w:szCs w:val="18"/>
          <w:color w:val="auto"/>
        </w:rPr>
        <w:t>Mr. Lockhart has served on our board of directors since December 5, 2006. He is the Chairman of the Audit Committee, and also serves on the Compensation Committee.</w:t>
      </w:r>
    </w:p>
    <w:p>
      <w:pPr>
        <w:spacing w:after="0" w:line="17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spacing w:after="0" w:line="292" w:lineRule="auto"/>
        <w:rPr>
          <w:sz w:val="20"/>
          <w:szCs w:val="20"/>
          <w:color w:val="auto"/>
        </w:rPr>
      </w:pPr>
      <w:r>
        <w:rPr>
          <w:rFonts w:ascii="Arial" w:cs="Arial" w:eastAsia="Arial" w:hAnsi="Arial"/>
          <w:sz w:val="16"/>
          <w:szCs w:val="16"/>
          <w:color w:val="auto"/>
        </w:rPr>
        <w:t>In November 2013, Mr. Lockhart became Senior Advisor, North America, at General Atlantic LLC, a leading global growth investment firm. Since 2005, he has served as a partner and chairman, Financial Institutions, at Diamond Castle Holdings, LLC in New York, a private equity investment firm. From 2002 until 2012, Mr. Lockhart was a venture partner at Oak Investment Partners, a venture capital firm. His prior positions include president of Global Retail Bank and Bank of America, as well as president and chief executive officer of MasterCard International.</w:t>
      </w:r>
    </w:p>
    <w:p>
      <w:pPr>
        <w:spacing w:after="0" w:line="15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right="180"/>
        <w:spacing w:after="0" w:line="290" w:lineRule="auto"/>
        <w:rPr>
          <w:sz w:val="20"/>
          <w:szCs w:val="20"/>
          <w:color w:val="auto"/>
        </w:rPr>
      </w:pPr>
      <w:r>
        <w:rPr>
          <w:rFonts w:ascii="Arial" w:cs="Arial" w:eastAsia="Arial" w:hAnsi="Arial"/>
          <w:sz w:val="16"/>
          <w:szCs w:val="16"/>
          <w:color w:val="auto"/>
        </w:rPr>
        <w:t>Mr. Lockhart is also a director and audit committee chairman of RadioShack Corporation, a retail seller of consumer electronic goods and services. From February 2011 until September 2013, he served on the board of directors of Bonds.com, a trading platform for fixed income securities. Mr. Lockhart had served on the board of Asset Acceptance Capital Corp., a purchaser of accounts receivable portfolios from consumer credit originators, until its June 2013 merger with Encore Capital Group, Inc., and also served on the board of IMS Health Incorporated, a global provider of information solutions to the pharmaceutical and healthcare industries, until February 2010.</w:t>
      </w:r>
    </w:p>
    <w:p>
      <w:pPr>
        <w:spacing w:after="0" w:line="15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Lockhart received a B.S. in Mechanical Engineering from the University of Virginia and an MBA from The Darden</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Graduate School of Business at the University of Virginia. In addition, Mr. Lockhart is a CPA, licensed in the</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Commonwealth of Virginia.</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right="20"/>
        <w:spacing w:after="0" w:line="290" w:lineRule="auto"/>
        <w:rPr>
          <w:sz w:val="20"/>
          <w:szCs w:val="20"/>
          <w:color w:val="auto"/>
        </w:rPr>
      </w:pPr>
      <w:r>
        <w:rPr>
          <w:rFonts w:ascii="Arial" w:cs="Arial" w:eastAsia="Arial" w:hAnsi="Arial"/>
          <w:sz w:val="16"/>
          <w:szCs w:val="16"/>
          <w:color w:val="auto"/>
        </w:rPr>
        <w:t>Mr. Lockhart brings to Huron’s board his broad experience overseeing and growing companies in which he represents venture capital investors, his experience as chief executive officer of leading corporations, and his service on the boards of companies in such diverse fields as financial services, healthcare and pharmaceuticals. Mr. Lockhart’s experience serving as chairman of the audit committees of public companies has prepared him to lead Huron’s Audit Committee. In addition, as the former executive and chairman of some of the most recognized companies in the world, Mr. Lockhart contributes to Huron many contacts, including those with investors.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George E.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ind w:left="2740" w:right="60"/>
        <w:spacing w:after="0" w:line="288" w:lineRule="auto"/>
        <w:rPr>
          <w:sz w:val="20"/>
          <w:szCs w:val="20"/>
          <w:color w:val="auto"/>
        </w:rPr>
      </w:pPr>
      <w:r>
        <w:rPr>
          <w:rFonts w:ascii="Arial" w:cs="Arial" w:eastAsia="Arial" w:hAnsi="Arial"/>
          <w:sz w:val="16"/>
          <w:szCs w:val="16"/>
          <w:color w:val="auto"/>
        </w:rPr>
        <w:t>Mr. Massaro resumed the position of Vice Chairman of Huron’s board in May 2010, a role in which he had previously served from March 2005 until July 2009. He had assumed the role of Non-executive Chairman in July 2009, to assist the new management team upon the departure of the Company’s former chairman. Mr. Massaro has served as a director since May 2004. In February 2009, Mr. Massaro ceased to be an employee of the Company. He had served as our Chief Operating Officer from June 2003 until March 2005. Mr. Massaro joined the Company in August 2002 as a managing director and subsequently became the leader of our Disputes and Investigations and Valuation Services practices. Mr. Massaro serves on the Nominating and Corporate Governance Committee.</w:t>
      </w:r>
    </w:p>
    <w:p>
      <w:pPr>
        <w:spacing w:after="0" w:line="15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right="80"/>
        <w:spacing w:after="0" w:line="255" w:lineRule="auto"/>
        <w:rPr>
          <w:sz w:val="20"/>
          <w:szCs w:val="20"/>
          <w:color w:val="auto"/>
        </w:rPr>
      </w:pPr>
      <w:r>
        <w:rPr>
          <w:rFonts w:ascii="Arial" w:cs="Arial" w:eastAsia="Arial" w:hAnsi="Arial"/>
          <w:sz w:val="18"/>
          <w:szCs w:val="18"/>
          <w:color w:val="auto"/>
        </w:rPr>
        <w:t>Mr. Massaro served as the managing partner of Arthur Andersen LLP’s 1,200-person New England practice from 1998 to 2002 and managing partner of the Boston office from 1995 to 1998. Mr. Massaro has served clients in the financial services and high-technology industries.</w:t>
      </w:r>
    </w:p>
    <w:p>
      <w:pPr>
        <w:spacing w:after="0" w:line="17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spacing w:after="0" w:line="295" w:lineRule="auto"/>
        <w:rPr>
          <w:sz w:val="20"/>
          <w:szCs w:val="20"/>
          <w:color w:val="auto"/>
        </w:rPr>
      </w:pPr>
      <w:r>
        <w:rPr>
          <w:rFonts w:ascii="Arial" w:cs="Arial" w:eastAsia="Arial" w:hAnsi="Arial"/>
          <w:sz w:val="16"/>
          <w:szCs w:val="16"/>
          <w:color w:val="auto"/>
        </w:rPr>
        <w:t>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In addition, Mr. Massaro is a member of the finance committee of the Archdiocese of Boston.</w:t>
      </w:r>
    </w:p>
    <w:p>
      <w:pPr>
        <w:spacing w:after="0" w:line="15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Massaro received a B.A. in Accounting and Finance from Bentley College and an MBA from Babson College.</w:t>
      </w:r>
    </w:p>
    <w:p>
      <w:pPr>
        <w:spacing w:after="0" w:line="22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spacing w:after="0" w:line="295" w:lineRule="auto"/>
        <w:rPr>
          <w:sz w:val="20"/>
          <w:szCs w:val="20"/>
          <w:color w:val="auto"/>
        </w:rPr>
      </w:pPr>
      <w:r>
        <w:rPr>
          <w:rFonts w:ascii="Arial" w:cs="Arial" w:eastAsia="Arial" w:hAnsi="Arial"/>
          <w:sz w:val="16"/>
          <w:szCs w:val="16"/>
          <w:color w:val="auto"/>
        </w:rPr>
        <w:t>Mr. Massaro contributes a thorough understanding of Huron’s business and history through his former experience as Chief Operating Officer of Huron from 2003 to 2005. His many years of experience in public accounting and management of a professional services practice enable him to provide a broad range of business insights as well as contacts in the business community. Mr. Massaro served as Non-executive Chairman of Huron from July 2009 until May 2010.</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tbl>
      <w:tblPr>
        <w:tblLayout w:type="fixed"/>
        <w:tblInd w:w="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68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Principal Occupation</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Director</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Which</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Age</w:t>
            </w:r>
          </w:p>
        </w:tc>
        <w:tc>
          <w:tcPr>
            <w:tcW w:w="6800" w:type="dxa"/>
            <w:vAlign w:val="bottom"/>
            <w:gridSpan w:val="3"/>
            <w:vMerge w:val="continue"/>
          </w:tcPr>
          <w:p>
            <w:pPr>
              <w:spacing w:after="0"/>
              <w:rPr>
                <w:sz w:val="12"/>
                <w:szCs w:val="12"/>
                <w:color w:val="auto"/>
              </w:rPr>
            </w:pPr>
          </w:p>
        </w:tc>
        <w:tc>
          <w:tcPr>
            <w:tcW w:w="7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Since</w:t>
            </w:r>
          </w:p>
        </w:tc>
        <w:tc>
          <w:tcPr>
            <w:tcW w:w="11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7"/>
              </w:rPr>
              <w:t>Term 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gridSpan w:val="2"/>
          </w:tcPr>
          <w:p>
            <w:pPr>
              <w:spacing w:after="0" w:line="202" w:lineRule="exact"/>
              <w:rPr>
                <w:sz w:val="20"/>
                <w:szCs w:val="20"/>
                <w:color w:val="auto"/>
              </w:rPr>
            </w:pPr>
            <w:r>
              <w:rPr>
                <w:rFonts w:ascii="Arial" w:cs="Arial" w:eastAsia="Arial" w:hAnsi="Arial"/>
                <w:sz w:val="18"/>
                <w:szCs w:val="18"/>
                <w:color w:val="auto"/>
              </w:rPr>
              <w:t>DuBose Ausley</w:t>
            </w:r>
          </w:p>
        </w:tc>
        <w:tc>
          <w:tcPr>
            <w:tcW w:w="240" w:type="dxa"/>
            <w:vAlign w:val="bottom"/>
          </w:tcPr>
          <w:p>
            <w:pPr>
              <w:jc w:val="right"/>
              <w:spacing w:after="0"/>
              <w:rPr>
                <w:sz w:val="20"/>
                <w:szCs w:val="20"/>
                <w:color w:val="auto"/>
              </w:rPr>
            </w:pPr>
            <w:r>
              <w:rPr>
                <w:rFonts w:ascii="Arial" w:cs="Arial" w:eastAsia="Arial" w:hAnsi="Arial"/>
                <w:sz w:val="18"/>
                <w:szCs w:val="18"/>
                <w:color w:val="auto"/>
              </w:rPr>
              <w:t>76</w:t>
            </w:r>
          </w:p>
        </w:tc>
        <w:tc>
          <w:tcPr>
            <w:tcW w:w="68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Attorney, Ausley McMullen, P.A.</w:t>
            </w:r>
          </w:p>
        </w:tc>
        <w:tc>
          <w:tcPr>
            <w:tcW w:w="480" w:type="dxa"/>
            <w:vAlign w:val="bottom"/>
          </w:tcPr>
          <w:p>
            <w:pPr>
              <w:ind w:left="140"/>
              <w:spacing w:after="0"/>
              <w:rPr>
                <w:sz w:val="20"/>
                <w:szCs w:val="20"/>
                <w:color w:val="auto"/>
              </w:rPr>
            </w:pPr>
            <w:r>
              <w:rPr>
                <w:rFonts w:ascii="Arial" w:cs="Arial" w:eastAsia="Arial" w:hAnsi="Arial"/>
                <w:sz w:val="18"/>
                <w:szCs w:val="18"/>
                <w:color w:val="auto"/>
                <w:w w:val="79"/>
              </w:rPr>
              <w:t>2004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Class II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50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Parkside Capital</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2005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Class II 2015</w:t>
            </w: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Arial" w:cs="Arial" w:eastAsia="Arial" w:hAnsi="Arial"/>
                <w:sz w:val="18"/>
                <w:szCs w:val="18"/>
                <w:color w:val="auto"/>
              </w:rPr>
              <w:t>James D. Edwards</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Retired Managing Partner—Global Markets at Arthur Andersen LLP</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2004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Class III 2016</w:t>
            </w: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Non-executive Chairman, Huron Consulting Group Inc.</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2004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Class III 2016</w:t>
            </w:r>
          </w:p>
        </w:tc>
        <w:tc>
          <w:tcPr>
            <w:tcW w:w="0" w:type="dxa"/>
            <w:vAlign w:val="bottom"/>
          </w:tcPr>
          <w:p>
            <w:pPr>
              <w:spacing w:after="0"/>
              <w:rPr>
                <w:sz w:val="1"/>
                <w:szCs w:val="1"/>
                <w:color w:val="auto"/>
              </w:rPr>
            </w:pPr>
          </w:p>
        </w:tc>
      </w:tr>
      <w:tr>
        <w:trPr>
          <w:trHeight w:val="277"/>
        </w:trPr>
        <w:tc>
          <w:tcPr>
            <w:tcW w:w="2500" w:type="dxa"/>
            <w:vAlign w:val="bottom"/>
            <w:gridSpan w:val="2"/>
          </w:tcPr>
          <w:p>
            <w:pPr>
              <w:spacing w:after="0"/>
              <w:rPr>
                <w:sz w:val="20"/>
                <w:szCs w:val="20"/>
                <w:color w:val="auto"/>
              </w:rPr>
            </w:pPr>
            <w:r>
              <w:rPr>
                <w:rFonts w:ascii="Arial" w:cs="Arial" w:eastAsia="Arial" w:hAnsi="Arial"/>
                <w:sz w:val="18"/>
                <w:szCs w:val="18"/>
                <w:color w:val="auto"/>
              </w:rPr>
              <w:t>James H. Roth</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and President of Huron Consulting Group Inc. and Huron</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2009</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Class III 2016</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Consulting Services LLC, our principal operating subsidiary</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DuBose Ausley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Ausley was elected to our board of directors on October 12, 2004. He serves on the Compensation Committee and</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Nominating and Corporate Governance Committee.</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right="40"/>
        <w:spacing w:after="0" w:line="261" w:lineRule="auto"/>
        <w:rPr>
          <w:sz w:val="20"/>
          <w:szCs w:val="20"/>
          <w:color w:val="auto"/>
        </w:rPr>
      </w:pPr>
      <w:r>
        <w:rPr>
          <w:rFonts w:ascii="Arial" w:cs="Arial" w:eastAsia="Arial" w:hAnsi="Arial"/>
          <w:sz w:val="18"/>
          <w:szCs w:val="18"/>
          <w:color w:val="auto"/>
        </w:rPr>
        <w:t>Mr. Ausley is an employee of Ausley McMullen, P.A., a law firm in Tallahassee, Florida, where he was chairman for more than 25 years prior to June 2002.</w:t>
      </w:r>
    </w:p>
    <w:p>
      <w:pPr>
        <w:spacing w:after="0" w:line="17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right="20"/>
        <w:spacing w:after="0" w:line="290" w:lineRule="auto"/>
        <w:rPr>
          <w:sz w:val="20"/>
          <w:szCs w:val="20"/>
          <w:color w:val="auto"/>
        </w:rPr>
      </w:pPr>
      <w:r>
        <w:rPr>
          <w:rFonts w:ascii="Arial" w:cs="Arial" w:eastAsia="Arial" w:hAnsi="Arial"/>
          <w:sz w:val="16"/>
          <w:szCs w:val="16"/>
          <w:color w:val="auto"/>
        </w:rPr>
        <w:t>Mr. Ausley is a director of Capital City Bank Group, Inc., a financial services holding company, and Capital Health Plan, an affiliate of Blue Cross and Blue Shield of Florida, Inc. on whose board he served from 1982 to 2005. Mr. Ausley served on the boards of Tampa Electric Company, a public utility operating in the State of Florida, and its parent, TECO Energy, Inc., until April 2013. He previously served on the Board of Regents of the State University System of Florida from 1978 to 1994, and served as its chairman in 1981 and 1982. He also served on the Board of Trustees of Washington and Lee University for 10 years. In addition, he served as chairman of the Capital City Bank Group, Inc. from 1982 to 2003.</w:t>
      </w:r>
    </w:p>
    <w:p>
      <w:pPr>
        <w:spacing w:after="0" w:line="15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Ausley received a B.A. in Economics from Washington and Lee University and a J.D. from the University of Florida</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College of Law.</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spacing w:after="0" w:line="292" w:lineRule="auto"/>
        <w:rPr>
          <w:sz w:val="20"/>
          <w:szCs w:val="20"/>
          <w:color w:val="auto"/>
        </w:rPr>
      </w:pPr>
      <w:r>
        <w:rPr>
          <w:rFonts w:ascii="Arial" w:cs="Arial" w:eastAsia="Arial" w:hAnsi="Arial"/>
          <w:sz w:val="16"/>
          <w:szCs w:val="16"/>
          <w:color w:val="auto"/>
        </w:rPr>
        <w:t>Mr. Ausley has served on multiple boards of directors of companies, including telecoms, public utilities and financial institutions. His experiences serving on the boards of healthcare companies and institutions of higher education have allowed him to contribute the client perspective of those two primary areas of Huron’s business. In addition, as a practicing attorney and former chair of a law firm in the Southeast United States, he is able to address the legal issues facing public companies that provide consulting services in healthcare and higher education.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John S. Moody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Moody has served on our board of directors since November 8, 2005. He is the Chairman of the Compensation</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 and also serves on the Audit Committee.</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spacing w:after="0" w:line="288" w:lineRule="auto"/>
        <w:rPr>
          <w:sz w:val="20"/>
          <w:szCs w:val="20"/>
          <w:color w:val="auto"/>
        </w:rPr>
      </w:pPr>
      <w:r>
        <w:rPr>
          <w:rFonts w:ascii="Arial" w:cs="Arial" w:eastAsia="Arial" w:hAnsi="Arial"/>
          <w:sz w:val="16"/>
          <w:szCs w:val="16"/>
          <w:color w:val="auto"/>
        </w:rPr>
        <w:t>Mr. Moody is chief executive officer of Parkside Capital, formerly known as ProTerra Realty, a fund manager investing in real estate in Houston, Texas.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w:t>
      </w:r>
    </w:p>
    <w:p>
      <w:pPr>
        <w:spacing w:after="0" w:line="15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right="20"/>
        <w:spacing w:after="0" w:line="253" w:lineRule="auto"/>
        <w:rPr>
          <w:sz w:val="20"/>
          <w:szCs w:val="20"/>
          <w:color w:val="auto"/>
        </w:rPr>
      </w:pPr>
      <w:r>
        <w:rPr>
          <w:rFonts w:ascii="Arial" w:cs="Arial" w:eastAsia="Arial" w:hAnsi="Arial"/>
          <w:sz w:val="18"/>
          <w:szCs w:val="18"/>
          <w:color w:val="auto"/>
        </w:rPr>
        <w:t>Mr. Moody joined the board of Hines Global REIT, a privately owned real estate investment, development and management company, in June 2009. He joined the board of directors of Potlatch Corp., a real estate investment trust, in September 2006, and on January 19, 2009, he assumed the role of Vice Chairman of Potlatch Corp. From 2001 to 2005, he served on the boards of directors of three publicly held REITs: Keystone Property Trust, CRIIMI MAE, Inc. and Equity Office Properties Trust.</w:t>
      </w:r>
    </w:p>
    <w:p>
      <w:pPr>
        <w:spacing w:after="0" w:line="18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Moody received his B.A. in History from Stanford University and his J.D. with honors from The University of Texas</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School of Law.</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spacing w:after="0" w:line="252" w:lineRule="auto"/>
        <w:rPr>
          <w:sz w:val="20"/>
          <w:szCs w:val="20"/>
          <w:color w:val="auto"/>
        </w:rPr>
      </w:pPr>
      <w:r>
        <w:rPr>
          <w:rFonts w:ascii="Arial" w:cs="Arial" w:eastAsia="Arial" w:hAnsi="Arial"/>
          <w:sz w:val="18"/>
          <w:szCs w:val="18"/>
          <w:color w:val="auto"/>
        </w:rPr>
        <w:t>Mr. Moody has spent the majority of his career working with real estate related businesses. He has served on multiple boards of directors, including serving as chairman and vice chairman, of companies organized as real estate investment trusts engaged in commercial real estate, as well as forest products. Mr. Moody has provided introductions for Huron’s Houston office consultants to his many contacts in Texas. As the former chief executive officer of a public company which owned Class A office buildings throughout the United States, as well as a professionally trained real estate and corporate attorney with broad experience in the capital markets, Mr. Moody is highly suited to his role as chairman of Huron’s Compensation Committee.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James 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ind w:left="2740" w:right="40"/>
        <w:spacing w:after="0" w:line="261" w:lineRule="auto"/>
        <w:rPr>
          <w:sz w:val="20"/>
          <w:szCs w:val="20"/>
          <w:color w:val="auto"/>
        </w:rPr>
      </w:pPr>
      <w:r>
        <w:rPr>
          <w:rFonts w:ascii="Arial" w:cs="Arial" w:eastAsia="Arial" w:hAnsi="Arial"/>
          <w:sz w:val="18"/>
          <w:szCs w:val="18"/>
          <w:color w:val="auto"/>
        </w:rPr>
        <w:t>James D. Edwards was elected to our board of directors on October 12, 2004. He serves as Chairman of the Nominating and Corporate Governance Committee.</w:t>
      </w:r>
    </w:p>
    <w:p>
      <w:pPr>
        <w:spacing w:after="0" w:line="17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right="20"/>
        <w:spacing w:after="0" w:line="361" w:lineRule="auto"/>
        <w:rPr>
          <w:sz w:val="20"/>
          <w:szCs w:val="20"/>
          <w:color w:val="auto"/>
        </w:rPr>
      </w:pPr>
      <w:r>
        <w:rPr>
          <w:rFonts w:ascii="Arial" w:cs="Arial" w:eastAsia="Arial" w:hAnsi="Arial"/>
          <w:sz w:val="15"/>
          <w:szCs w:val="15"/>
          <w:color w:val="auto"/>
        </w:rPr>
        <w:t>Mr. Edwards retired in 2002 as managing partner—global markets of Arthur Andersen LLP, a position he had held since 1998. Mr. Edwards began his career with Arthur Andersen LLP in 1964 and served in several positions after that time.</w:t>
      </w:r>
    </w:p>
    <w:p>
      <w:pPr>
        <w:spacing w:after="0" w:line="10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right="20"/>
        <w:spacing w:after="0" w:line="253" w:lineRule="auto"/>
        <w:rPr>
          <w:sz w:val="20"/>
          <w:szCs w:val="20"/>
          <w:color w:val="auto"/>
        </w:rPr>
      </w:pPr>
      <w:r>
        <w:rPr>
          <w:rFonts w:ascii="Arial" w:cs="Arial" w:eastAsia="Arial" w:hAnsi="Arial"/>
          <w:sz w:val="18"/>
          <w:szCs w:val="18"/>
          <w:color w:val="auto"/>
        </w:rPr>
        <w:t>Mr. Edwards is a director of Cousins Properties Incorporated, a publicly held REIT, and Crawford &amp; Company, a global provider of claims adjustment and risk management solutions. He had previously served on the board of Transcend Services, Inc., a provider of medical transcription services to the healthcare industry, until early 2012, and had served on the board of IMS Health Incorporated, a global provider of information solutions to the pharmaceutical and healthcare industries, until February 2010.</w:t>
      </w:r>
    </w:p>
    <w:p>
      <w:pPr>
        <w:spacing w:after="0" w:line="18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Edwards received a B.S. in Accounting from Bob Jones University and is a member of the American Institute of</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Certified Public Accountants.</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spacing w:after="0" w:line="290" w:lineRule="auto"/>
        <w:rPr>
          <w:sz w:val="20"/>
          <w:szCs w:val="20"/>
          <w:color w:val="auto"/>
        </w:rPr>
      </w:pPr>
      <w:r>
        <w:rPr>
          <w:rFonts w:ascii="Arial" w:cs="Arial" w:eastAsia="Arial" w:hAnsi="Arial"/>
          <w:sz w:val="16"/>
          <w:szCs w:val="16"/>
          <w:color w:val="auto"/>
        </w:rPr>
        <w:t>Mr. Edwards’ experience includes 38 years with Arthur Andersen in the professional services industry and 25 years in various leadership positions, including Managing Partner for all operations in the United States and North America from 1987 to 1997, which makes him able to recognize and successfully address the challenges and opportunities presented to Huron. Mr. Edwards possesses a deep knowledge of accounting and financial consulting services, many years of experience managing a large segment of a professional services firm, and a vast network of prior clients in diverse fields including real estate, pharmaceuticals and healthcare.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jc w:val="both"/>
        <w:ind w:left="2740" w:right="400"/>
        <w:spacing w:after="0" w:line="255" w:lineRule="auto"/>
        <w:rPr>
          <w:sz w:val="20"/>
          <w:szCs w:val="20"/>
          <w:color w:val="auto"/>
        </w:rPr>
      </w:pPr>
      <w:r>
        <w:rPr>
          <w:rFonts w:ascii="Arial" w:cs="Arial" w:eastAsia="Arial" w:hAnsi="Arial"/>
          <w:sz w:val="18"/>
          <w:szCs w:val="18"/>
          <w:color w:val="auto"/>
        </w:rPr>
        <w:t>Mr. McCartney was appointed Non-executive Chairman of the board effective May 2010. He has served on our board since October 2004. From that date until February 2010, he served as chairman of the Audit Committee, on which he continues to serve.</w:t>
      </w:r>
    </w:p>
    <w:p>
      <w:pPr>
        <w:spacing w:after="0" w:line="17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right="320"/>
        <w:spacing w:after="0" w:line="295" w:lineRule="auto"/>
        <w:rPr>
          <w:sz w:val="20"/>
          <w:szCs w:val="20"/>
          <w:color w:val="auto"/>
        </w:rPr>
      </w:pPr>
      <w:r>
        <w:rPr>
          <w:rFonts w:ascii="Arial" w:cs="Arial" w:eastAsia="Arial" w:hAnsi="Arial"/>
          <w:sz w:val="16"/>
          <w:szCs w:val="16"/>
          <w:color w:val="auto"/>
        </w:rPr>
        <w:t>From June 1997 to March 1998, he held the position of president of 3Com Corporation’s Client Access Unit. Mr. McCartney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w:t>
      </w:r>
    </w:p>
    <w:p>
      <w:pPr>
        <w:spacing w:after="0" w:line="15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right="100"/>
        <w:spacing w:after="0" w:line="285" w:lineRule="auto"/>
        <w:rPr>
          <w:sz w:val="20"/>
          <w:szCs w:val="20"/>
          <w:color w:val="auto"/>
        </w:rPr>
      </w:pPr>
      <w:r>
        <w:rPr>
          <w:rFonts w:ascii="Arial" w:cs="Arial" w:eastAsia="Arial" w:hAnsi="Arial"/>
          <w:sz w:val="16"/>
          <w:szCs w:val="16"/>
          <w:color w:val="auto"/>
        </w:rPr>
        <w:t>From March 2011 until September 2013, Mr. McCartney served as chairman of the board of Westcon Group, Inc., a specialty distributor of networking and communications equipment, whose board he joined in August 1998 and for which he previously served as chairman from January 2001 until March 2009, and where he continues to serve as a director. Mr. McCartney had also served as chairman of the board of directors of A.M. Castle &amp; Co., a global distributor of specialty metal and plastic products, from January 2007 until April 2010. He has served on that board since 1998. In July 2007, Mr. McCartney was appointed a non-executive director of Datatec Limited, a networking technology and services company, where he serves as chairman of the remuneration committee. He had previously served as vice chairman of the board of directors of Datatec from October 1998 until May 2004. Since May 2009, he has served on the board of Covance Inc., a drug development services company. In August 2011, Mr. McCartney joined the board of Transco, Inc., a Chicago-based company that provides solutions to customers in the railroad, electric utility, process and manufacturing industries. From July 2005 until April 2010, Mr. McCartney served on the board of Federal Signal Corporation, a safety and security products manufacturer.</w:t>
      </w:r>
    </w:p>
    <w:p>
      <w:pPr>
        <w:spacing w:after="0" w:line="16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University of Pennsylvania.</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spacing w:after="0" w:line="292" w:lineRule="auto"/>
        <w:rPr>
          <w:sz w:val="20"/>
          <w:szCs w:val="20"/>
          <w:color w:val="auto"/>
        </w:rPr>
      </w:pPr>
      <w:r>
        <w:rPr>
          <w:rFonts w:ascii="Arial" w:cs="Arial" w:eastAsia="Arial" w:hAnsi="Arial"/>
          <w:sz w:val="16"/>
          <w:szCs w:val="16"/>
          <w:color w:val="auto"/>
        </w:rPr>
        <w:t>Mr. McCartney has served as chairman and vice chairman of the boards of several public and private companies, including those in the healthcare and drug development fields, as well as of an institution of higher education. His deep knowledge of accounting and his prior experience as chief financial officer and chief operating officer of a public company have prepared Mr. McCartney to serve as a member of the Audit Committee and to help guide Huron to its position as a leading consultancy. Mr. McCartney is based in Chicago, the location of Huron’s principal business offices.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23595" cy="1063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 w:lineRule="exact"/>
        <w:rPr>
          <w:sz w:val="20"/>
          <w:szCs w:val="20"/>
          <w:color w:val="auto"/>
        </w:rPr>
      </w:pPr>
    </w:p>
    <w:p>
      <w:pPr>
        <w:ind w:left="2740" w:right="140"/>
        <w:spacing w:after="0" w:line="290" w:lineRule="auto"/>
        <w:rPr>
          <w:sz w:val="20"/>
          <w:szCs w:val="20"/>
          <w:color w:val="auto"/>
        </w:rPr>
      </w:pPr>
      <w:r>
        <w:rPr>
          <w:rFonts w:ascii="Arial" w:cs="Arial" w:eastAsia="Arial" w:hAnsi="Arial"/>
          <w:sz w:val="16"/>
          <w:szCs w:val="16"/>
          <w:color w:val="auto"/>
        </w:rPr>
        <w:t>James H. Roth has served as Chief Executive Officer of Huron Consulting Group Inc. and Huron Consulting Services LLC, our principal operating subsidiary, since July 2009. He was appointed President of Huron in March 2011. Mr. Roth was elected to Huron’s board of directors in November 2009. Previously, he served as Vice President, Health and Education Consulting for the Company since January 2007. Since Huron’s inception in 2002, until he became our CEO, Mr. Roth was a managing director and practice leader of the Company’s Higher Education Consulting practice, which he grew into one of our largest organically grown practices.</w:t>
      </w:r>
    </w:p>
    <w:p>
      <w:pPr>
        <w:spacing w:after="0" w:line="15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2740" w:right="40"/>
        <w:spacing w:after="0" w:line="288" w:lineRule="auto"/>
        <w:rPr>
          <w:sz w:val="20"/>
          <w:szCs w:val="20"/>
          <w:color w:val="auto"/>
        </w:rPr>
      </w:pPr>
      <w:r>
        <w:rPr>
          <w:rFonts w:ascii="Arial" w:cs="Arial" w:eastAsia="Arial" w:hAnsi="Arial"/>
          <w:sz w:val="16"/>
          <w:szCs w:val="16"/>
          <w:color w:val="auto"/>
        </w:rPr>
        <w:t xml:space="preserve">As a founding member of Huron, Mr. Roth has guided and grown Huron’s Higher Education Consulting practice to a position of preeminence in the industry. He has more than 30 years of consulting experience working with many of the premier research universities and academic medical centers. Under his sound leadership, the Company has been named by </w:t>
      </w:r>
      <w:r>
        <w:rPr>
          <w:rFonts w:ascii="Arial" w:cs="Arial" w:eastAsia="Arial" w:hAnsi="Arial"/>
          <w:sz w:val="16"/>
          <w:szCs w:val="16"/>
          <w:i w:val="1"/>
          <w:iCs w:val="1"/>
          <w:color w:val="auto"/>
        </w:rPr>
        <w:t xml:space="preserve">Consulting </w:t>
      </w:r>
      <w:r>
        <w:rPr>
          <w:rFonts w:ascii="Arial" w:cs="Arial" w:eastAsia="Arial" w:hAnsi="Arial"/>
          <w:sz w:val="16"/>
          <w:szCs w:val="16"/>
          <w:color w:val="auto"/>
        </w:rPr>
        <w:t>magazine as one of The Best Firms to Work For in 2011, 2012 and 2013, and, for the fourth year in a row,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Huron Healthcare practice has been ranked number three on </w:t>
      </w:r>
      <w:r>
        <w:rPr>
          <w:rFonts w:ascii="Arial" w:cs="Arial" w:eastAsia="Arial" w:hAnsi="Arial"/>
          <w:sz w:val="16"/>
          <w:szCs w:val="16"/>
          <w:i w:val="1"/>
          <w:iCs w:val="1"/>
          <w:color w:val="auto"/>
        </w:rPr>
        <w:t>Modern Healthcare’s</w:t>
      </w:r>
      <w:r>
        <w:rPr>
          <w:rFonts w:ascii="Arial" w:cs="Arial" w:eastAsia="Arial" w:hAnsi="Arial"/>
          <w:sz w:val="16"/>
          <w:szCs w:val="16"/>
          <w:color w:val="auto"/>
        </w:rPr>
        <w:t xml:space="preserve"> list of Largest Healthcare Management Consulting Firms. Mr. Roth has been a frequent speaker in national forums on matters relating to higher education and academic medical centers.</w:t>
      </w:r>
    </w:p>
    <w:p>
      <w:pPr>
        <w:spacing w:after="0" w:line="15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1" w:lineRule="exact"/>
        <w:rPr>
          <w:sz w:val="20"/>
          <w:szCs w:val="20"/>
          <w:color w:val="auto"/>
        </w:rPr>
      </w:pPr>
    </w:p>
    <w:p>
      <w:pPr>
        <w:ind w:left="2740" w:right="140"/>
        <w:spacing w:after="0" w:line="261" w:lineRule="auto"/>
        <w:rPr>
          <w:sz w:val="20"/>
          <w:szCs w:val="20"/>
          <w:color w:val="auto"/>
        </w:rPr>
      </w:pPr>
      <w:r>
        <w:rPr>
          <w:rFonts w:ascii="Arial" w:cs="Arial" w:eastAsia="Arial" w:hAnsi="Arial"/>
          <w:sz w:val="18"/>
          <w:szCs w:val="18"/>
          <w:color w:val="auto"/>
        </w:rPr>
        <w:t>Mr. Roth was appointed to the board of Aviv REIT, a self-administered real estate investment trust specializing in skilled nursing facilities, in March 2013.</w:t>
      </w:r>
    </w:p>
    <w:p>
      <w:pPr>
        <w:spacing w:after="0" w:line="17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Methodist University.</w:t>
      </w:r>
    </w:p>
    <w:p>
      <w:pPr>
        <w:spacing w:after="0" w:line="19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1" w:lineRule="exact"/>
        <w:rPr>
          <w:sz w:val="20"/>
          <w:szCs w:val="20"/>
          <w:color w:val="auto"/>
        </w:rPr>
      </w:pPr>
    </w:p>
    <w:p>
      <w:pPr>
        <w:ind w:left="2740"/>
        <w:spacing w:after="0" w:line="253" w:lineRule="auto"/>
        <w:rPr>
          <w:sz w:val="20"/>
          <w:szCs w:val="20"/>
          <w:color w:val="auto"/>
        </w:rPr>
      </w:pPr>
      <w:r>
        <w:rPr>
          <w:rFonts w:ascii="Arial" w:cs="Arial" w:eastAsia="Arial" w:hAnsi="Arial"/>
          <w:sz w:val="18"/>
          <w:szCs w:val="18"/>
          <w:color w:val="auto"/>
        </w:rPr>
        <w:t xml:space="preserve">Mr. Roth brings to the board his deep knowledge of the strategy and operations of institutions of higher education, including their healthcare and research facilities. Named in 2009 and in 2011 by </w:t>
      </w:r>
      <w:r>
        <w:rPr>
          <w:rFonts w:ascii="Arial" w:cs="Arial" w:eastAsia="Arial" w:hAnsi="Arial"/>
          <w:sz w:val="18"/>
          <w:szCs w:val="18"/>
          <w:i w:val="1"/>
          <w:iCs w:val="1"/>
          <w:color w:val="auto"/>
        </w:rPr>
        <w:t>Consulting</w:t>
      </w:r>
      <w:r>
        <w:rPr>
          <w:rFonts w:ascii="Arial" w:cs="Arial" w:eastAsia="Arial" w:hAnsi="Arial"/>
          <w:sz w:val="18"/>
          <w:szCs w:val="18"/>
          <w:color w:val="auto"/>
        </w:rPr>
        <w:t xml:space="preserve"> magazine as one of the Top 25 Most Influential Consultants, Mr. Roth contributes to the board a deep understanding of the Huron organization and the consulting business; in particular, research universities, hospitals, and academic medical centers, which today comprise nearly 75% of Huron’s revenue.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3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780" w:type="dxa"/>
            <w:vAlign w:val="bottom"/>
          </w:tcPr>
          <w:p>
            <w:pPr>
              <w:spacing w:after="0"/>
              <w:rPr>
                <w:sz w:val="15"/>
                <w:szCs w:val="15"/>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6"/>
              </w:rPr>
              <w:t>James</w:t>
            </w:r>
          </w:p>
        </w:tc>
        <w:tc>
          <w:tcPr>
            <w:tcW w:w="2220" w:type="dxa"/>
            <w:vAlign w:val="bottom"/>
          </w:tcPr>
          <w:p>
            <w:pPr>
              <w:ind w:left="100"/>
              <w:spacing w:after="0" w:line="188" w:lineRule="exact"/>
              <w:rPr>
                <w:sz w:val="20"/>
                <w:szCs w:val="20"/>
                <w:color w:val="auto"/>
              </w:rPr>
            </w:pPr>
            <w:r>
              <w:rPr>
                <w:rFonts w:ascii="Arial" w:cs="Arial" w:eastAsia="Arial" w:hAnsi="Arial"/>
                <w:sz w:val="18"/>
                <w:szCs w:val="18"/>
                <w:color w:val="auto"/>
              </w:rPr>
              <w:t>H. Roth</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56</w:t>
            </w:r>
          </w:p>
        </w:tc>
        <w:tc>
          <w:tcPr>
            <w:tcW w:w="656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w w:val="89"/>
              </w:rPr>
              <w:t>Executive Vice President, Chief Operating Officer, Chief Financial Officer and Treasurer</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General Counsel and Corporate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James H. Roth’s </w:t>
      </w:r>
      <w:r>
        <w:rPr>
          <w:rFonts w:ascii="Arial" w:cs="Arial" w:eastAsia="Arial" w:hAnsi="Arial"/>
          <w:sz w:val="18"/>
          <w:szCs w:val="18"/>
          <w:color w:val="auto"/>
        </w:rPr>
        <w:t>biographical information is provided above under the caption “Directors Not Standing for Election.”</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Chief Operating Officer on February 25, 2014. He has served as Executive Vice President,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Huron since July 2011.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his B.S. in Accountancy from the University of Illinois, Urbana-Champaign and his MBA in Finance from the University of Chicago Graduate School of Business. He is a Chartered Financial Analyst, Certified Management Accountant, and Certified Public Accountant (Illinois).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in February 2011, and was named Executive Vice President in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Ms. Ratekin is admitted to practice in Iowa and Illinois. She is a member of the American Bar Association, the Chicago Bar Association and the Association of Corporate Counsel. She received her B.A. in English and her J.D. from the University of Iowa.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Massaro,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Board Leadership. </w:t>
      </w:r>
      <w:r>
        <w:rPr>
          <w:rFonts w:ascii="Arial" w:cs="Arial" w:eastAsia="Arial" w:hAnsi="Arial"/>
          <w:sz w:val="18"/>
          <w:szCs w:val="18"/>
          <w:color w:val="auto"/>
        </w:rPr>
        <w:t>Huron formally separated the roles of chairman of the board and chief executive officer in 2010. Our Non-executive Chairman is John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McCartney and our Chief Executive Officer is James H. Roth. As Non-executive Chairman, Mr. McCartney, in consultation with Mr. Roth, develops the agendas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board, after discussion, has determined that our current board leadership structure is appropriate for the Company, as it believes the separation of powers is beneficial for our organization.</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Risk Oversight. </w:t>
      </w:r>
      <w:r>
        <w:rPr>
          <w:rFonts w:ascii="Arial" w:cs="Arial" w:eastAsia="Arial" w:hAnsi="Arial"/>
          <w:sz w:val="16"/>
          <w:szCs w:val="16"/>
          <w:color w:val="auto"/>
        </w:rPr>
        <w:t>One of the board’s responsibilities is to review the adequacy of the Company’s systems for compliance with all applicable laws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for safeguarding the Company’s assets and for managing the major risks it faces. The board executes its responsibility for risk management directly and through its committees. The committees oversee risk matters associated with their respective areas of responsibility. For example, in addition to receiving reports from PricewaterhouseCoopers LLP (“PwC”), Huron’s independent registered public accounting firm, regarding significant accounting and financial reporting developments, our internal control over financial reporting and other matters, the Audit Committee requires direct reports from:</w:t>
      </w:r>
    </w:p>
    <w:p>
      <w:pPr>
        <w:spacing w:after="0" w:line="3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Counsel on legal developments;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Huron’s internal auditors on internal controls and financial compliance control matters;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Chief Compliance Officer on whistleblower hotline and compliance related issues.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regularly considers potential business risks facing the Company, including those surrounding such issues as:</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Compliance;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 Integration;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Continuity;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Retention;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Planning.</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2013, we reviewed our material compensation policies and practices and reported to the Compensation Committee that these policies and practices are considered not to entail risks reasonably likely to have a material adverse effect on the Company. The Chief Compliance Officer, the CFO, the General Counsel, the Corporate Vice President, Human Resources and the Director of Compensation reviewed the plan elements, potential risks and various controls in place with respect to Huron’s executive, managing director, employee and business developer compensation plans. After reviewing the findings made by this group, the Compensation Committee agreed with the assessment that the compensation policies and practices are considered not to entail risks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2013, the board of directors held nine meetings.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2013,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directors attended the 2013 Annual Meeting of Stockholders.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operates in part through its three committees: Audit, Compensation, and Nominating and Corporate Governance. All committee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members are “independent” as defined in the applicable listing standards of NASDAQ. In addition, all Compensation Committee members are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within the meaning of Rule 16b-3 under the Securities Exchange Act of 1934 (the “1934 Act”) and “outside directors”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162(m) of the Internal Revenue Code of 1986, as amended (the “Code”), and all Audit Committee members meet the criteria for independence set forth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 Rule 10A-3(b)(1). Each of the committee charters is available in the Investor Relations section of the Company’s web 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5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Committee responsibilities include overseeing our accounting and financial reporting processes, overseeing the audits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internal control over financial reporting, and retaining and discharging our auditors. The Audit Committee met six times in 2013. The members of the Audit Committee are Messrs. Lockhart (Chairman), McCartney and Moody. The board of directors has determined that each Audit Committee member has sufficient knowledge in financial and auditing matters to serve on the Audit Committee. The board of directors has also determined that each of Messrs. Lockhart and McCartney is an “audit committee financial expert,” as defined by the applicable securities regulations, and that each member of the Audit Committee satisfies the applicable NASDAQ listing standards for audit committee membership.</w:t>
      </w:r>
    </w:p>
    <w:p>
      <w:pPr>
        <w:spacing w:after="0" w:line="11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2013 appears below under the caption “PROPOSAL 4—RATIFICATION OF APPOINTMENT OF INDEPENDENT REGISTERED PUBLIC ACCOUNTING FIRM—Report of the Audit Committee.”</w:t>
      </w:r>
    </w:p>
    <w:p>
      <w:pPr>
        <w:spacing w:after="0" w:line="126" w:lineRule="exact"/>
        <w:rPr>
          <w:sz w:val="20"/>
          <w:szCs w:val="20"/>
          <w:color w:val="auto"/>
        </w:rPr>
      </w:pPr>
    </w:p>
    <w:p>
      <w:pPr>
        <w:ind w:right="580" w:firstLine="456"/>
        <w:spacing w:after="0" w:line="262"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six times in 2013. The members of the Compensation Committee are Messrs. Moody (Chairman), Ausley and Lockhart.</w:t>
      </w:r>
    </w:p>
    <w:p>
      <w:pPr>
        <w:spacing w:after="0" w:line="13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Management assists the Compensation Committee in the performance of its duties as described in more detail below under “EXECUTIVE COMPENSATION—Compensation Discussion and Analysis—Role of Management.” The Compensation Committee may exercise its discretion in modifying any recommended awards to executive officers. In addition, during 2013, the CEO participated in all of the Compensation Committee’s general meetings, in the telephonic meeting, and in all of the executive sessions, except for those in which the Compensation Committee considered the CEO’s performance, compensation and incentives. The Report of the Compensation Committee on Executive Compensation appears below under the caption “EXECUTIVE COMPENSATION—Compensation Committee Report.”</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four times in 2013. The members of the Nominating and Corporate Governance Committee are Messrs. Edwards (Chairman), Ausley and Massaro.</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class or series and number of shares of capital stock of the Company that are owned beneficially or of record by the proposed nominee and any Stockholder Associated Person (as defined below) and the date such shares were acquired and the investment intent of such acquisition;</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address of the stockholder who is submitting the notice; and any Stockholder Associated Person, or a nominee holder for a stockholder or any Stockholder Associated Person who owns shares of capital stock of the Company beneficially but not of record, as they appear on the Company stock ledger and current name and address, if different;</w:t>
      </w:r>
    </w:p>
    <w:p>
      <w:pPr>
        <w:spacing w:after="0" w:line="59" w:lineRule="exact"/>
        <w:rPr>
          <w:rFonts w:ascii="Arial" w:cs="Arial" w:eastAsia="Arial" w:hAnsi="Arial"/>
          <w:sz w:val="18"/>
          <w:szCs w:val="18"/>
          <w:color w:val="auto"/>
        </w:rPr>
      </w:pPr>
    </w:p>
    <w:p>
      <w:pPr>
        <w:ind w:left="900" w:right="140" w:hanging="446"/>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class or series and number of shares of capital stock of the Company that are owned of record or beneficially by the stockholder who is submitting the notice and any Stockholder Associated Person and the date such shares were acquired and the investment intent of such acquisition;</w:t>
      </w: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meeting of stockholders, a representation that the stockholder is a holder of record of Company stock entitled to vote at the meeting and intends to appear in person or by proxy at the annual meeting to nominate the proposed nominee named in the notice;</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known to the stockholder giving notice, the name and address of any other stockholder supporting the nominee for election or reelection as a director on the date of such stockholder’s notice; and</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to the stockholder giving notice and any Stockholder Associated Person, whether and to the extent which any hedging or any other transaction or series of transactions has been entered into by or on behalf of, or any other agreement, arrangement or understanding (including any short position or any borrowing or lending of shares) has been made, the effect or intent of which is to mitigate loss or to manage risk or benefit of share price changes for, or to increase or decrease the voting power of, such stockholder or any Stockholder Associated Person with respect to any shares of capital stock of the Company.</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 “Stockholder Associated Person” of any stockholder is any person controlling, directly or indirectly, or acting in concert with, such stockholder; any beneficial owner of shares of capital stock of the Company owned of record or beneficially by such stockholder and any person controlling, controlled by, or under common control with, such Stockholder Associated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of Board Skills and Experience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Huron does not have a formal policy on board member diversity. The Nominating and Corporate Governance Committee, in discussing board composition, has focused on diversity of experience in relation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2013, we paid each of our non-employee directors an annual cash retainer of $60,000 and $1,000 for each meeting of the board of directors or any committee of the board that he attended. In connection with Mr. Massaro’s resumption of his prior role as Vice Chairman in May 2010, the Compensation Committee approved, effective April 1, 2010, an annual supplemental retainer of $25,000 for Mr. Massaro in addition to the annual board retainer of $60,000. In connection with Mr. McCartney’s assumption of the role of Non-executive Chairman in May 2010, the Compensation Committee approved, effective May 3, 2010, an annual cash retainer of $175,000 for Mr. McCartney in addition to the annual board retainer of $60,000. Mr. McCartney does not receive a fee for meetings he attends.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annual cash retainer, we paid an annual fee of $10,000 to the Chairperson of the Audit Committee and $7,500 to the Chairpersons of each of the Compensation Committee and the Nominating and Corporate Governance Committee, for chairing the committees. All of our directors are reimbursed for out-of-pocket expenses for attending board and committee meetings. In addition, each non-employee director receives an annual grant of restricted stock on the date of the Company’s annual meeting with a value of $170,000, based on the closing stock price on the date immediately preceding the annual meeting. The restricted stock award vests ratably over the following 12 calendar quarters and vests immediately in the event of a change of control. On May 3, 2013, each non-employee director received 4,153 shares, based on the closing stock price on May 2, 2013 of $40.93. Non-employee directors are expected to own Huron stock equal to the lesser of three times the annual cash retainer (not including the supplemental retainers paid to the Non-executive Chairman and Vice Chairman) or 9,000 shares. In October 2013, the board of directors established the initial grant of restricted stock to new directors as a number of shares of restricted stock equal to $200,000, based on the closing stock price on the date immediately preceding the grant date, vesting ratably over the following 12 calendar quarters. In addition, each new independent director shall receive: (i) a number of restricted shares equal to half of the annual grant to directors, if the new board member joins the board within six months after the Company’s annual meeting, (ii) no prorated annual grant if joining the board seven months or more after the annual meeting; and (iii) meeting fees for all meetings attended.</w:t>
      </w:r>
    </w:p>
    <w:p>
      <w:pPr>
        <w:spacing w:after="0" w:line="12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Directors are eligible to participate in our deferred compensation plan, which is described under the caption “EXECUTIVE COMPENSATION—2013 Nonqualified Deferred Compensation.” One director has elected to participate beginning in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review board compensation annually and make changes as it deems appropriate.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or employees of the Company receive no compensation for duties performed as a director.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100" w:type="dxa"/>
            <w:vAlign w:val="bottom"/>
            <w:vMerge w:val="restart"/>
          </w:tcPr>
          <w:p>
            <w:pPr>
              <w:spacing w:after="0"/>
              <w:rPr>
                <w:sz w:val="14"/>
                <w:szCs w:val="14"/>
                <w:color w:val="auto"/>
              </w:rPr>
            </w:pPr>
          </w:p>
        </w:tc>
        <w:tc>
          <w:tcPr>
            <w:tcW w:w="17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Fees Earned</w:t>
            </w: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100" w:type="dxa"/>
            <w:vAlign w:val="bottom"/>
            <w:vMerge w:val="continue"/>
          </w:tcPr>
          <w:p>
            <w:pPr>
              <w:spacing w:after="0"/>
              <w:rPr>
                <w:sz w:val="14"/>
                <w:szCs w:val="14"/>
                <w:color w:val="auto"/>
              </w:rPr>
            </w:pPr>
          </w:p>
        </w:tc>
        <w:tc>
          <w:tcPr>
            <w:tcW w:w="17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1"/>
              </w:rPr>
              <w:t xml:space="preserve">or Paid in Cash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46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90"/>
              </w:rPr>
              <w:t xml:space="preserve">Awards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DuBose Ausley (2)</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79,000</w:t>
            </w: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169,982</w:t>
            </w: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248,982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James D. Edwards (2)</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79,500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169,982</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249,482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(2)</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90,000</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169,982</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259,982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George E. Massaro (2)</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98,000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169,982</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267,982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(2)</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235,000</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169,982</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404,982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John S. Moody (2)</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86,500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169,982</w:t>
            </w:r>
          </w:p>
        </w:tc>
        <w:tc>
          <w:tcPr>
            <w:tcW w:w="620" w:type="dxa"/>
            <w:vAlign w:val="bottom"/>
          </w:tcPr>
          <w:p>
            <w:pPr>
              <w:ind w:left="60"/>
              <w:spacing w:after="0"/>
              <w:rPr>
                <w:sz w:val="20"/>
                <w:szCs w:val="20"/>
                <w:color w:val="auto"/>
              </w:rPr>
            </w:pPr>
            <w:r>
              <w:rPr>
                <w:rFonts w:ascii="Arial" w:cs="Arial" w:eastAsia="Arial" w:hAnsi="Arial"/>
                <w:sz w:val="18"/>
                <w:szCs w:val="18"/>
                <w:color w:val="auto"/>
                <w:w w:val="82"/>
              </w:rPr>
              <w:t>256,482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2013. Grant date fair value is based on the closing price of Huron stock on the last trading day prior to the grant date. Each of these grants vests ratably over the 12 calendar quarters following the grant.</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December 31, 2013, each of Messrs. Ausley, Edwards, Lockhart, Massaro, McCartney and Moody held 6,857 shares of restricted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solely upon our review of forms filed by the Section 16 Reporting Persons pursuant to the 1934 Act, we have not identified any late filings in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 (1)</w:t>
            </w:r>
          </w:p>
        </w:tc>
        <w:tc>
          <w:tcPr>
            <w:tcW w:w="6920" w:type="dxa"/>
            <w:vAlign w:val="bottom"/>
            <w:vMerge w:val="restart"/>
          </w:tcPr>
          <w:p>
            <w:pPr>
              <w:spacing w:after="0"/>
              <w:rPr>
                <w:sz w:val="14"/>
                <w:szCs w:val="14"/>
                <w:color w:val="auto"/>
              </w:rPr>
            </w:pP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1780" w:type="dxa"/>
            <w:vAlign w:val="bottom"/>
            <w:tcBorders>
              <w:bottom w:val="single" w:sz="8" w:color="auto"/>
            </w:tcBorders>
            <w:vMerge w:val="continue"/>
          </w:tcPr>
          <w:p>
            <w:pPr>
              <w:spacing w:after="0"/>
              <w:rPr>
                <w:sz w:val="12"/>
                <w:szCs w:val="12"/>
                <w:color w:val="auto"/>
              </w:rPr>
            </w:pPr>
          </w:p>
        </w:tc>
        <w:tc>
          <w:tcPr>
            <w:tcW w:w="6920" w:type="dxa"/>
            <w:vAlign w:val="bottom"/>
            <w:vMerge w:val="continue"/>
          </w:tcPr>
          <w:p>
            <w:pPr>
              <w:spacing w:after="0"/>
              <w:rPr>
                <w:sz w:val="12"/>
                <w:szCs w:val="12"/>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Beneficial owners of 5% or more:</w:t>
            </w: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FMR LLC (2)</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2,389,349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Wellington Management Company, LLP (3)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2,100,496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The Vanguard Group, Inc. (4)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1,363,666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BlackRock, Inc. (5)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1,341,015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DuBose Ausley (6)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31,031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James D. Edwards (7)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20,184</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 Mark Hussey (8)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29,804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H. Eugene Lockhart (9)</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28,797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George E. Massaro (10)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19,462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John McCartney (11)</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54,043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John S. Moody (12)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25,915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Diane E. Ratekin (13)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28,755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James H. Roth (14)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351,874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2"/>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All directors and executive officers as a group (9 persons) (15)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589,865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580" w:right="480" w:hanging="572"/>
        <w:spacing w:after="0" w:line="332" w:lineRule="auto"/>
        <w:tabs>
          <w:tab w:leader="none" w:pos="58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for each of the stockholders, other than FMR LLC, Wellington Management Company, LLP, The Vanguard Group, Inc., and BlackRock, Inc., listed below, is c/o Huron Consulting Group Inc., 550 West Van Buren Street, Chicago, Illinois 60607.</w:t>
      </w:r>
    </w:p>
    <w:p>
      <w:pPr>
        <w:spacing w:after="0" w:line="4" w:lineRule="exact"/>
        <w:rPr>
          <w:rFonts w:ascii="Arial" w:cs="Arial" w:eastAsia="Arial" w:hAnsi="Arial"/>
          <w:sz w:val="16"/>
          <w:szCs w:val="16"/>
          <w:i w:val="1"/>
          <w:iCs w:val="1"/>
          <w:color w:val="auto"/>
        </w:rPr>
      </w:pPr>
    </w:p>
    <w:p>
      <w:pPr>
        <w:ind w:left="580" w:right="280" w:hanging="572"/>
        <w:spacing w:after="0" w:line="332" w:lineRule="auto"/>
        <w:tabs>
          <w:tab w:leader="none" w:pos="58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FMR LLC is 245 Summer Street, Boston, Massachusetts 02210. Information regarding beneficial ownership of our common stock by FMR LLC is included herein in reliance on a Schedule 13G/A filed with the SEC on February 10, 2014.</w:t>
      </w:r>
    </w:p>
    <w:p>
      <w:pPr>
        <w:spacing w:after="0" w:line="4" w:lineRule="exact"/>
        <w:rPr>
          <w:rFonts w:ascii="Arial" w:cs="Arial" w:eastAsia="Arial" w:hAnsi="Arial"/>
          <w:sz w:val="16"/>
          <w:szCs w:val="16"/>
          <w:i w:val="1"/>
          <w:iCs w:val="1"/>
          <w:color w:val="auto"/>
        </w:rPr>
      </w:pPr>
    </w:p>
    <w:p>
      <w:pPr>
        <w:ind w:left="580" w:hanging="572"/>
        <w:spacing w:after="0" w:line="259"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Wellington Management Company, LLP is 280 Congress Street, Boston, Massachusetts 02210. Information regarding beneficial ownership of our common stock by Wellington Management Company, LLP is included herein in reliance on a Schedule 13G/A filed with the SEC on February 14, 2014.</w:t>
      </w:r>
    </w:p>
    <w:p>
      <w:pPr>
        <w:spacing w:after="0" w:line="59" w:lineRule="exact"/>
        <w:rPr>
          <w:rFonts w:ascii="Arial" w:cs="Arial" w:eastAsia="Arial" w:hAnsi="Arial"/>
          <w:sz w:val="18"/>
          <w:szCs w:val="18"/>
          <w:i w:val="1"/>
          <w:iCs w:val="1"/>
          <w:color w:val="auto"/>
        </w:rPr>
      </w:pPr>
    </w:p>
    <w:p>
      <w:pPr>
        <w:jc w:val="both"/>
        <w:ind w:left="580" w:right="80" w:hanging="572"/>
        <w:spacing w:after="0" w:line="256"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The Vanguard Group, Inc. is 100 Vanguard Boulevard, Malvern, Pennsylvania 19355. The shares are owned by The Vanguard Group, Inc. and the following subsidiaries of The Vanguard Group, Inc.: Vanguard Fiduciary Trust Company and Vanguard Investments Australia, Ltd. Information regarding beneficial ownership of our common stock by The Vanguard Group, Inc. is included herein in reliance on a Schedule 13G/A filed with the SEC on February 11, 2014.</w:t>
      </w:r>
    </w:p>
    <w:p>
      <w:pPr>
        <w:spacing w:after="0" w:line="62" w:lineRule="exact"/>
        <w:rPr>
          <w:rFonts w:ascii="Arial" w:cs="Arial" w:eastAsia="Arial" w:hAnsi="Arial"/>
          <w:sz w:val="18"/>
          <w:szCs w:val="18"/>
          <w:i w:val="1"/>
          <w:iCs w:val="1"/>
          <w:color w:val="auto"/>
        </w:rPr>
      </w:pPr>
    </w:p>
    <w:p>
      <w:pPr>
        <w:ind w:left="580" w:right="100" w:hanging="572"/>
        <w:spacing w:after="0" w:line="254"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BlackRock, Inc. is 40 East 52nd Street, New York, New York 10022. The shares are owned by the following subsidiaries of BlackRock, Inc.: BlackRock Advisors (UK) Limited, BlackRock Advisors, LLC, BlackRock Asset Management Canada Limited, BlackRock Fund Advisors, BlackRock Fund Management Ireland Limited, BlackRock Institutional Trust Company, N.A., BlackRock International Limited, BlackRock Investment Management (Australia) Limited, BlackRock Investment Management (UK) Ltd. and BlackRock Investment Management, LLC. Information regarding beneficial ownership of our common stock by BlackRock, Inc. is included herein in reliance on a Schedule 13G/A filed with the SEC on January 29, 2014.</w:t>
      </w:r>
    </w:p>
    <w:p>
      <w:pPr>
        <w:spacing w:after="0" w:line="63" w:lineRule="exact"/>
        <w:rPr>
          <w:rFonts w:ascii="Arial" w:cs="Arial" w:eastAsia="Arial" w:hAnsi="Arial"/>
          <w:sz w:val="18"/>
          <w:szCs w:val="18"/>
          <w:i w:val="1"/>
          <w:iCs w:val="1"/>
          <w:color w:val="auto"/>
        </w:rPr>
      </w:pPr>
    </w:p>
    <w:p>
      <w:pPr>
        <w:ind w:left="580" w:hanging="572"/>
        <w:spacing w:after="0"/>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5,617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5,617 shares of restricted common stock.</w:t>
      </w:r>
    </w:p>
    <w:p>
      <w:pPr>
        <w:spacing w:after="0" w:line="90" w:lineRule="exact"/>
        <w:rPr>
          <w:rFonts w:ascii="Arial" w:cs="Arial" w:eastAsia="Arial" w:hAnsi="Arial"/>
          <w:sz w:val="18"/>
          <w:szCs w:val="18"/>
          <w:i w:val="1"/>
          <w:iCs w:val="1"/>
          <w:color w:val="auto"/>
        </w:rPr>
      </w:pPr>
    </w:p>
    <w:p>
      <w:pPr>
        <w:ind w:left="580" w:right="60" w:hanging="572"/>
        <w:spacing w:after="0" w:line="268"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5,890 shares issuable upon exercise of options that are exercisable currently or within 60 days of the Record Date. Also includes 15,886 shares of restricted common stock.</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5,617 shares of restricted common stock.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5,617 shares of restricted common stock.</w:t>
      </w:r>
    </w:p>
    <w:p>
      <w:pPr>
        <w:spacing w:after="0" w:line="90" w:lineRule="exact"/>
        <w:rPr>
          <w:rFonts w:ascii="Arial" w:cs="Arial" w:eastAsia="Arial" w:hAnsi="Arial"/>
          <w:sz w:val="18"/>
          <w:szCs w:val="18"/>
          <w:i w:val="1"/>
          <w:iCs w:val="1"/>
          <w:color w:val="auto"/>
        </w:rPr>
      </w:pPr>
    </w:p>
    <w:p>
      <w:pPr>
        <w:ind w:left="580" w:right="16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5,617 shares of restricted common stock, as well as 1,259 shares held by a wholly-owned limited liability company of which Mr. McCartney is the sole owner.</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5,617 shares of restricted common stock.</w:t>
      </w:r>
    </w:p>
    <w:p>
      <w:pPr>
        <w:spacing w:after="0" w:line="90" w:lineRule="exact"/>
        <w:rPr>
          <w:rFonts w:ascii="Arial" w:cs="Arial" w:eastAsia="Arial" w:hAnsi="Arial"/>
          <w:sz w:val="18"/>
          <w:szCs w:val="18"/>
          <w:i w:val="1"/>
          <w:iCs w:val="1"/>
          <w:color w:val="auto"/>
        </w:rPr>
      </w:pPr>
    </w:p>
    <w:p>
      <w:pPr>
        <w:ind w:left="58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6,273 shares issuable upon exercise of options that are exercisable currently or within 60 days of the Record Date. Also includes 8,976 shares of restricted common stock.</w:t>
      </w:r>
    </w:p>
    <w:p>
      <w:pPr>
        <w:spacing w:after="0" w:line="50" w:lineRule="exact"/>
        <w:rPr>
          <w:rFonts w:ascii="Arial" w:cs="Arial" w:eastAsia="Arial" w:hAnsi="Arial"/>
          <w:sz w:val="18"/>
          <w:szCs w:val="18"/>
          <w:i w:val="1"/>
          <w:iCs w:val="1"/>
          <w:color w:val="auto"/>
        </w:rPr>
      </w:pPr>
    </w:p>
    <w:p>
      <w:pPr>
        <w:ind w:left="580" w:right="42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136,116 shares issuable upon exercise of options that are exercisable currently or within 60 days of the Record Date. Also includes 33,442 shares of restricted common stock, as well as 3,855 shares held by a family partnership.</w:t>
      </w:r>
    </w:p>
    <w:p>
      <w:pPr>
        <w:spacing w:after="0" w:line="50" w:lineRule="exact"/>
        <w:rPr>
          <w:rFonts w:ascii="Arial" w:cs="Arial" w:eastAsia="Arial" w:hAnsi="Arial"/>
          <w:sz w:val="18"/>
          <w:szCs w:val="18"/>
          <w:i w:val="1"/>
          <w:iCs w:val="1"/>
          <w:color w:val="auto"/>
        </w:rPr>
      </w:pPr>
    </w:p>
    <w:p>
      <w:pPr>
        <w:ind w:left="580" w:right="6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148,279 shares issuable upon exercise of options held by members of the group that are exercisable currently or within 60 days of the Record Date. Also includes 92,006 shares of restricted common stock.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 – Business Strategy, Performance and Compensation Decision Making</w:t>
      </w:r>
    </w:p>
    <w:p>
      <w:pPr>
        <w:spacing w:after="0" w:line="84"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 xml:space="preserve">Business Strategy. </w:t>
      </w:r>
      <w:r>
        <w:rPr>
          <w:rFonts w:ascii="Arial" w:cs="Arial" w:eastAsia="Arial" w:hAnsi="Arial"/>
          <w:sz w:val="16"/>
          <w:szCs w:val="16"/>
          <w:color w:val="auto"/>
        </w:rPr>
        <w:t>When making compensation decisions impacting our named executive officers, the Compensation Committee actively considers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strategy, which is to be recognized as a premier professional services firm primarily serving the healthcare, education, life sciences, legal, and corporate restructuring markets, and the named executive officers’ performance against that strategy. To understand our compensation decision making, it is important to understand the Compensation Committee’s evaluation of the Company’s quantitative and qualitative performance during 2013.</w:t>
      </w:r>
      <w:r>
        <w:rPr>
          <w:rFonts w:ascii="Arial" w:cs="Arial" w:eastAsia="Arial" w:hAnsi="Arial"/>
          <w:sz w:val="10"/>
          <w:szCs w:val="10"/>
          <w:color w:val="auto"/>
        </w:rPr>
        <w:t>1</w:t>
      </w:r>
      <w:r>
        <w:rPr>
          <w:rFonts w:ascii="Arial" w:cs="Arial" w:eastAsia="Arial" w:hAnsi="Arial"/>
          <w:sz w:val="16"/>
          <w:szCs w:val="16"/>
          <w:color w:val="auto"/>
        </w:rPr>
        <w:t xml:space="preserve"> The Company’s business strategy and performance are described more completely in our 10-K and 10-Q filings.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2013 Performance.</w:t>
      </w:r>
    </w:p>
    <w:p>
      <w:pPr>
        <w:spacing w:after="0" w:line="96" w:lineRule="exact"/>
        <w:rPr>
          <w:sz w:val="20"/>
          <w:szCs w:val="20"/>
          <w:color w:val="auto"/>
        </w:rPr>
      </w:pPr>
    </w:p>
    <w:p>
      <w:pPr>
        <w:ind w:left="900" w:right="100" w:hanging="446"/>
        <w:spacing w:after="0" w:line="255"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revenue increased 15% in 2013 compared with 2012 led by strong performance in the Huron Healthcare segment, which grew revenue 24%. In the Huron Education and Life Sciences segment, revenue increased nearly 15%, partially due to the fourth quarter acquisition of Blue Stone International. In the Huron Legal segment, revenue decreased 1% for the year as the practice experienced a weak first half of 2013, but significantly recovered in the second half of the year. Revenue in the Huron Financial segment increased 36% aided by several large debtor-side restructuring engagements.</w:t>
      </w:r>
    </w:p>
    <w:p>
      <w:pPr>
        <w:spacing w:after="0" w:line="61"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We continued to build a culture that attracts top talent. Full-time billable average consultant headcount increased by 13.4% and turnover is at a low of 12.6%. For the third year in a row, Huron was recognized as one of the Best Firms to Work For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Also in 2013, Huron was named a Top Workplace by the </w:t>
      </w:r>
      <w:r>
        <w:rPr>
          <w:rFonts w:ascii="Arial" w:cs="Arial" w:eastAsia="Arial" w:hAnsi="Arial"/>
          <w:sz w:val="16"/>
          <w:szCs w:val="16"/>
          <w:i w:val="1"/>
          <w:iCs w:val="1"/>
          <w:color w:val="auto"/>
        </w:rPr>
        <w:t>Chicago Tribune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Oregonian</w:t>
      </w:r>
      <w:r>
        <w:rPr>
          <w:rFonts w:ascii="Arial" w:cs="Arial" w:eastAsia="Arial" w:hAnsi="Arial"/>
          <w:sz w:val="16"/>
          <w:szCs w:val="16"/>
          <w:color w:val="auto"/>
        </w:rPr>
        <w:t>, representing the locations of our two largest concentrations of employees.</w:t>
      </w:r>
    </w:p>
    <w:p>
      <w:pPr>
        <w:spacing w:after="0" w:line="25" w:lineRule="exact"/>
        <w:rPr>
          <w:rFonts w:ascii="Arial" w:cs="Arial" w:eastAsia="Arial" w:hAnsi="Arial"/>
          <w:sz w:val="16"/>
          <w:szCs w:val="16"/>
          <w:color w:val="auto"/>
        </w:rPr>
      </w:pPr>
    </w:p>
    <w:p>
      <w:pPr>
        <w:ind w:left="900" w:right="4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Our Adjusted EBITDA margin improved from 18.5% in 2012 to 19.2% in 2013 resulting from a favorable contribution from our higher-margin businesses, along with a continuing focus on controlling our selling, general and administrative expenses.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Adjusted EPS improved 26.5% in 2013 due to strong revenue growth, Adjusted EBITDA margin improvement, as well as lower interest expense and a reduced effective income tax rate.</w:t>
      </w:r>
    </w:p>
    <w:p>
      <w:pPr>
        <w:spacing w:after="0" w:line="97" w:lineRule="exact"/>
        <w:rPr>
          <w:rFonts w:ascii="Arial" w:cs="Arial" w:eastAsia="Arial" w:hAnsi="Arial"/>
          <w:sz w:val="18"/>
          <w:szCs w:val="18"/>
          <w:color w:val="auto"/>
        </w:rPr>
      </w:pPr>
    </w:p>
    <w:p>
      <w:pPr>
        <w:ind w:left="460" w:right="100" w:hanging="446"/>
        <w:spacing w:after="0" w:line="288" w:lineRule="auto"/>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In the following discussion of the Company’s 2013 performance, the Compensation Committee discusses certain of Huron’s results of operations using certain non-GAAP financial measures, which are discussed in the Company’s Annual Report on Form 10-K for the year ended December 31, 2013 (the “2013 Annual Report on Form 10-K”), Item 7, Management’s Discussion and Analysis of Financial Condition and Results of Operations under the subheading “Non-GAAP Measures.” These non-GAAP financial measures include Adjusted EBITDA, Adjusted EBITDA margin and Adjusted EPS. EBITDA is defined as net income from continuing operations before interest and other expenses, income tax expense and depreciation and amortization. Adjusted EBITDA represents EBITDA as adjusted by adding back restructuring charges, litigation and other settlement gains and losses, restatement related expenses, and goodwill impairment charges. Adjusted EBITDA margin is Adjusted EBITDA expressed as a percentage of revenues. Adjusted EPS is defined as earnings per share from continuing operations adjusted for the same items as Adjusted EBITDA, in addition to amortization of intangible assets, on a tax effected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6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cash flow was strong as we reduced our total debt by $24 million, funded $20 million of capital expenditures and a $30 million acquisition, and still ended the year with a record cash balance of $58 million. Our leverage ratio (defined as total debt, less cash divided by Adjusted EBITDA) was 0.8x, the lowest level since 2007. The strength of our balance sheet provides significant flexibility to accomplish our strategic goals.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Investors responded favorably to Huron’s financial and strategic performance, and the stock price increased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139700</wp:posOffset>
            </wp:positionV>
            <wp:extent cx="4039235" cy="2383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3923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Team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past year Huron’s named executive officer team consisted of the following individuals:</w:t>
      </w:r>
    </w:p>
    <w:p>
      <w:pPr>
        <w:spacing w:after="0" w:line="9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Roth, who continues in the role of Chief Executive Officer, President and Director.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Hussey, who continues in the role of Executive Vice President, Chief Financial Officer and Treasurer.</w:t>
      </w:r>
      <w:r>
        <w:rPr>
          <w:rFonts w:ascii="Arial" w:cs="Arial" w:eastAsia="Arial" w:hAnsi="Arial"/>
          <w:sz w:val="11"/>
          <w:szCs w:val="11"/>
          <w:color w:val="auto"/>
        </w:rPr>
        <w:t>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Ratekin, who continues in the role of Executive Vice President, General Counsel and Corporate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 of Our Executive Compensation Program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strive to provide compensation to motivate and reward performance that is in the long-term best interests of our shareholders. We define performance as a blend of financial performance versus goals, achievement of strategic initiatives, and the delivery of value to shareholders. We endeavor to deliver a competitive target total value by using a mix of compensation vehicles that allows us to attract, motivate and retain top leadership talent. We also strive for a high level of clarity about how our program is designed and operates for the benefit of both our shareholders as well as our senior leadership whose performance we expect to drive through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right="460" w:hanging="452"/>
        <w:spacing w:after="0" w:line="228"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Effective February 25, 2014, Mr. Hussey was promoted to the role of Executive Vice President, Chief Operating Officer, Chief Financial Officer and Treasurer.</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operational aspects of our compensation program are summarized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Dimension of Program</w:t>
            </w:r>
          </w:p>
        </w:tc>
        <w:tc>
          <w:tcPr>
            <w:tcW w:w="220" w:type="dxa"/>
            <w:vAlign w:val="bottom"/>
          </w:tcPr>
          <w:p>
            <w:pPr>
              <w:spacing w:after="0"/>
              <w:rPr>
                <w:sz w:val="15"/>
                <w:szCs w:val="15"/>
                <w:color w:val="auto"/>
              </w:rPr>
            </w:pPr>
          </w:p>
        </w:tc>
        <w:tc>
          <w:tcPr>
            <w:tcW w:w="8680" w:type="dxa"/>
            <w:vAlign w:val="bottom"/>
          </w:tcPr>
          <w:p>
            <w:pPr>
              <w:ind w:left="40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Market Comparison</w:t>
            </w:r>
          </w:p>
        </w:tc>
        <w:tc>
          <w:tcPr>
            <w:tcW w:w="2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We utilize a formally constructed peer group as the primary market comparison. Peer companies are selected and reviewed</w:t>
            </w: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annually by the Compensation Committee based on the following criteria:</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  Publicly traded in the U.S.;</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  Similar revenue size as Huron; and</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  In a client service/professional services industry.</w:t>
            </w:r>
          </w:p>
        </w:tc>
      </w:tr>
      <w:tr>
        <w:trPr>
          <w:trHeight w:val="372"/>
        </w:trPr>
        <w:tc>
          <w:tcPr>
            <w:tcW w:w="2520" w:type="dxa"/>
            <w:vAlign w:val="bottom"/>
            <w:gridSpan w:val="2"/>
          </w:tcPr>
          <w:p>
            <w:pPr>
              <w:spacing w:after="0"/>
              <w:rPr>
                <w:sz w:val="20"/>
                <w:szCs w:val="20"/>
                <w:color w:val="auto"/>
              </w:rPr>
            </w:pPr>
            <w:r>
              <w:rPr>
                <w:rFonts w:ascii="Arial" w:cs="Arial" w:eastAsia="Arial" w:hAnsi="Arial"/>
                <w:sz w:val="18"/>
                <w:szCs w:val="18"/>
                <w:color w:val="auto"/>
                <w:w w:val="96"/>
              </w:rPr>
              <w:t>Total Compensation Opportunity</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1"/>
              </w:rPr>
              <w:t>We generally structure target total direct compensation opportunity within 10% to 15% of the peer group median. Target</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2"/>
              </w:rPr>
              <w:t>total direct compensation includes base salary, annual incentive compensation and long-term incentive awards. Actual</w:t>
            </w: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value received by our named executive officers depends on Company performance.</w:t>
            </w:r>
          </w:p>
        </w:tc>
      </w:tr>
      <w:tr>
        <w:trPr>
          <w:trHeight w:val="378"/>
        </w:trPr>
        <w:tc>
          <w:tcPr>
            <w:tcW w:w="2520" w:type="dxa"/>
            <w:vAlign w:val="bottom"/>
            <w:gridSpan w:val="2"/>
          </w:tcPr>
          <w:p>
            <w:pPr>
              <w:spacing w:after="0"/>
              <w:rPr>
                <w:sz w:val="20"/>
                <w:szCs w:val="20"/>
                <w:color w:val="auto"/>
              </w:rPr>
            </w:pPr>
            <w:r>
              <w:rPr>
                <w:rFonts w:ascii="Arial" w:cs="Arial" w:eastAsia="Arial" w:hAnsi="Arial"/>
                <w:sz w:val="18"/>
                <w:szCs w:val="18"/>
                <w:color w:val="auto"/>
              </w:rPr>
              <w:t>Compensation Vehicles Used</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We rely on base salary, annual cash incentive, stock options/restricted stock and performance shares.</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  Base salary—reflects the fundamental role of the executive.</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  Annual cash incentive—rewards for achieving specific key annual levels of corporate performance.</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rPr>
              <w:t>•  Performance shares—rewards for achieving key drivers of long-term shareholder value.</w:t>
            </w:r>
          </w:p>
        </w:tc>
      </w:tr>
      <w:tr>
        <w:trPr>
          <w:trHeight w:val="29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120"/>
              <w:spacing w:after="0"/>
              <w:rPr>
                <w:sz w:val="20"/>
                <w:szCs w:val="20"/>
                <w:color w:val="auto"/>
              </w:rPr>
            </w:pPr>
            <w:r>
              <w:rPr>
                <w:rFonts w:ascii="Arial" w:cs="Arial" w:eastAsia="Arial" w:hAnsi="Arial"/>
                <w:sz w:val="18"/>
                <w:szCs w:val="18"/>
                <w:color w:val="auto"/>
                <w:w w:val="93"/>
              </w:rPr>
              <w:t>•  Service-vested equity (stock options/restricted stock)—aligns the executive with the interests of the shareholders.</w:t>
            </w:r>
          </w:p>
        </w:tc>
      </w:tr>
      <w:tr>
        <w:trPr>
          <w:trHeight w:val="372"/>
        </w:trPr>
        <w:tc>
          <w:tcPr>
            <w:tcW w:w="2520" w:type="dxa"/>
            <w:vAlign w:val="bottom"/>
            <w:gridSpan w:val="2"/>
          </w:tcPr>
          <w:p>
            <w:pPr>
              <w:spacing w:after="0"/>
              <w:rPr>
                <w:sz w:val="20"/>
                <w:szCs w:val="20"/>
                <w:color w:val="auto"/>
              </w:rPr>
            </w:pPr>
            <w:r>
              <w:rPr>
                <w:rFonts w:ascii="Arial" w:cs="Arial" w:eastAsia="Arial" w:hAnsi="Arial"/>
                <w:sz w:val="18"/>
                <w:szCs w:val="18"/>
                <w:color w:val="auto"/>
              </w:rPr>
              <w:t>Performance Metrics</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2"/>
              </w:rPr>
              <w:t>The value of our compensation components (with the exception of base salary) is based on the following performance</w:t>
            </w: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metrics:</w:t>
            </w:r>
          </w:p>
        </w:tc>
      </w:tr>
    </w:tbl>
    <w:p>
      <w:pPr>
        <w:spacing w:after="0" w:line="1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Annual Incentive Plan:</w:t>
      </w:r>
    </w:p>
    <w:p>
      <w:pPr>
        <w:spacing w:after="0" w:line="96" w:lineRule="exact"/>
        <w:rPr>
          <w:sz w:val="20"/>
          <w:szCs w:val="20"/>
          <w:color w:val="auto"/>
        </w:rPr>
      </w:pPr>
    </w:p>
    <w:p>
      <w:pPr>
        <w:ind w:left="3180" w:right="260" w:hanging="322"/>
        <w:spacing w:after="0" w:line="268" w:lineRule="auto"/>
        <w:tabs>
          <w:tab w:leader="none" w:pos="30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reflects performance of the Company’s mandate to continue expansion of its service offerings and market presence.</w:t>
      </w:r>
    </w:p>
    <w:p>
      <w:pPr>
        <w:spacing w:after="0" w:line="50" w:lineRule="exact"/>
        <w:rPr>
          <w:rFonts w:ascii="Arial" w:cs="Arial" w:eastAsia="Arial" w:hAnsi="Arial"/>
          <w:sz w:val="18"/>
          <w:szCs w:val="18"/>
          <w:color w:val="auto"/>
        </w:rPr>
      </w:pPr>
    </w:p>
    <w:p>
      <w:pPr>
        <w:ind w:left="3080" w:hanging="222"/>
        <w:spacing w:after="0"/>
        <w:tabs>
          <w:tab w:leader="none" w:pos="3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margin percentage reflects the Company’s focus on profitable growth.</w:t>
      </w:r>
    </w:p>
    <w:p>
      <w:pPr>
        <w:spacing w:after="0" w:line="90" w:lineRule="exact"/>
        <w:rPr>
          <w:rFonts w:ascii="Arial" w:cs="Arial" w:eastAsia="Arial" w:hAnsi="Arial"/>
          <w:sz w:val="18"/>
          <w:szCs w:val="18"/>
          <w:color w:val="auto"/>
        </w:rPr>
      </w:pPr>
    </w:p>
    <w:p>
      <w:pPr>
        <w:ind w:left="3100" w:hanging="242"/>
        <w:spacing w:after="0"/>
        <w:tabs>
          <w:tab w:leader="none" w:pos="3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measures reinforce the importance of specific initiatives.</w:t>
      </w:r>
    </w:p>
    <w:p>
      <w:pPr>
        <w:spacing w:after="0" w:line="2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Performance Shares:</w:t>
      </w:r>
    </w:p>
    <w:p>
      <w:pPr>
        <w:spacing w:after="0" w:line="96" w:lineRule="exact"/>
        <w:rPr>
          <w:sz w:val="20"/>
          <w:szCs w:val="20"/>
          <w:color w:val="auto"/>
        </w:rPr>
      </w:pPr>
    </w:p>
    <w:p>
      <w:pPr>
        <w:ind w:left="3180" w:right="60" w:hanging="322"/>
        <w:spacing w:after="0" w:line="306" w:lineRule="auto"/>
        <w:tabs>
          <w:tab w:leader="none" w:pos="3093"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Non-GAAP Adjusted EPS ensures that the named executive officers are focused on profitability for shareholders over the multi-year performance period. The final value of the performance shares will also be a function of the stock price; aligning the interests of the named executive officers with the shareholders.</w:t>
      </w:r>
    </w:p>
    <w:p>
      <w:pPr>
        <w:spacing w:after="0" w:line="25" w:lineRule="exact"/>
        <w:rPr>
          <w:rFonts w:ascii="Arial" w:cs="Arial" w:eastAsia="Arial" w:hAnsi="Arial"/>
          <w:sz w:val="16"/>
          <w:szCs w:val="16"/>
          <w:color w:val="auto"/>
        </w:rPr>
      </w:pPr>
    </w:p>
    <w:p>
      <w:pPr>
        <w:ind w:left="3180" w:right="440" w:hanging="322"/>
        <w:spacing w:after="0" w:line="332" w:lineRule="auto"/>
        <w:tabs>
          <w:tab w:leader="none" w:pos="309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2014, we have added a three-year performance period to the performance shares and will maintain EPS as the performance metric. The board added this component to reward sustained multi-year performance.</w:t>
      </w:r>
    </w:p>
    <w:p>
      <w:pPr>
        <w:spacing w:after="0" w:line="12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Service-Vested Equity:</w:t>
      </w:r>
    </w:p>
    <w:p>
      <w:pPr>
        <w:spacing w:after="0" w:line="96" w:lineRule="exact"/>
        <w:rPr>
          <w:sz w:val="20"/>
          <w:szCs w:val="20"/>
          <w:color w:val="auto"/>
        </w:rPr>
      </w:pPr>
    </w:p>
    <w:p>
      <w:pPr>
        <w:ind w:left="3100" w:hanging="242"/>
        <w:spacing w:after="0"/>
        <w:tabs>
          <w:tab w:leader="none" w:pos="3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Vesting of the equity is based on continued service during the vesting period.</w:t>
      </w:r>
    </w:p>
    <w:p>
      <w:pPr>
        <w:spacing w:after="0" w:line="90" w:lineRule="exact"/>
        <w:rPr>
          <w:rFonts w:ascii="Arial" w:cs="Arial" w:eastAsia="Arial" w:hAnsi="Arial"/>
          <w:sz w:val="18"/>
          <w:szCs w:val="18"/>
          <w:color w:val="auto"/>
        </w:rPr>
      </w:pPr>
    </w:p>
    <w:p>
      <w:pPr>
        <w:ind w:left="3180" w:right="420" w:hanging="322"/>
        <w:spacing w:after="0" w:line="268" w:lineRule="auto"/>
        <w:tabs>
          <w:tab w:leader="none" w:pos="30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final value of the equity is based on the stock price which further aligns the interests of the named executive officers with the shareholders.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Dimension of Program</w:t>
            </w:r>
          </w:p>
        </w:tc>
        <w:tc>
          <w:tcPr>
            <w:tcW w:w="844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Perquisites and Special Benefits</w:t>
            </w:r>
          </w:p>
        </w:tc>
        <w:tc>
          <w:tcPr>
            <w:tcW w:w="240" w:type="dxa"/>
            <w:vAlign w:val="bottom"/>
          </w:tcPr>
          <w:p>
            <w:pPr>
              <w:spacing w:after="0"/>
              <w:rPr>
                <w:sz w:val="18"/>
                <w:szCs w:val="18"/>
                <w:color w:val="auto"/>
              </w:rPr>
            </w:pPr>
          </w:p>
        </w:tc>
        <w:tc>
          <w:tcPr>
            <w:tcW w:w="8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Huron did not provide material perquisites to any named executive officer in 2013.</w:t>
            </w:r>
          </w:p>
        </w:tc>
      </w:tr>
      <w:tr>
        <w:trPr>
          <w:trHeight w:val="363"/>
        </w:trPr>
        <w:tc>
          <w:tcPr>
            <w:tcW w:w="2980" w:type="dxa"/>
            <w:vAlign w:val="bottom"/>
            <w:gridSpan w:val="3"/>
          </w:tcPr>
          <w:p>
            <w:pPr>
              <w:spacing w:after="0"/>
              <w:rPr>
                <w:sz w:val="20"/>
                <w:szCs w:val="20"/>
                <w:color w:val="auto"/>
              </w:rPr>
            </w:pPr>
            <w:r>
              <w:rPr>
                <w:rFonts w:ascii="Arial" w:cs="Arial" w:eastAsia="Arial" w:hAnsi="Arial"/>
                <w:sz w:val="18"/>
                <w:szCs w:val="18"/>
                <w:color w:val="auto"/>
              </w:rPr>
              <w:t>Agreements/Contracts</w:t>
            </w:r>
          </w:p>
        </w:tc>
        <w:tc>
          <w:tcPr>
            <w:tcW w:w="8440" w:type="dxa"/>
            <w:vAlign w:val="bottom"/>
          </w:tcPr>
          <w:p>
            <w:pPr>
              <w:spacing w:after="0"/>
              <w:rPr>
                <w:sz w:val="20"/>
                <w:szCs w:val="20"/>
                <w:color w:val="auto"/>
              </w:rPr>
            </w:pPr>
            <w:r>
              <w:rPr>
                <w:rFonts w:ascii="Arial" w:cs="Arial" w:eastAsia="Arial" w:hAnsi="Arial"/>
                <w:sz w:val="18"/>
                <w:szCs w:val="18"/>
                <w:color w:val="auto"/>
                <w:w w:val="94"/>
              </w:rPr>
              <w:t>Each of our named executive officers is covered by a senior management agreement, which includes client and</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employee non-solicitation agreements.</w:t>
            </w:r>
          </w:p>
        </w:tc>
      </w:tr>
      <w:tr>
        <w:trPr>
          <w:trHeight w:val="372"/>
        </w:trPr>
        <w:tc>
          <w:tcPr>
            <w:tcW w:w="2980" w:type="dxa"/>
            <w:vAlign w:val="bottom"/>
            <w:gridSpan w:val="3"/>
          </w:tcPr>
          <w:p>
            <w:pPr>
              <w:spacing w:after="0"/>
              <w:rPr>
                <w:sz w:val="20"/>
                <w:szCs w:val="20"/>
                <w:color w:val="auto"/>
              </w:rPr>
            </w:pPr>
            <w:r>
              <w:rPr>
                <w:rFonts w:ascii="Arial" w:cs="Arial" w:eastAsia="Arial" w:hAnsi="Arial"/>
                <w:sz w:val="18"/>
                <w:szCs w:val="18"/>
                <w:color w:val="auto"/>
              </w:rPr>
              <w:t>Governance Practices</w:t>
            </w:r>
          </w:p>
        </w:tc>
        <w:tc>
          <w:tcPr>
            <w:tcW w:w="8440" w:type="dxa"/>
            <w:vAlign w:val="bottom"/>
          </w:tcPr>
          <w:p>
            <w:pPr>
              <w:spacing w:after="0"/>
              <w:rPr>
                <w:sz w:val="20"/>
                <w:szCs w:val="20"/>
                <w:color w:val="auto"/>
              </w:rPr>
            </w:pPr>
            <w:r>
              <w:rPr>
                <w:rFonts w:ascii="Arial" w:cs="Arial" w:eastAsia="Arial" w:hAnsi="Arial"/>
                <w:sz w:val="18"/>
                <w:szCs w:val="18"/>
                <w:color w:val="auto"/>
                <w:w w:val="95"/>
              </w:rPr>
              <w:t>The Compensation Committee ensures continued sound governance by: conducting an annual evaluation of its</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5"/>
              </w:rPr>
              <w:t>performance; conducting an annual review of its charter; conducting an annual compensation risk assessment;</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3"/>
              </w:rPr>
              <w:t>following a thorough checklist to ensure that charter requirements are followed throughout the year; and annually</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affirming its independence and assessing that of its external consultant.</w:t>
            </w:r>
          </w:p>
        </w:tc>
      </w:tr>
      <w:tr>
        <w:trPr>
          <w:trHeight w:val="372"/>
        </w:trPr>
        <w:tc>
          <w:tcPr>
            <w:tcW w:w="2980" w:type="dxa"/>
            <w:vAlign w:val="bottom"/>
            <w:gridSpan w:val="3"/>
          </w:tcPr>
          <w:p>
            <w:pPr>
              <w:spacing w:after="0"/>
              <w:rPr>
                <w:sz w:val="20"/>
                <w:szCs w:val="20"/>
                <w:color w:val="auto"/>
              </w:rPr>
            </w:pPr>
            <w:r>
              <w:rPr>
                <w:rFonts w:ascii="Arial" w:cs="Arial" w:eastAsia="Arial" w:hAnsi="Arial"/>
                <w:sz w:val="18"/>
                <w:szCs w:val="18"/>
                <w:color w:val="auto"/>
              </w:rPr>
              <w:t>External Consultant</w:t>
            </w:r>
          </w:p>
        </w:tc>
        <w:tc>
          <w:tcPr>
            <w:tcW w:w="8440" w:type="dxa"/>
            <w:vAlign w:val="bottom"/>
          </w:tcPr>
          <w:p>
            <w:pPr>
              <w:spacing w:after="0"/>
              <w:rPr>
                <w:sz w:val="20"/>
                <w:szCs w:val="20"/>
                <w:color w:val="auto"/>
              </w:rPr>
            </w:pPr>
            <w:r>
              <w:rPr>
                <w:rFonts w:ascii="Arial" w:cs="Arial" w:eastAsia="Arial" w:hAnsi="Arial"/>
                <w:sz w:val="18"/>
                <w:szCs w:val="18"/>
                <w:color w:val="auto"/>
                <w:w w:val="90"/>
              </w:rPr>
              <w:t>Since 2009, the Compensation Committee has received advice from Semler Brossy Consulting Group, LLC (“Semler</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Brossy”).</w:t>
            </w:r>
          </w:p>
        </w:tc>
      </w:tr>
      <w:tr>
        <w:trPr>
          <w:trHeight w:val="372"/>
        </w:trPr>
        <w:tc>
          <w:tcPr>
            <w:tcW w:w="2980" w:type="dxa"/>
            <w:vAlign w:val="bottom"/>
            <w:gridSpan w:val="3"/>
          </w:tcPr>
          <w:p>
            <w:pPr>
              <w:spacing w:after="0"/>
              <w:rPr>
                <w:sz w:val="20"/>
                <w:szCs w:val="20"/>
                <w:color w:val="auto"/>
              </w:rPr>
            </w:pPr>
            <w:r>
              <w:rPr>
                <w:rFonts w:ascii="Arial" w:cs="Arial" w:eastAsia="Arial" w:hAnsi="Arial"/>
                <w:sz w:val="18"/>
                <w:szCs w:val="18"/>
                <w:color w:val="auto"/>
              </w:rPr>
              <w:t>Tax Considerations</w:t>
            </w:r>
          </w:p>
        </w:tc>
        <w:tc>
          <w:tcPr>
            <w:tcW w:w="8440" w:type="dxa"/>
            <w:vAlign w:val="bottom"/>
          </w:tcPr>
          <w:p>
            <w:pPr>
              <w:spacing w:after="0"/>
              <w:rPr>
                <w:sz w:val="20"/>
                <w:szCs w:val="20"/>
                <w:color w:val="auto"/>
              </w:rPr>
            </w:pPr>
            <w:r>
              <w:rPr>
                <w:rFonts w:ascii="Arial" w:cs="Arial" w:eastAsia="Arial" w:hAnsi="Arial"/>
                <w:sz w:val="18"/>
                <w:szCs w:val="18"/>
                <w:color w:val="auto"/>
                <w:w w:val="89"/>
              </w:rPr>
              <w:t>All annual and long-term incentive plans are intended to comply with Section 162(m) which allows all compensation to</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named executive officers to be 100% tax deductible. However, the committee has not adopted a policy that requires all</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compensation to be deductible because we want to preserve the ability to award compensation that is not deductible if</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we believe that it is in our stockholders’ best interests.</w:t>
            </w:r>
          </w:p>
        </w:tc>
      </w:tr>
      <w:tr>
        <w:trPr>
          <w:trHeight w:val="291"/>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8"/>
              </w:rPr>
              <w:t>Huron does not have any arrangements that would provide for the payment of an executive’s ordinary or excise taxes by</w:t>
            </w: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the Company (commonly called tax gross-up payments).</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is responsible for, among other things, administering our executive compensation program in a manner consistent with our compensation philosophy and objectives. The principal functions of the Compensation Committee are to:</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set salaries and annual and long-term incentive levels for the CEO and other named executive officers;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 annually the performance of the CEO (in coordination with the full board) and review the CEO evaluation of the other named executive officers;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approve the design and competitiveness of our compensation plans, executive benefits and perquisites;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director compensation and make recommendations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approve goals used for the annual and long-term incentive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 and terminate, in its sole discretion, any independent compensation consultant used to assist the Compensation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evaluate compensation arrangements to assess whether they could encourage undue risk taking;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a Compensation Committee report on executive compensation for inclusion in the proxy statement.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acts independently, and works closely with our board of directors and the executive management team, in making many of its decisions. To support its decision making, the Compensation Committee has retained the services of Semler Brossy.</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2013, the Compensation Committee was comprised entirely of independent directors, none of whom has at any time been an officer or employee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CEO works together with the Corporate Vice President, Human Resources and the Compensation Committee of our board of directors to establish, review and evaluate compensation packages and policies for our executive officers. Our CEO reviews the performance of each named executive officer and makes recommendations to the Compensation Committee based on his review. In addition, our CEO, CFO, and General Counsel provide input into our strategic goals for future performance periods. The Compensation Committee carefully reviews all information before finalizing incentive goals, however, as we believe such a process ensures that goals will be motivating and challenging, but also attainable.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Advisor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continued to retain Semler Brossy as its advisor for the 2013 fiscal year to assist in the ongoing assessment of our executive compensation strategy and program. Semler Brossy reports directly to the Compensation Committee and serves at its sole discretion. Semler Brossy does not perform any other services for the Company other than in connection with its work for the Compensation Committee. The Committee annually analyzes whether the work of Semler Brossy as a compensation consultant has raised any conflict of interest. The Committee has determined, based on its analysis of NASDAQ requirements, that the work of Semler Brossy and the individual compensation advisors employed by Semler Brossy as compensation consultants to the Company has not created any conflict of interest.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Comparison</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Eleven companies currently comprise the peer group for Huron. Companies were identified based on the following process. First, all companies were identified that met the following criteria:</w:t>
      </w:r>
    </w:p>
    <w:p>
      <w:pPr>
        <w:spacing w:after="0" w:line="5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 headquartered and publicly traded.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between one-half to two times Huron’s trailing 12 months revenue as of Huron’s 2012 fiscal year-end.</w:t>
      </w:r>
    </w:p>
    <w:p>
      <w:pPr>
        <w:spacing w:after="0" w:line="9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Global Industry Classification Standard (GICS) codes: Research and Consulting Services, Application Software, Health Care Services or Technology, or Data Processing and Outsourced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Companies were then screened and selected that best met the following set of factors:</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and/or labor market competitor to Huron.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Similar revenue per employee.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Similar margin.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Predominantly U.S.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Principal business was to provide value-added consulting or advisory services to companies and organizations.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only change in the peer group in 2013 was the elimination of Duff &amp; Phelps, which became a private company in April of 2013.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chart below lists the 2013 peer group and each company in the peer group’s trailing 12 months revenue and market capitalization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Peer Group ($MM)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Trailing</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12 Months</w:t>
            </w:r>
          </w:p>
        </w:tc>
        <w:tc>
          <w:tcPr>
            <w:tcW w:w="4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Cap</w:t>
            </w: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Revenue (1)</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12/31/2013</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IHS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FTI Consulting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1,636</w:t>
            </w:r>
          </w:p>
        </w:tc>
        <w:tc>
          <w:tcPr>
            <w:tcW w:w="6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MAXIMUS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1,331</w:t>
            </w: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Accretive Health</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974</w:t>
            </w:r>
          </w:p>
        </w:tc>
        <w:tc>
          <w:tcPr>
            <w:tcW w:w="6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ICF International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952</w:t>
            </w: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Navigant Consulting</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865</w:t>
            </w:r>
          </w:p>
        </w:tc>
        <w:tc>
          <w:tcPr>
            <w:tcW w:w="6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CBIZ</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749</w:t>
            </w: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Med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674</w:t>
            </w:r>
          </w:p>
        </w:tc>
        <w:tc>
          <w:tcPr>
            <w:tcW w:w="6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Resources Connection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556</w:t>
            </w: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The Advisory Board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487</w:t>
            </w:r>
          </w:p>
        </w:tc>
        <w:tc>
          <w:tcPr>
            <w:tcW w:w="6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EPIQ Systems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w:t>
            </w: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Median</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Huron Consulting Group</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755</w:t>
            </w: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most recent available public filings as of December 31,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Components of Compensation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Targeting of Total Direct Compensation. </w:t>
      </w:r>
      <w:r>
        <w:rPr>
          <w:rFonts w:ascii="Arial" w:cs="Arial" w:eastAsia="Arial" w:hAnsi="Arial"/>
          <w:sz w:val="16"/>
          <w:szCs w:val="16"/>
          <w:color w:val="auto"/>
        </w:rPr>
        <w:t>The Compensation Committee’s objective is to target total direct compensation within 10% to 15%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median of the peer group for each named executive officer. It is the assessment of the Compensation Committee that the total direct compensation levels of our named executive officers including our CEO are consistent and aligned with the median of our peer group. The established targets for individual components and overall executive compensation are designed to be competitive in order to attract, motivate and retain executives necessary to drive and achieve Company objectives. In some cases, individual components may be over or under market (in order to emphasize a particular element or if individual circumstances dictate), but we believe the total direct compensation package is market competitive.</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2013 Base Salary, Annual and Long-Term Incentive Changes. </w:t>
      </w:r>
      <w:r>
        <w:rPr>
          <w:rFonts w:ascii="Arial" w:cs="Arial" w:eastAsia="Arial" w:hAnsi="Arial"/>
          <w:sz w:val="18"/>
          <w:szCs w:val="18"/>
          <w:color w:val="auto"/>
        </w:rPr>
        <w:t>The Compensation Committee approved the following changes to base salary and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and long-term incentive (LTI) levels for the named executive officers for 2013 compared to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00" w:type="dxa"/>
            <w:vAlign w:val="bottom"/>
          </w:tcPr>
          <w:p>
            <w:pPr>
              <w:ind w:left="960"/>
              <w:spacing w:after="0"/>
              <w:rPr>
                <w:sz w:val="20"/>
                <w:szCs w:val="20"/>
                <w:color w:val="auto"/>
              </w:rPr>
            </w:pPr>
            <w:r>
              <w:rPr>
                <w:rFonts w:ascii="Arial" w:cs="Arial" w:eastAsia="Arial" w:hAnsi="Arial"/>
                <w:sz w:val="14"/>
                <w:szCs w:val="14"/>
                <w:b w:val="1"/>
                <w:bCs w:val="1"/>
                <w:color w:val="auto"/>
              </w:rPr>
              <w:t>Compensation Decisions</w:t>
            </w:r>
          </w:p>
        </w:tc>
        <w:tc>
          <w:tcPr>
            <w:tcW w:w="100" w:type="dxa"/>
            <w:vAlign w:val="bottom"/>
          </w:tcPr>
          <w:p>
            <w:pPr>
              <w:spacing w:after="0"/>
              <w:rPr>
                <w:sz w:val="15"/>
                <w:szCs w:val="15"/>
                <w:color w:val="auto"/>
              </w:rPr>
            </w:pPr>
          </w:p>
        </w:tc>
        <w:tc>
          <w:tcPr>
            <w:tcW w:w="3640" w:type="dxa"/>
            <w:vAlign w:val="bottom"/>
          </w:tcPr>
          <w:p>
            <w:pPr>
              <w:ind w:left="1520"/>
              <w:spacing w:after="0"/>
              <w:rPr>
                <w:sz w:val="20"/>
                <w:szCs w:val="20"/>
                <w:color w:val="auto"/>
              </w:rPr>
            </w:pPr>
            <w:r>
              <w:rPr>
                <w:rFonts w:ascii="Arial" w:cs="Arial" w:eastAsia="Arial" w:hAnsi="Arial"/>
                <w:sz w:val="14"/>
                <w:szCs w:val="14"/>
                <w:b w:val="1"/>
                <w:bCs w:val="1"/>
                <w:color w:val="auto"/>
              </w:rPr>
              <w:t>Comments</w:t>
            </w:r>
          </w:p>
        </w:tc>
      </w:tr>
      <w:tr>
        <w:trPr>
          <w:trHeight w:val="195"/>
        </w:trPr>
        <w:tc>
          <w:tcPr>
            <w:tcW w:w="1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James H. Roth</w:t>
            </w: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Salary - $800,000</w:t>
            </w:r>
          </w:p>
        </w:tc>
        <w:tc>
          <w:tcPr>
            <w:tcW w:w="10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LTI adjusted based on individual performance.</w:t>
            </w:r>
          </w:p>
        </w:tc>
      </w:tr>
      <w:tr>
        <w:trPr>
          <w:trHeight w:val="216"/>
        </w:trPr>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89"/>
              </w:rPr>
              <w:t>2013</w:t>
            </w:r>
          </w:p>
        </w:tc>
        <w:tc>
          <w:tcPr>
            <w:tcW w:w="3700" w:type="dxa"/>
            <w:vAlign w:val="bottom"/>
          </w:tcPr>
          <w:p>
            <w:pPr>
              <w:ind w:left="20"/>
              <w:spacing w:after="0"/>
              <w:rPr>
                <w:sz w:val="20"/>
                <w:szCs w:val="20"/>
                <w:color w:val="auto"/>
              </w:rPr>
            </w:pPr>
            <w:r>
              <w:rPr>
                <w:rFonts w:ascii="Arial" w:cs="Arial" w:eastAsia="Arial" w:hAnsi="Arial"/>
                <w:sz w:val="18"/>
                <w:szCs w:val="18"/>
                <w:color w:val="auto"/>
              </w:rPr>
              <w:t>Target AIP* - 110% of salary</w:t>
            </w:r>
          </w:p>
        </w:tc>
        <w:tc>
          <w:tcPr>
            <w:tcW w:w="1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22"/>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89"/>
              </w:rPr>
              <w:t>2013</w:t>
            </w:r>
          </w:p>
        </w:tc>
        <w:tc>
          <w:tcPr>
            <w:tcW w:w="3700" w:type="dxa"/>
            <w:vAlign w:val="bottom"/>
          </w:tcPr>
          <w:p>
            <w:pPr>
              <w:ind w:left="20"/>
              <w:spacing w:after="0"/>
              <w:rPr>
                <w:sz w:val="20"/>
                <w:szCs w:val="20"/>
                <w:color w:val="auto"/>
              </w:rPr>
            </w:pPr>
            <w:r>
              <w:rPr>
                <w:rFonts w:ascii="Arial" w:cs="Arial" w:eastAsia="Arial" w:hAnsi="Arial"/>
                <w:sz w:val="18"/>
                <w:szCs w:val="18"/>
                <w:color w:val="auto"/>
              </w:rPr>
              <w:t>Target LTI - 140% to 175% of salary</w:t>
            </w: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39"/>
        </w:trPr>
        <w:tc>
          <w:tcPr>
            <w:tcW w:w="24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5280" w:type="dxa"/>
            <w:vAlign w:val="bottom"/>
            <w:gridSpan w:val="3"/>
          </w:tcPr>
          <w:p>
            <w:pPr>
              <w:ind w:left="1200"/>
              <w:spacing w:after="0"/>
              <w:rPr>
                <w:sz w:val="20"/>
                <w:szCs w:val="20"/>
                <w:color w:val="auto"/>
              </w:rPr>
            </w:pPr>
            <w:r>
              <w:rPr>
                <w:rFonts w:ascii="Arial" w:cs="Arial" w:eastAsia="Arial" w:hAnsi="Arial"/>
                <w:sz w:val="18"/>
                <w:szCs w:val="18"/>
                <w:color w:val="auto"/>
              </w:rPr>
              <w:t>Salary - $350,000 to $450,000</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Base salary adjusted based on individual</w:t>
            </w:r>
          </w:p>
        </w:tc>
      </w:tr>
      <w:tr>
        <w:trPr>
          <w:trHeight w:val="216"/>
        </w:trPr>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89"/>
              </w:rPr>
              <w:t>2013</w:t>
            </w:r>
          </w:p>
        </w:tc>
        <w:tc>
          <w:tcPr>
            <w:tcW w:w="3700" w:type="dxa"/>
            <w:vAlign w:val="bottom"/>
          </w:tcPr>
          <w:p>
            <w:pPr>
              <w:ind w:left="20"/>
              <w:spacing w:after="0"/>
              <w:rPr>
                <w:sz w:val="20"/>
                <w:szCs w:val="20"/>
                <w:color w:val="auto"/>
              </w:rPr>
            </w:pPr>
            <w:r>
              <w:rPr>
                <w:rFonts w:ascii="Arial" w:cs="Arial" w:eastAsia="Arial" w:hAnsi="Arial"/>
                <w:sz w:val="18"/>
                <w:szCs w:val="18"/>
                <w:color w:val="auto"/>
              </w:rPr>
              <w:t>Target AIP - 80% of salary</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performance and additional responsibilities.</w:t>
            </w:r>
          </w:p>
        </w:tc>
      </w:tr>
      <w:tr>
        <w:trPr>
          <w:trHeight w:val="222"/>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89"/>
              </w:rPr>
              <w:t>2013</w:t>
            </w:r>
          </w:p>
        </w:tc>
        <w:tc>
          <w:tcPr>
            <w:tcW w:w="3700" w:type="dxa"/>
            <w:vAlign w:val="bottom"/>
          </w:tcPr>
          <w:p>
            <w:pPr>
              <w:ind w:left="20"/>
              <w:spacing w:after="0"/>
              <w:rPr>
                <w:sz w:val="20"/>
                <w:szCs w:val="20"/>
                <w:color w:val="auto"/>
              </w:rPr>
            </w:pPr>
            <w:r>
              <w:rPr>
                <w:rFonts w:ascii="Arial" w:cs="Arial" w:eastAsia="Arial" w:hAnsi="Arial"/>
                <w:sz w:val="18"/>
                <w:szCs w:val="18"/>
                <w:color w:val="auto"/>
              </w:rPr>
              <w:t>Target LTI - 100% of salary</w:t>
            </w: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39"/>
        </w:trPr>
        <w:tc>
          <w:tcPr>
            <w:tcW w:w="24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5280" w:type="dxa"/>
            <w:vAlign w:val="bottom"/>
            <w:gridSpan w:val="3"/>
          </w:tcPr>
          <w:p>
            <w:pPr>
              <w:ind w:left="1200"/>
              <w:spacing w:after="0"/>
              <w:rPr>
                <w:sz w:val="20"/>
                <w:szCs w:val="20"/>
                <w:color w:val="auto"/>
              </w:rPr>
            </w:pPr>
            <w:r>
              <w:rPr>
                <w:rFonts w:ascii="Arial" w:cs="Arial" w:eastAsia="Arial" w:hAnsi="Arial"/>
                <w:sz w:val="18"/>
                <w:szCs w:val="18"/>
                <w:color w:val="auto"/>
              </w:rPr>
              <w:t>Salary - $350,000 to $375,000</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w w:val="92"/>
              </w:rPr>
              <w:t>Base salary and LTI adjusted based on individual</w:t>
            </w:r>
          </w:p>
        </w:tc>
      </w:tr>
      <w:tr>
        <w:trPr>
          <w:trHeight w:val="216"/>
        </w:trPr>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89"/>
              </w:rPr>
              <w:t>2013</w:t>
            </w:r>
          </w:p>
        </w:tc>
        <w:tc>
          <w:tcPr>
            <w:tcW w:w="3700" w:type="dxa"/>
            <w:vAlign w:val="bottom"/>
          </w:tcPr>
          <w:p>
            <w:pPr>
              <w:ind w:left="20"/>
              <w:spacing w:after="0"/>
              <w:rPr>
                <w:sz w:val="20"/>
                <w:szCs w:val="20"/>
                <w:color w:val="auto"/>
              </w:rPr>
            </w:pPr>
            <w:r>
              <w:rPr>
                <w:rFonts w:ascii="Arial" w:cs="Arial" w:eastAsia="Arial" w:hAnsi="Arial"/>
                <w:sz w:val="18"/>
                <w:szCs w:val="18"/>
                <w:color w:val="auto"/>
              </w:rPr>
              <w:t>Target AIP - 50% of salary</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performance.</w:t>
            </w:r>
          </w:p>
        </w:tc>
      </w:tr>
      <w:tr>
        <w:trPr>
          <w:trHeight w:val="222"/>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Arial" w:cs="Arial" w:eastAsia="Arial" w:hAnsi="Arial"/>
                <w:sz w:val="18"/>
                <w:szCs w:val="18"/>
                <w:color w:val="auto"/>
                <w:w w:val="89"/>
              </w:rPr>
              <w:t>2013</w:t>
            </w:r>
          </w:p>
        </w:tc>
        <w:tc>
          <w:tcPr>
            <w:tcW w:w="3700" w:type="dxa"/>
            <w:vAlign w:val="bottom"/>
          </w:tcPr>
          <w:p>
            <w:pPr>
              <w:ind w:left="20"/>
              <w:spacing w:after="0"/>
              <w:rPr>
                <w:sz w:val="20"/>
                <w:szCs w:val="20"/>
                <w:color w:val="auto"/>
              </w:rPr>
            </w:pPr>
            <w:r>
              <w:rPr>
                <w:rFonts w:ascii="Arial" w:cs="Arial" w:eastAsia="Arial" w:hAnsi="Arial"/>
                <w:sz w:val="18"/>
                <w:szCs w:val="18"/>
                <w:color w:val="auto"/>
              </w:rPr>
              <w:t>Target LTI - 50% to 75% of salary</w:t>
            </w:r>
          </w:p>
        </w:tc>
        <w:tc>
          <w:tcPr>
            <w:tcW w:w="10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AIP is defined as Annual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2013 Annual Incentive Performance. </w:t>
      </w:r>
      <w:r>
        <w:rPr>
          <w:rFonts w:ascii="Arial" w:cs="Arial" w:eastAsia="Arial" w:hAnsi="Arial"/>
          <w:sz w:val="16"/>
          <w:szCs w:val="16"/>
          <w:color w:val="auto"/>
        </w:rPr>
        <w:t>The Compensation Committee approved a performance-based annual compensation plan for 2013. Based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actual results on each of the performance measures, a total annual incentive payout of 106% of target was earned. This amount is reflected in the Summary Compensation Table as Non-Equity Incentive Plan Compensation. This plan has three performance criteria:</w:t>
      </w:r>
    </w:p>
    <w:p>
      <w:pPr>
        <w:spacing w:after="0" w:line="2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reflects performance of the Company’s mandate to continue growth of its service offerings and market presence.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margin percentage </w:t>
      </w:r>
      <w:r>
        <w:rPr>
          <w:rFonts w:ascii="Arial" w:cs="Arial" w:eastAsia="Arial" w:hAnsi="Arial"/>
          <w:sz w:val="18"/>
          <w:szCs w:val="18"/>
          <w:color w:val="auto"/>
        </w:rPr>
        <w:t>is used to reinforce the Company’s focus on profitable growth.</w:t>
      </w:r>
    </w:p>
    <w:p>
      <w:pPr>
        <w:spacing w:after="0" w:line="90" w:lineRule="exact"/>
        <w:rPr>
          <w:rFonts w:ascii="Arial" w:cs="Arial" w:eastAsia="Arial" w:hAnsi="Arial"/>
          <w:sz w:val="18"/>
          <w:szCs w:val="18"/>
          <w:color w:val="auto"/>
        </w:rPr>
      </w:pPr>
    </w:p>
    <w:p>
      <w:pPr>
        <w:ind w:left="460" w:right="40" w:hanging="452"/>
        <w:spacing w:after="0" w:line="339" w:lineRule="auto"/>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b w:val="1"/>
          <w:bCs w:val="1"/>
          <w:color w:val="auto"/>
        </w:rPr>
        <w:t xml:space="preserve">Strategic Measures </w:t>
      </w:r>
      <w:r>
        <w:rPr>
          <w:rFonts w:ascii="Arial" w:cs="Arial" w:eastAsia="Arial" w:hAnsi="Arial"/>
          <w:sz w:val="15"/>
          <w:szCs w:val="15"/>
          <w:color w:val="auto"/>
        </w:rPr>
        <w:t>reinforce the importance of specific initiatives identified at the beginning of the year and evaluated at the conclusion of the year, based</w:t>
      </w:r>
      <w:r>
        <w:rPr>
          <w:rFonts w:ascii="Arial" w:cs="Arial" w:eastAsia="Arial" w:hAnsi="Arial"/>
          <w:sz w:val="15"/>
          <w:szCs w:val="15"/>
          <w:b w:val="1"/>
          <w:bCs w:val="1"/>
          <w:color w:val="auto"/>
        </w:rPr>
        <w:t xml:space="preserve"> </w:t>
      </w:r>
      <w:r>
        <w:rPr>
          <w:rFonts w:ascii="Arial" w:cs="Arial" w:eastAsia="Arial" w:hAnsi="Arial"/>
          <w:sz w:val="15"/>
          <w:szCs w:val="15"/>
          <w:color w:val="auto"/>
        </w:rPr>
        <w:t>on the judgment of the Compensation Committee. To ensure compliance with the terms of Section 162(m), a performance threshold of $0.05 GAAP EPS must be exceeded prior to the payout of this component. If $0.05 GAAP EPS is exceeded, the Committee can approve a payout of up to 125% of target.</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chart below shows the plan structure, the results of each performance measure and the calculation of the annual incentive award. The awards under this plan are capped at 125% of target.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1"/>
              </w:rPr>
              <w:t>Measure</w:t>
            </w:r>
          </w:p>
        </w:tc>
        <w:tc>
          <w:tcPr>
            <w:tcW w:w="5960" w:type="dxa"/>
            <w:vAlign w:val="bottom"/>
            <w:vMerge w:val="restart"/>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1"/>
              </w:rPr>
              <w:t>Weight</w:t>
            </w:r>
          </w:p>
        </w:tc>
        <w:tc>
          <w:tcPr>
            <w:tcW w:w="23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2013 Performance Targets (1)</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Actual</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 Earned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40" w:type="dxa"/>
            <w:vAlign w:val="bottom"/>
            <w:tcBorders>
              <w:bottom w:val="single" w:sz="8" w:color="auto"/>
            </w:tcBorders>
            <w:vMerge w:val="continue"/>
          </w:tcPr>
          <w:p>
            <w:pPr>
              <w:spacing w:after="0"/>
              <w:rPr>
                <w:sz w:val="11"/>
                <w:szCs w:val="11"/>
                <w:color w:val="auto"/>
              </w:rPr>
            </w:pPr>
          </w:p>
        </w:tc>
        <w:tc>
          <w:tcPr>
            <w:tcW w:w="596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25%</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100%</w:t>
            </w: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125%</w:t>
            </w: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$649</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$725</w:t>
            </w:r>
          </w:p>
        </w:tc>
        <w:tc>
          <w:tcPr>
            <w:tcW w:w="2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$745</w:t>
            </w:r>
          </w:p>
        </w:tc>
        <w:tc>
          <w:tcPr>
            <w:tcW w:w="22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$720.5</w:t>
            </w:r>
          </w:p>
        </w:tc>
        <w:tc>
          <w:tcPr>
            <w:tcW w:w="22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Adjusted EBITDA %</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18.4%</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18.6%</w:t>
            </w:r>
          </w:p>
        </w:tc>
        <w:tc>
          <w:tcPr>
            <w:tcW w:w="2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18.8%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19.2%</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Measures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See below</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Earned</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targets were adjusted for the acquisition of Blue Stone effective October 1,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amount earned for Adjusted EBITDA % would have been 175% if the cap were not in place.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Measures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first quarter of 2013, the board approved a number of strategic measures for the named executive officers. These measures focused on further development of each practice area, including development of new and existing solution offerings, and further improvements in the effectiveness and efficiencies of Huron’s infrastructure.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considering the performance in all areas, the Compensation Committee determined that 100% is an appropriate level of award.</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2013 Long-Term Equity Grants. </w:t>
      </w:r>
      <w:r>
        <w:rPr>
          <w:rFonts w:ascii="Arial" w:cs="Arial" w:eastAsia="Arial" w:hAnsi="Arial"/>
          <w:sz w:val="18"/>
          <w:szCs w:val="18"/>
          <w:color w:val="auto"/>
        </w:rPr>
        <w:t>The 2013 long-term equity grants were structured as 70% performance shares and 30% service-based equity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in the form of stock options) to ensure there is appropriate focus on driving both financial performance and shareholder returns. The weighting between the performance shares and the stock options was based on grant date fair value. The awards were granted on March 1, 2013. The stock options granted will vest 25% per year over four years based on continued service.</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2013 Equity Grants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8"/>
              </w:rPr>
              <w:t>Performance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Performance</w:t>
            </w:r>
          </w:p>
        </w:tc>
        <w:tc>
          <w:tcPr>
            <w:tcW w:w="68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2580" w:type="dxa"/>
            <w:vAlign w:val="bottom"/>
            <w:vMerge w:val="restart"/>
          </w:tcPr>
          <w:p>
            <w:pPr>
              <w:spacing w:after="0"/>
              <w:rPr>
                <w:sz w:val="12"/>
                <w:szCs w:val="12"/>
                <w:color w:val="auto"/>
              </w:rPr>
            </w:pPr>
          </w:p>
        </w:tc>
        <w:tc>
          <w:tcPr>
            <w:tcW w:w="38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Earned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38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Granted</w:t>
            </w:r>
          </w:p>
        </w:tc>
        <w:tc>
          <w:tcPr>
            <w:tcW w:w="1440" w:type="dxa"/>
            <w:vAlign w:val="bottom"/>
            <w:gridSpan w:val="2"/>
          </w:tcPr>
          <w:p>
            <w:pPr>
              <w:jc w:val="center"/>
              <w:ind w:left="602"/>
              <w:spacing w:after="0" w:line="148" w:lineRule="exact"/>
              <w:rPr>
                <w:sz w:val="20"/>
                <w:szCs w:val="20"/>
                <w:color w:val="auto"/>
              </w:rPr>
            </w:pPr>
            <w:r>
              <w:rPr>
                <w:rFonts w:ascii="Arial" w:cs="Arial" w:eastAsia="Arial" w:hAnsi="Arial"/>
                <w:sz w:val="14"/>
                <w:szCs w:val="14"/>
                <w:b w:val="1"/>
                <w:bCs w:val="1"/>
                <w:color w:val="auto"/>
                <w:w w:val="97"/>
              </w:rPr>
              <w:t>(125%)</w:t>
            </w:r>
          </w:p>
        </w:tc>
        <w:tc>
          <w:tcPr>
            <w:tcW w:w="680" w:type="dxa"/>
            <w:vAlign w:val="bottom"/>
          </w:tcPr>
          <w:p>
            <w:pPr>
              <w:spacing w:after="0"/>
              <w:rPr>
                <w:sz w:val="14"/>
                <w:szCs w:val="14"/>
                <w:color w:val="auto"/>
              </w:rPr>
            </w:pPr>
          </w:p>
        </w:tc>
        <w:tc>
          <w:tcPr>
            <w:tcW w:w="6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3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25,006</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31,258</w:t>
            </w: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24,054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8,038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10,048</w:t>
            </w: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0" w:type="dxa"/>
            <w:vAlign w:val="bottom"/>
          </w:tcPr>
          <w:p>
            <w:pPr>
              <w:jc w:val="right"/>
              <w:ind w:right="1552"/>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performance shares will be earned based on Huron’s overall non-GAAP adjusted EPS targets that were established at the beginning of the year as set forth below. This measure is used in the long-term incentive plan to ensure that the named executive officers are focused on profitability for shareholders over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chart below shows the plan structure and the calculation of the long-term equity incentive award. The awards under this plan are capped at 125%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target.</w:t>
      </w:r>
    </w:p>
    <w:p>
      <w:pPr>
        <w:spacing w:after="0" w:line="201" w:lineRule="exact"/>
        <w:rPr>
          <w:sz w:val="20"/>
          <w:szCs w:val="20"/>
          <w:color w:val="auto"/>
        </w:rPr>
      </w:pPr>
    </w:p>
    <w:p>
      <w:pPr>
        <w:jc w:val="center"/>
        <w:ind w:left="4380"/>
        <w:spacing w:after="0"/>
        <w:rPr>
          <w:sz w:val="20"/>
          <w:szCs w:val="20"/>
          <w:color w:val="auto"/>
        </w:rPr>
      </w:pPr>
      <w:r>
        <w:rPr>
          <w:rFonts w:ascii="Arial" w:cs="Arial" w:eastAsia="Arial" w:hAnsi="Arial"/>
          <w:sz w:val="14"/>
          <w:szCs w:val="14"/>
          <w:b w:val="1"/>
          <w:bCs w:val="1"/>
          <w:color w:val="auto"/>
        </w:rPr>
        <w:t>2013 Performance</w:t>
      </w:r>
    </w:p>
    <w:p>
      <w:pPr>
        <w:jc w:val="center"/>
        <w:ind w:left="4380"/>
        <w:spacing w:after="0" w:line="221" w:lineRule="auto"/>
        <w:rPr>
          <w:sz w:val="20"/>
          <w:szCs w:val="20"/>
          <w:color w:val="auto"/>
        </w:rPr>
      </w:pPr>
      <w:r>
        <w:rPr>
          <w:rFonts w:ascii="Arial" w:cs="Arial" w:eastAsia="Arial" w:hAnsi="Arial"/>
          <w:sz w:val="14"/>
          <w:szCs w:val="14"/>
          <w:b w:val="1"/>
          <w:bCs w:val="1"/>
          <w:color w:val="auto"/>
        </w:rPr>
        <w:t>Targets (1)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5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Measure</w:t>
            </w:r>
          </w:p>
        </w:tc>
        <w:tc>
          <w:tcPr>
            <w:tcW w:w="6280" w:type="dxa"/>
            <w:vAlign w:val="bottom"/>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25%</w:t>
            </w:r>
          </w:p>
        </w:tc>
        <w:tc>
          <w:tcPr>
            <w:tcW w:w="4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100%</w:t>
            </w: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125%</w:t>
            </w: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Actual</w:t>
            </w:r>
          </w:p>
        </w:tc>
        <w:tc>
          <w:tcPr>
            <w:tcW w:w="10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 Earned</w:t>
            </w: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Non-GAAP Adjusted EPS</w:t>
            </w: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$2.40</w:t>
            </w:r>
          </w:p>
        </w:tc>
        <w:tc>
          <w:tcPr>
            <w:tcW w:w="4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$2.79</w:t>
            </w:r>
          </w:p>
        </w:tc>
        <w:tc>
          <w:tcPr>
            <w:tcW w:w="4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$2.90</w:t>
            </w:r>
          </w:p>
        </w:tc>
        <w:tc>
          <w:tcPr>
            <w:tcW w:w="50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$2.96</w:t>
            </w:r>
          </w:p>
        </w:tc>
        <w:tc>
          <w:tcPr>
            <w:tcW w:w="48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125%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targets were adjusted for the acquisition of Blue Stone effective October 1, 2013.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amount earned for Non-GAAP Adjusted EPS would have been 138% if the cap were not in place.</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2013 fiscal year, actual Adjusted EPS was $2.96 and, as such, each named executive officer earned the maximum 125% of the grant of performance shares, with one-third vesting on December 31, 2013 and the balance scheduled to vest on December 31, 2015.</w:t>
      </w:r>
    </w:p>
    <w:p>
      <w:pPr>
        <w:spacing w:after="0" w:line="13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i w:val="1"/>
          <w:iCs w:val="1"/>
          <w:color w:val="auto"/>
        </w:rPr>
        <w:t xml:space="preserve">2013 Supplemental Cash Award. </w:t>
      </w:r>
      <w:r>
        <w:rPr>
          <w:rFonts w:ascii="Arial" w:cs="Arial" w:eastAsia="Arial" w:hAnsi="Arial"/>
          <w:sz w:val="16"/>
          <w:szCs w:val="16"/>
          <w:color w:val="auto"/>
        </w:rPr>
        <w:t>The Compensation Committee and the full board thoroughly evaluated 2013’s performance payouts under both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Annual Incentive and the Long-Term Equity Plans. The Committee and the board noted that the payouts under both plans were restricted by the payout caps. In 2010, Huron adopted the compensation plans and instituted a 125% cap for each performance measure. This cap was designed to ensure that executives were not motivated by the compensation plans to take undue risk in pursuing actions with a one-time benefit that would result in higher incentive payouts to the executives without lasting benefits to shareholders. The majority of Huron’s compensation peer group has maximum performance measure payouts between 150% and 200%. The board determined that the above maximum 2013 results were achieved in a manner benefiting shareholders and did not involve undue risk. After examining the Company’s performance, taking into consideration the incentive value that would have been received if the caps had not been in place, and conducting a review of the achievement of the strategic measures, the board determined that supplemental cash payouts of $436,000 to Mr. Roth, $152,000 to Mr. Hussey and $93,000 to Ms. Ratekin should be awarded. Based on a review of the overall performance of the organization, the manner in which the performance was achieved, and a calculation of what the awards would have been without the Annual Incentive Plan and Long-Term Equity Plan caps in place, the board determined that the total payout levels were commensurate with the strong performance delivered to shareholders, in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named executive officers are eligible for the same benefits generally available to Huron employees. The Company provides to all of its managing directors, Corporate Vice Presidents and named executive officers enhanced disability and life insurance benefits, and to the CEO and Executive Vice Presidents it offers reimbursement of the cost of an annual executive physical examination.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also offers a nonqualified deferred compensation plan (the “DCP”) to all managing directors, Corporate Vice Presidents, named executive officers and independent directors. The DCP allows participants to elect to defer up to 75% of their base salary and 100% of their annual cash incentive into a deferred compensation account and to choose from a number of investment vehicles.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Huron did not provide material perquisites to any named executive officer in 2013. The Company provides to all of its managing directors, Corporate Vice Presidents and executive officers enhanced disability and life insurance benefits, and to the CEO and Executive Vice Presidents it offers reimbursement of the cost of an annual executive physical examination.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Say on Pay Vote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2013, we were pleased to receive a shareholder advisory vote (commonly referred to as “Say on Pay”) in excess of 98% in support of the named executive officer compensation. We believe this positive vote reflects the number of improvements that were made in our executive compensation program in 2009, 2010 and 2011. In light of the strong support, we made no significant changes to our executive compensation program based on concerns or issues raised by our shareholders. Shareholders at the 2011 Annual Meeting expressed a preference that advisory votes on executive compensation occur every year. Consistent with this preference, the Company will hold its advisory vote on the compensation of the Company’s named executive officers annually until the 2017 Annual Meeting, at which time shareholders will again be asked to vote on the frequency of advisory votes on named executive officer compensation. We continue to desire feedback from our shareholders on our executive compensation program and will consider the views of our shareholders as we evaluate our compensation program in 2014 and beyond.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 Severance Agreements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Compensation Committee periodically reviews typical industry practices concerning severance and change of control agreements compared to Huron’s severance and change of control agreements. 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for good reason,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Huron is not obligated under any gross-up provisions to pay for excise tax payments for the CEO and other named executive officers in the event of a change of control.</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Please refer to the discussion under “Employment and Severance Agreements” below for a more detailed discussion of the severance and change of control arrangements with the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Provisions</w:t>
      </w:r>
    </w:p>
    <w:p>
      <w:pPr>
        <w:spacing w:after="0" w:line="9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Currently the SEC and the NASDAQ are engaged in rulemaking to revise the listing standards to require a clawback policy in accordance with the applicable provisions of the Dodd-Frank Wall Street Reform and Consumer Protection Act of 2010. Once this rulemaking is completed, the Company will promptly adopt an appropriate clawback policy.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 Holding Requirements, Hedging and Pledging Policies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2010, the Compensation Committee adopted stock ownership guidelines for Huron’s named executive officers and directors. The guidelines, set forth below, are consistent with peer practices and designed to promote alignment with the interests of stockholders and the Company’s commitment to sound corporate governance.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920" w:type="dxa"/>
            <w:vAlign w:val="bottom"/>
          </w:tcPr>
          <w:p>
            <w:pPr>
              <w:ind w:left="1660"/>
              <w:spacing w:after="0"/>
              <w:rPr>
                <w:sz w:val="20"/>
                <w:szCs w:val="20"/>
                <w:color w:val="auto"/>
              </w:rPr>
            </w:pPr>
            <w:r>
              <w:rPr>
                <w:rFonts w:ascii="Arial" w:cs="Arial" w:eastAsia="Arial" w:hAnsi="Arial"/>
                <w:sz w:val="14"/>
                <w:szCs w:val="14"/>
                <w:b w:val="1"/>
                <w:bCs w:val="1"/>
                <w:color w:val="auto"/>
              </w:rPr>
              <w:t>Stock Ownership Guideline</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CEO</w:t>
            </w:r>
          </w:p>
        </w:tc>
        <w:tc>
          <w:tcPr>
            <w:tcW w:w="508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lesser of 3x salary or 120,000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CFO</w:t>
            </w:r>
          </w:p>
        </w:tc>
        <w:tc>
          <w:tcPr>
            <w:tcW w:w="4920" w:type="dxa"/>
            <w:vAlign w:val="bottom"/>
          </w:tcPr>
          <w:p>
            <w:pPr>
              <w:spacing w:after="0"/>
              <w:rPr>
                <w:sz w:val="20"/>
                <w:szCs w:val="20"/>
                <w:color w:val="auto"/>
              </w:rPr>
            </w:pPr>
            <w:r>
              <w:rPr>
                <w:rFonts w:ascii="Arial" w:cs="Arial" w:eastAsia="Arial" w:hAnsi="Arial"/>
                <w:sz w:val="18"/>
                <w:szCs w:val="18"/>
                <w:color w:val="auto"/>
              </w:rPr>
              <w:t>the lesser of 2x salary or 50,000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4920" w:type="dxa"/>
            <w:vAlign w:val="bottom"/>
          </w:tcPr>
          <w:p>
            <w:pPr>
              <w:spacing w:after="0"/>
              <w:rPr>
                <w:sz w:val="20"/>
                <w:szCs w:val="20"/>
                <w:color w:val="auto"/>
              </w:rPr>
            </w:pPr>
            <w:r>
              <w:rPr>
                <w:rFonts w:ascii="Arial" w:cs="Arial" w:eastAsia="Arial" w:hAnsi="Arial"/>
                <w:sz w:val="18"/>
                <w:szCs w:val="18"/>
                <w:color w:val="auto"/>
              </w:rPr>
              <w:t>the lesser of 1x salary or 20,000 shares</w:t>
            </w: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Non-employee Directors</w:t>
            </w:r>
          </w:p>
        </w:tc>
        <w:tc>
          <w:tcPr>
            <w:tcW w:w="4920" w:type="dxa"/>
            <w:vAlign w:val="bottom"/>
          </w:tcPr>
          <w:p>
            <w:pPr>
              <w:spacing w:after="0"/>
              <w:rPr>
                <w:sz w:val="20"/>
                <w:szCs w:val="20"/>
                <w:color w:val="auto"/>
              </w:rPr>
            </w:pPr>
            <w:r>
              <w:rPr>
                <w:rFonts w:ascii="Arial" w:cs="Arial" w:eastAsia="Arial" w:hAnsi="Arial"/>
                <w:sz w:val="18"/>
                <w:szCs w:val="18"/>
                <w:color w:val="auto"/>
              </w:rPr>
              <w:t>the lesser of 3x annual retainer or 9,000 shares</w:t>
            </w:r>
          </w:p>
        </w:tc>
      </w:tr>
    </w:tbl>
    <w:p>
      <w:pPr>
        <w:spacing w:after="0" w:line="15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Until the relevant stock ownership target is achieved, executive officers are required to retain a number of shares equal to at least 60% of the net after tax proceeds from the exercise of stock options or vesting of restricted stock and performance shares. Only shares owned outright count towards ownership requirements. Unexercised stock options and unvested performance shares or restricted stock do not count.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Roth and Ms. Ratekin and all of our non-employee directors have met the stock ownership guidelines. Mr. Hussey is expected to retain a number of shares equal to at least 60% of the net after tax value from the exercise of stock options or vesting of restricted stock and performance shares until he satisfies the ownership requirements. The Company has an insider trading policy that prohibits directors, officers, employees and contractors from entering into transactions in publicly traded puts, calls or other derivative securities with respect to Huron’s stock and requires that any other transaction that “hedges” the ownership in Huron’s stock be pre-cleared by the General Counsel. In addition, the board has adopted a policy that requires board approval of any hedging activities by executive officers, and the board has indicated it would not approve any such hedging activities except in unusual circumstances.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also has a pledging policy that in general prohibits directors, officers, employees, and contractors from holding Company securities in a margin account or pledging Company securities as collateral for a loan. Limited exceptions may be made by the General Counsel if the person wishes to pledge Company securities as collateral for a loan (and not including margin debt) and clearly demonstrates the financial capacity to repay the loan without resort to the pledged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Section 162(m) of the Code generally limits the deductibility for federal income tax purposes of compensation in excess of $1 million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Both the annual incentive plan and the equity plans are intended to comply with all the provisions of Section 162(m). The Compensation Committee reserves the right to pay compensation that is not performance based and that may not be deductible under Section 162(m).</w:t>
      </w:r>
    </w:p>
    <w:p>
      <w:pPr>
        <w:spacing w:after="0" w:line="1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Section 280G. </w:t>
      </w:r>
      <w:r>
        <w:rPr>
          <w:rFonts w:ascii="Arial" w:cs="Arial" w:eastAsia="Arial" w:hAnsi="Arial"/>
          <w:sz w:val="18"/>
          <w:szCs w:val="18"/>
          <w:color w:val="auto"/>
        </w:rPr>
        <w:t>Section 280G of the Code disallows a company’s tax deduction for certain payments in connection with a change of control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parachute payments,” and Section 4999 of the Code imposes a 20% excise tax on certain persons who receive excess parachute payments. The Compensation Committee amended senior management agreements in 2010 to ensure that severance payments would not be classified as “excess parachute payments.”</w:t>
      </w:r>
    </w:p>
    <w:p>
      <w:pPr>
        <w:spacing w:after="0" w:line="143"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Under the terms of our senior management agreements, if any amount, right or benefit paid or payable to the executive under the agreement or any other plan, program or arrangement would constitute an “excess parachute payment” under Section 280G of the Code, subject to the excise tax imposed by</w:t>
      </w:r>
    </w:p>
    <w:p>
      <w:pPr>
        <w:ind w:right="40"/>
        <w:spacing w:after="0" w:line="261" w:lineRule="auto"/>
        <w:rPr>
          <w:sz w:val="20"/>
          <w:szCs w:val="20"/>
          <w:color w:val="auto"/>
        </w:rPr>
      </w:pPr>
      <w:r>
        <w:rPr>
          <w:rFonts w:ascii="Arial" w:cs="Arial" w:eastAsia="Arial" w:hAnsi="Arial"/>
          <w:sz w:val="18"/>
          <w:szCs w:val="18"/>
          <w:color w:val="auto"/>
        </w:rPr>
        <w:t>Section 4999 of the Code, then the amount of payments payable to the executive under the agreement will be reduced to the extent necessary so that no portion of such payments is subject to such excise tax.</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Non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All Other</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8"/>
        </w:trPr>
        <w:tc>
          <w:tcPr>
            <w:tcW w:w="42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840" w:type="dxa"/>
            <w:vAlign w:val="bottom"/>
            <w:gridSpan w:val="2"/>
          </w:tcPr>
          <w:p>
            <w:pPr>
              <w:jc w:val="right"/>
              <w:ind w:right="162"/>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220" w:type="dxa"/>
            <w:vAlign w:val="bottom"/>
          </w:tcPr>
          <w:p>
            <w:pPr>
              <w:spacing w:after="0"/>
              <w:rPr>
                <w:sz w:val="14"/>
                <w:szCs w:val="14"/>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200" w:type="dxa"/>
            <w:vAlign w:val="bottom"/>
          </w:tcPr>
          <w:p>
            <w:pPr>
              <w:spacing w:after="0"/>
              <w:rPr>
                <w:sz w:val="14"/>
                <w:szCs w:val="14"/>
                <w:color w:val="auto"/>
              </w:rPr>
            </w:pPr>
          </w:p>
        </w:tc>
        <w:tc>
          <w:tcPr>
            <w:tcW w:w="8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James H. Roth</w:t>
            </w:r>
          </w:p>
        </w:tc>
        <w:tc>
          <w:tcPr>
            <w:tcW w:w="2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2013</w:t>
            </w: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800,000</w:t>
            </w: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436,000</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932,800</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1,225,001</w:t>
            </w: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419,983</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30,060</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3,843,844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Principal Executive Officer</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186,560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429,440</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195,978</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336,006</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1,976,269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800,000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760,453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335,995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220" w:type="dxa"/>
            <w:vAlign w:val="bottom"/>
            <w:gridSpan w:val="4"/>
          </w:tcPr>
          <w:p>
            <w:pPr>
              <w:spacing w:after="0"/>
              <w:rPr>
                <w:sz w:val="20"/>
                <w:szCs w:val="20"/>
                <w:color w:val="auto"/>
              </w:rPr>
            </w:pPr>
            <w:r>
              <w:rPr>
                <w:rFonts w:ascii="Arial" w:cs="Arial" w:eastAsia="Arial" w:hAnsi="Arial"/>
                <w:sz w:val="18"/>
                <w:szCs w:val="18"/>
                <w:color w:val="auto"/>
              </w:rPr>
              <w:t>C. Mark Hussey</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450,000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152,000</w:t>
            </w:r>
          </w:p>
        </w:tc>
        <w:tc>
          <w:tcPr>
            <w:tcW w:w="820" w:type="dxa"/>
            <w:vAlign w:val="bottom"/>
          </w:tcPr>
          <w:p>
            <w:pPr>
              <w:jc w:val="right"/>
              <w:spacing w:after="0"/>
              <w:rPr>
                <w:sz w:val="20"/>
                <w:szCs w:val="20"/>
                <w:color w:val="auto"/>
              </w:rPr>
            </w:pPr>
            <w:r>
              <w:rPr>
                <w:rFonts w:ascii="Arial" w:cs="Arial" w:eastAsia="Arial" w:hAnsi="Arial"/>
                <w:sz w:val="18"/>
                <w:szCs w:val="18"/>
                <w:color w:val="auto"/>
              </w:rPr>
              <w:t>381,600</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393,781</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134,983</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27,156</w:t>
            </w:r>
          </w:p>
        </w:tc>
        <w:tc>
          <w:tcPr>
            <w:tcW w:w="840" w:type="dxa"/>
            <w:vAlign w:val="bottom"/>
          </w:tcPr>
          <w:p>
            <w:pPr>
              <w:jc w:val="right"/>
              <w:spacing w:after="0"/>
              <w:rPr>
                <w:sz w:val="20"/>
                <w:szCs w:val="20"/>
                <w:color w:val="auto"/>
              </w:rPr>
            </w:pPr>
            <w:r>
              <w:rPr>
                <w:rFonts w:ascii="Arial" w:cs="Arial" w:eastAsia="Arial" w:hAnsi="Arial"/>
                <w:sz w:val="18"/>
                <w:szCs w:val="18"/>
                <w:color w:val="auto"/>
              </w:rPr>
              <w:t>1,539,520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w w:val="93"/>
              </w:rPr>
              <w:t>Executive Vice President, Principal Operating Officer,</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350,000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59,360</w:t>
            </w:r>
          </w:p>
        </w:tc>
        <w:tc>
          <w:tcPr>
            <w:tcW w:w="820" w:type="dxa"/>
            <w:vAlign w:val="bottom"/>
          </w:tcPr>
          <w:p>
            <w:pPr>
              <w:jc w:val="right"/>
              <w:spacing w:after="0"/>
              <w:rPr>
                <w:sz w:val="20"/>
                <w:szCs w:val="20"/>
                <w:color w:val="auto"/>
              </w:rPr>
            </w:pPr>
            <w:r>
              <w:rPr>
                <w:rFonts w:ascii="Arial" w:cs="Arial" w:eastAsia="Arial" w:hAnsi="Arial"/>
                <w:sz w:val="18"/>
                <w:szCs w:val="18"/>
                <w:color w:val="auto"/>
              </w:rPr>
              <w:t>136,640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61,241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105,001</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25,826</w:t>
            </w:r>
          </w:p>
        </w:tc>
        <w:tc>
          <w:tcPr>
            <w:tcW w:w="840" w:type="dxa"/>
            <w:vAlign w:val="bottom"/>
          </w:tcPr>
          <w:p>
            <w:pPr>
              <w:jc w:val="right"/>
              <w:spacing w:after="0"/>
              <w:rPr>
                <w:sz w:val="20"/>
                <w:szCs w:val="20"/>
                <w:color w:val="auto"/>
              </w:rPr>
            </w:pPr>
            <w:r>
              <w:rPr>
                <w:rFonts w:ascii="Arial" w:cs="Arial" w:eastAsia="Arial" w:hAnsi="Arial"/>
                <w:sz w:val="18"/>
                <w:szCs w:val="18"/>
                <w:color w:val="auto"/>
              </w:rPr>
              <w:t>738,067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3"/>
          </w:tcPr>
          <w:p>
            <w:pPr>
              <w:ind w:left="420"/>
              <w:spacing w:after="0"/>
              <w:rPr>
                <w:sz w:val="20"/>
                <w:szCs w:val="20"/>
                <w:color w:val="auto"/>
              </w:rPr>
            </w:pPr>
            <w:r>
              <w:rPr>
                <w:rFonts w:ascii="Arial" w:cs="Arial" w:eastAsia="Arial" w:hAnsi="Arial"/>
                <w:sz w:val="18"/>
                <w:szCs w:val="18"/>
                <w:color w:val="auto"/>
              </w:rPr>
              <w:t>Principal Financial Officer and Treasurer (5)</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79"/>
              </w:rPr>
              <w:t>2011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169,521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92,431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369,576</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13,099</w:t>
            </w:r>
          </w:p>
        </w:tc>
        <w:tc>
          <w:tcPr>
            <w:tcW w:w="840" w:type="dxa"/>
            <w:vAlign w:val="bottom"/>
          </w:tcPr>
          <w:p>
            <w:pPr>
              <w:jc w:val="right"/>
              <w:spacing w:after="0"/>
              <w:rPr>
                <w:sz w:val="20"/>
                <w:szCs w:val="20"/>
                <w:color w:val="auto"/>
              </w:rPr>
            </w:pPr>
            <w:r>
              <w:rPr>
                <w:rFonts w:ascii="Arial" w:cs="Arial" w:eastAsia="Arial" w:hAnsi="Arial"/>
                <w:sz w:val="18"/>
                <w:szCs w:val="18"/>
                <w:color w:val="auto"/>
              </w:rPr>
              <w:t>671,224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4"/>
        </w:trPr>
        <w:tc>
          <w:tcPr>
            <w:tcW w:w="2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375,000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27,570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General Counsel and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Secretary (6)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2011</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312,890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100,000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276,262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amounts in this Bonus column for 2013 represent discretionary awards determined by the board. For additional detail related to the determination of these awards, please refer to the “2013 Supplemental Cash Award” section of the Compensation Discussion and Analysis.</w:t>
      </w:r>
    </w:p>
    <w:p>
      <w:pPr>
        <w:spacing w:after="0" w:line="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amount in this Bonus column for 2012 represents a discretionary award determined by the board.</w:t>
      </w:r>
    </w:p>
    <w:p>
      <w:pPr>
        <w:spacing w:after="0" w:line="90" w:lineRule="exact"/>
        <w:rPr>
          <w:rFonts w:ascii="Arial" w:cs="Arial" w:eastAsia="Arial" w:hAnsi="Arial"/>
          <w:sz w:val="16"/>
          <w:szCs w:val="16"/>
          <w:color w:val="auto"/>
        </w:rPr>
      </w:pPr>
    </w:p>
    <w:p>
      <w:pPr>
        <w:ind w:left="460" w:right="140"/>
        <w:spacing w:after="0" w:line="268" w:lineRule="auto"/>
        <w:rPr>
          <w:rFonts w:ascii="Arial" w:cs="Arial" w:eastAsia="Arial" w:hAnsi="Arial"/>
          <w:sz w:val="16"/>
          <w:szCs w:val="16"/>
          <w:color w:val="auto"/>
        </w:rPr>
      </w:pPr>
      <w:r>
        <w:rPr>
          <w:rFonts w:ascii="Arial" w:cs="Arial" w:eastAsia="Arial" w:hAnsi="Arial"/>
          <w:sz w:val="18"/>
          <w:szCs w:val="18"/>
          <w:color w:val="auto"/>
        </w:rPr>
        <w:t>The amount listed in the 2011 Bonus column for Ms. Ratekin represents a retention award paid on March 4, 2011. This retention award was for the period March 1, 2010 through March 1, 2011.</w:t>
      </w:r>
    </w:p>
    <w:p>
      <w:pPr>
        <w:spacing w:after="0" w:line="50"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restricted stock and/or performance share unit awards. In 2013 and 2012, each of the executives received performance share units and none received time-based restricted stock. In 2011, all of the executives received performance share units; Mr. Hussey and Ms. Ratekin also received time-vested restricted stock grants.</w:t>
      </w:r>
    </w:p>
    <w:p>
      <w:pPr>
        <w:spacing w:after="0" w:line="59" w:lineRule="exact"/>
        <w:rPr>
          <w:rFonts w:ascii="Arial" w:cs="Arial" w:eastAsia="Arial" w:hAnsi="Arial"/>
          <w:sz w:val="18"/>
          <w:szCs w:val="18"/>
          <w:color w:val="auto"/>
        </w:rPr>
      </w:pPr>
    </w:p>
    <w:p>
      <w:pPr>
        <w:ind w:left="460" w:right="140"/>
        <w:spacing w:after="0" w:line="332" w:lineRule="auto"/>
        <w:rPr>
          <w:rFonts w:ascii="Arial" w:cs="Arial" w:eastAsia="Arial" w:hAnsi="Arial"/>
          <w:sz w:val="18"/>
          <w:szCs w:val="18"/>
          <w:color w:val="auto"/>
        </w:rPr>
      </w:pPr>
      <w:r>
        <w:rPr>
          <w:rFonts w:ascii="Arial" w:cs="Arial" w:eastAsia="Arial" w:hAnsi="Arial"/>
          <w:sz w:val="16"/>
          <w:szCs w:val="16"/>
          <w:color w:val="auto"/>
        </w:rPr>
        <w:t>The value of the performance share units in the table is the grant date fair value of the units that were earned in each year. In 2013, the maximum of 125% of the target awards were earned. In 2012, 25% of the target awards were earned. In 2011, 97% of the target awards were earned.</w:t>
      </w:r>
    </w:p>
    <w:p>
      <w:pPr>
        <w:spacing w:after="0" w:line="4"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For further details on the number of shares, please refer to the table under the caption “2013 Grants of Plan-Based Awards” below. For further details on the performance share unit plan, please refer to the Long-Term Incentive Compensation section within the “Compensation Elements” section of the Compensation Discussion and Analysis. For further details on the valuation of the shares, please refer to the notes under “2013 Grants of Plan-Based Awards” below and footnote 14 of the Company’s 2013 Form 10-K.</w:t>
      </w:r>
    </w:p>
    <w:p>
      <w:pPr>
        <w:spacing w:after="0" w:line="62" w:lineRule="exact"/>
        <w:rPr>
          <w:rFonts w:ascii="Arial" w:cs="Arial" w:eastAsia="Arial" w:hAnsi="Arial"/>
          <w:sz w:val="18"/>
          <w:szCs w:val="18"/>
          <w:color w:val="auto"/>
        </w:rPr>
      </w:pPr>
    </w:p>
    <w:p>
      <w:pPr>
        <w:ind w:left="460" w:right="42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options granted in each of the respective years. Values represented are the Black-Scholes value. For further details on the number and valuation of the options, please refer to the notes under “2013 Grants of Plan-Based Awards” below and footnote 14 of the Company’s 2013 Form 10-K.</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Compensation for 2013 is detailed in the following table.</w:t>
      </w:r>
    </w:p>
    <w:p>
      <w:pPr>
        <w:spacing w:after="0" w:line="90" w:lineRule="exact"/>
        <w:rPr>
          <w:rFonts w:ascii="Arial" w:cs="Arial" w:eastAsia="Arial" w:hAnsi="Arial"/>
          <w:sz w:val="18"/>
          <w:szCs w:val="18"/>
          <w:color w:val="auto"/>
        </w:rPr>
      </w:pPr>
    </w:p>
    <w:p>
      <w:pPr>
        <w:ind w:left="460" w:right="42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Mr. Hussey was appointed as Chief Operating Officer in addition to his CFO role effective February 25, 2014. He was hired on July 18, 2011 as Chief Financial Officer. Upon his hire he was granted 10,000 shares of time-vested restricted stock that vest over four years, with 25% vesting on each anniversary of the grant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306"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Ms. Ratekin became Vice President and General Counsel effective February 22, 2011. Ms. Ratekin has been employed by Huron since 2005 and previously served as Deputy General Counsel. On December 12, 2011, Ms. Ratekin was appointed Corporate Secretary. The amount listed in the Stock Awards column includes a grant of restricted stock valued at $12,974 in recognition of her 2010 performance as Deputy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Executive $1M</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Other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9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7"/>
              </w:rPr>
              <w:t>Executive Long-Term</w:t>
            </w: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Term Life</w:t>
            </w:r>
          </w:p>
        </w:tc>
        <w:tc>
          <w:tcPr>
            <w:tcW w:w="18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6"/>
              </w:rPr>
              <w:t>Company Provided</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Total All Other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2"/>
                <w:szCs w:val="12"/>
                <w:color w:val="auto"/>
              </w:rPr>
            </w:pPr>
          </w:p>
        </w:tc>
        <w:tc>
          <w:tcPr>
            <w:tcW w:w="19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Disability</w:t>
            </w: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Insurance</w:t>
            </w:r>
          </w:p>
        </w:tc>
        <w:tc>
          <w:tcPr>
            <w:tcW w:w="1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401(k) Match</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260" w:type="dxa"/>
            <w:vAlign w:val="bottom"/>
          </w:tcPr>
          <w:p>
            <w:pPr>
              <w:jc w:val="right"/>
              <w:ind w:right="402"/>
              <w:spacing w:after="0" w:line="148" w:lineRule="exact"/>
              <w:rPr>
                <w:sz w:val="20"/>
                <w:szCs w:val="20"/>
                <w:color w:val="auto"/>
              </w:rPr>
            </w:pPr>
            <w:r>
              <w:rPr>
                <w:rFonts w:ascii="Arial" w:cs="Arial" w:eastAsia="Arial" w:hAnsi="Arial"/>
                <w:sz w:val="14"/>
                <w:szCs w:val="14"/>
                <w:b w:val="1"/>
                <w:bCs w:val="1"/>
                <w:color w:val="auto"/>
              </w:rPr>
              <w:t>($)(1)</w:t>
            </w:r>
          </w:p>
        </w:tc>
        <w:tc>
          <w:tcPr>
            <w:tcW w:w="68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700" w:type="dxa"/>
            <w:vAlign w:val="bottom"/>
          </w:tcPr>
          <w:p>
            <w:pPr>
              <w:spacing w:after="0"/>
              <w:rPr>
                <w:sz w:val="14"/>
                <w:szCs w:val="14"/>
                <w:color w:val="auto"/>
              </w:rPr>
            </w:pPr>
          </w:p>
        </w:tc>
        <w:tc>
          <w:tcPr>
            <w:tcW w:w="1120" w:type="dxa"/>
            <w:vAlign w:val="bottom"/>
          </w:tcPr>
          <w:p>
            <w:pPr>
              <w:jc w:val="right"/>
              <w:ind w:right="322"/>
              <w:spacing w:after="0" w:line="148" w:lineRule="exact"/>
              <w:rPr>
                <w:sz w:val="20"/>
                <w:szCs w:val="20"/>
                <w:color w:val="auto"/>
              </w:rPr>
            </w:pPr>
            <w:r>
              <w:rPr>
                <w:rFonts w:ascii="Arial" w:cs="Arial" w:eastAsia="Arial" w:hAnsi="Arial"/>
                <w:sz w:val="14"/>
                <w:szCs w:val="14"/>
                <w:b w:val="1"/>
                <w:bCs w:val="1"/>
                <w:color w:val="auto"/>
              </w:rPr>
              <w:t>($)(3)</w:t>
            </w:r>
          </w:p>
        </w:tc>
        <w:tc>
          <w:tcPr>
            <w:tcW w:w="68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680" w:type="dxa"/>
            <w:vAlign w:val="bottom"/>
          </w:tcPr>
          <w:p>
            <w:pPr>
              <w:spacing w:after="0"/>
              <w:rPr>
                <w:sz w:val="14"/>
                <w:szCs w:val="14"/>
                <w:color w:val="auto"/>
              </w:rPr>
            </w:pPr>
          </w:p>
        </w:tc>
        <w:tc>
          <w:tcPr>
            <w:tcW w:w="88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6,777</w:t>
            </w: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w w:val="79"/>
              </w:rPr>
              <w:t>4,433</w:t>
            </w:r>
          </w:p>
        </w:tc>
        <w:tc>
          <w:tcPr>
            <w:tcW w:w="7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15,300</w:t>
            </w: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3,550</w:t>
            </w:r>
          </w:p>
        </w:tc>
        <w:tc>
          <w:tcPr>
            <w:tcW w:w="6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260" w:type="dxa"/>
            <w:vAlign w:val="bottom"/>
          </w:tcPr>
          <w:p>
            <w:pPr>
              <w:jc w:val="right"/>
              <w:spacing w:after="0"/>
              <w:rPr>
                <w:sz w:val="20"/>
                <w:szCs w:val="20"/>
                <w:color w:val="auto"/>
              </w:rPr>
            </w:pPr>
            <w:r>
              <w:rPr>
                <w:rFonts w:ascii="Arial" w:cs="Arial" w:eastAsia="Arial" w:hAnsi="Arial"/>
                <w:sz w:val="18"/>
                <w:szCs w:val="18"/>
                <w:color w:val="auto"/>
              </w:rPr>
              <w:t>4,526</w:t>
            </w:r>
          </w:p>
        </w:tc>
        <w:tc>
          <w:tcPr>
            <w:tcW w:w="680" w:type="dxa"/>
            <w:vAlign w:val="bottom"/>
          </w:tcPr>
          <w:p>
            <w:pPr>
              <w:spacing w:after="0"/>
              <w:rPr>
                <w:sz w:val="18"/>
                <w:szCs w:val="18"/>
                <w:color w:val="auto"/>
              </w:rPr>
            </w:pPr>
          </w:p>
        </w:tc>
        <w:tc>
          <w:tcPr>
            <w:tcW w:w="1560" w:type="dxa"/>
            <w:vAlign w:val="bottom"/>
            <w:gridSpan w:val="2"/>
          </w:tcPr>
          <w:p>
            <w:pPr>
              <w:ind w:left="480"/>
              <w:spacing w:after="0"/>
              <w:rPr>
                <w:sz w:val="20"/>
                <w:szCs w:val="20"/>
                <w:color w:val="auto"/>
              </w:rPr>
            </w:pPr>
            <w:r>
              <w:rPr>
                <w:rFonts w:ascii="Arial" w:cs="Arial" w:eastAsia="Arial" w:hAnsi="Arial"/>
                <w:sz w:val="18"/>
                <w:szCs w:val="18"/>
                <w:color w:val="auto"/>
              </w:rPr>
              <w:t>3,205</w:t>
            </w:r>
          </w:p>
        </w:tc>
        <w:tc>
          <w:tcPr>
            <w:tcW w:w="1120" w:type="dxa"/>
            <w:vAlign w:val="bottom"/>
          </w:tcPr>
          <w:p>
            <w:pPr>
              <w:jc w:val="right"/>
              <w:spacing w:after="0"/>
              <w:rPr>
                <w:sz w:val="20"/>
                <w:szCs w:val="20"/>
                <w:color w:val="auto"/>
              </w:rPr>
            </w:pPr>
            <w:r>
              <w:rPr>
                <w:rFonts w:ascii="Arial" w:cs="Arial" w:eastAsia="Arial" w:hAnsi="Arial"/>
                <w:sz w:val="18"/>
                <w:szCs w:val="18"/>
                <w:color w:val="auto"/>
              </w:rPr>
              <w:t>15,300</w:t>
            </w:r>
          </w:p>
        </w:tc>
        <w:tc>
          <w:tcPr>
            <w:tcW w:w="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4,125</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6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2,173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Long-Term Disability is provided to all executives and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Term Life Insurance is provided to all executives and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Huron provides a Company 401(k) match to all participating employees.</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Benefits and Perquisites includes the cost of an executive physical, which Huron pays for executive officers, and work-life benefit available to all employees that reimburses up to $300 annually for purchases that assist in maintaining work-life balance.</w:t>
      </w:r>
    </w:p>
    <w:p>
      <w:pPr>
        <w:spacing w:after="0" w:line="50"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 does not include any amounts for use of sports tickets by the named executive officers because no incremental costs were incurred by the Company. The Company purchases season tickets to sporting events for business outings with customers and vendors. If the tickets are not being used for business purposes, the named executive officers and other employees may have opportunities to use these tickets. Huron provides no other executive perquisites.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grants of equity awards and annual cash incentive awards for 2013 to each named executive officer.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Estimated Future Payouts</w:t>
            </w:r>
          </w:p>
        </w:tc>
        <w:tc>
          <w:tcPr>
            <w:tcW w:w="23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Estimated Future Payouts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34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Plan Awards (1)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Plan Awards (2)(3)</w:t>
            </w: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or Base</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Full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Price of</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Date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Grant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Committee</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Threshold</w:t>
            </w:r>
          </w:p>
        </w:tc>
        <w:tc>
          <w:tcPr>
            <w:tcW w:w="24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Maximum</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Threshold</w:t>
            </w: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Target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Maximum</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Each Award</w:t>
            </w:r>
          </w:p>
        </w:tc>
        <w:tc>
          <w:tcPr>
            <w:tcW w:w="0" w:type="dxa"/>
            <w:vAlign w:val="bottom"/>
          </w:tcPr>
          <w:p>
            <w:pPr>
              <w:spacing w:after="0"/>
              <w:rPr>
                <w:sz w:val="1"/>
                <w:szCs w:val="1"/>
                <w:color w:val="auto"/>
              </w:rPr>
            </w:pPr>
          </w:p>
        </w:tc>
      </w:tr>
      <w:tr>
        <w:trPr>
          <w:trHeight w:val="148"/>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Date</w:t>
            </w:r>
          </w:p>
        </w:tc>
        <w:tc>
          <w:tcPr>
            <w:tcW w:w="8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Action</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172"/>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62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240" w:type="dxa"/>
            <w:vAlign w:val="bottom"/>
          </w:tcPr>
          <w:p>
            <w:pPr>
              <w:spacing w:after="0"/>
              <w:rPr>
                <w:sz w:val="12"/>
                <w:szCs w:val="12"/>
                <w:color w:val="auto"/>
              </w:rPr>
            </w:pPr>
          </w:p>
        </w:tc>
        <w:tc>
          <w:tcPr>
            <w:tcW w:w="7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($/Sh)</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James H. Roth</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3/1/2013</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2/8/2013</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ind w:left="280"/>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232"/>
              <w:spacing w:after="0" w:line="136" w:lineRule="exact"/>
              <w:rPr>
                <w:sz w:val="20"/>
                <w:szCs w:val="20"/>
                <w:color w:val="auto"/>
              </w:rPr>
            </w:pPr>
            <w:r>
              <w:rPr>
                <w:rFonts w:ascii="Arial" w:cs="Arial" w:eastAsia="Arial" w:hAnsi="Arial"/>
                <w:sz w:val="14"/>
                <w:szCs w:val="14"/>
                <w:color w:val="auto"/>
                <w:w w:val="85"/>
              </w:rPr>
              <w:t>6,251</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83"/>
              </w:rPr>
              <w:t>25,006</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31,258</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center"/>
              <w:ind w:left="152"/>
              <w:spacing w:after="0" w:line="136" w:lineRule="exact"/>
              <w:rPr>
                <w:sz w:val="20"/>
                <w:szCs w:val="20"/>
                <w:color w:val="auto"/>
              </w:rPr>
            </w:pPr>
            <w:r>
              <w:rPr>
                <w:rFonts w:ascii="Arial" w:cs="Arial" w:eastAsia="Arial" w:hAnsi="Arial"/>
                <w:sz w:val="14"/>
                <w:szCs w:val="14"/>
                <w:color w:val="auto"/>
                <w:w w:val="85"/>
              </w:rPr>
              <w:t>—</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979,985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3/1/2013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2/8/2013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24,054</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39.19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419,983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220,000</w:t>
            </w:r>
          </w:p>
        </w:tc>
        <w:tc>
          <w:tcPr>
            <w:tcW w:w="72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6"/>
              </w:rPr>
              <w:t>880,000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1,100,000</w:t>
            </w:r>
          </w:p>
        </w:tc>
        <w:tc>
          <w:tcPr>
            <w:tcW w:w="8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4"/>
        </w:trPr>
        <w:tc>
          <w:tcPr>
            <w:tcW w:w="2500" w:type="dxa"/>
            <w:vAlign w:val="bottom"/>
            <w:gridSpan w:val="3"/>
          </w:tcPr>
          <w:p>
            <w:pPr>
              <w:spacing w:after="0"/>
              <w:rPr>
                <w:sz w:val="20"/>
                <w:szCs w:val="20"/>
                <w:color w:val="auto"/>
              </w:rPr>
            </w:pPr>
            <w:r>
              <w:rPr>
                <w:rFonts w:ascii="Arial" w:cs="Arial" w:eastAsia="Arial" w:hAnsi="Arial"/>
                <w:sz w:val="14"/>
                <w:szCs w:val="14"/>
                <w:color w:val="auto"/>
              </w:rPr>
              <w:t>C. Mark Hussey</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3/1/2013</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2/8/2013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left="12"/>
              <w:spacing w:after="0"/>
              <w:rPr>
                <w:sz w:val="20"/>
                <w:szCs w:val="20"/>
                <w:color w:val="auto"/>
              </w:rPr>
            </w:pPr>
            <w:r>
              <w:rPr>
                <w:rFonts w:ascii="Arial" w:cs="Arial" w:eastAsia="Arial" w:hAnsi="Arial"/>
                <w:sz w:val="14"/>
                <w:szCs w:val="14"/>
                <w:color w:val="auto"/>
                <w:w w:val="85"/>
              </w:rPr>
              <w:t>2,009</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8,038</w:t>
            </w:r>
          </w:p>
        </w:tc>
        <w:tc>
          <w:tcPr>
            <w:tcW w:w="600" w:type="dxa"/>
            <w:vAlign w:val="bottom"/>
          </w:tcPr>
          <w:p>
            <w:pPr>
              <w:jc w:val="right"/>
              <w:spacing w:after="0"/>
              <w:rPr>
                <w:sz w:val="20"/>
                <w:szCs w:val="20"/>
                <w:color w:val="auto"/>
              </w:rPr>
            </w:pPr>
            <w:r>
              <w:rPr>
                <w:rFonts w:ascii="Arial" w:cs="Arial" w:eastAsia="Arial" w:hAnsi="Arial"/>
                <w:sz w:val="14"/>
                <w:szCs w:val="14"/>
                <w:color w:val="auto"/>
              </w:rPr>
              <w:t>10,048</w:t>
            </w:r>
          </w:p>
        </w:tc>
        <w:tc>
          <w:tcPr>
            <w:tcW w:w="2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315,009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3/1/2013</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2/8/2013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7,731</w:t>
            </w:r>
          </w:p>
        </w:tc>
        <w:tc>
          <w:tcPr>
            <w:tcW w:w="2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39.19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134,983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90,000</w:t>
            </w:r>
          </w:p>
        </w:tc>
        <w:tc>
          <w:tcPr>
            <w:tcW w:w="720" w:type="dxa"/>
            <w:vAlign w:val="bottom"/>
            <w:gridSpan w:val="2"/>
          </w:tcPr>
          <w:p>
            <w:pPr>
              <w:jc w:val="center"/>
              <w:ind w:left="212"/>
              <w:spacing w:after="0"/>
              <w:rPr>
                <w:sz w:val="20"/>
                <w:szCs w:val="20"/>
                <w:color w:val="auto"/>
              </w:rPr>
            </w:pPr>
            <w:r>
              <w:rPr>
                <w:rFonts w:ascii="Arial" w:cs="Arial" w:eastAsia="Arial" w:hAnsi="Arial"/>
                <w:sz w:val="14"/>
                <w:szCs w:val="14"/>
                <w:color w:val="auto"/>
                <w:w w:val="86"/>
              </w:rPr>
              <w:t>360,000</w:t>
            </w:r>
          </w:p>
        </w:tc>
        <w:tc>
          <w:tcPr>
            <w:tcW w:w="2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450,000</w:t>
            </w:r>
          </w:p>
        </w:tc>
        <w:tc>
          <w:tcPr>
            <w:tcW w:w="820" w:type="dxa"/>
            <w:vAlign w:val="bottom"/>
            <w:gridSpan w:val="2"/>
          </w:tcPr>
          <w:p>
            <w:pPr>
              <w:jc w:val="center"/>
              <w:ind w:left="52"/>
              <w:spacing w:after="0"/>
              <w:rPr>
                <w:sz w:val="20"/>
                <w:szCs w:val="20"/>
                <w:color w:val="auto"/>
              </w:rPr>
            </w:pPr>
            <w:r>
              <w:rPr>
                <w:rFonts w:ascii="Arial" w:cs="Arial" w:eastAsia="Arial" w:hAnsi="Arial"/>
                <w:sz w:val="14"/>
                <w:szCs w:val="14"/>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Diane E. Ratekin</w:t>
            </w:r>
          </w:p>
        </w:tc>
        <w:tc>
          <w:tcPr>
            <w:tcW w:w="9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3/1/2013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2/8/2013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85"/>
              </w:rPr>
              <w:t>1,256</w:t>
            </w:r>
          </w:p>
        </w:tc>
        <w:tc>
          <w:tcPr>
            <w:tcW w:w="6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5,024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3/1/2013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2/8/2013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4,832</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39.19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46,875</w:t>
            </w:r>
          </w:p>
        </w:tc>
        <w:tc>
          <w:tcPr>
            <w:tcW w:w="72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6"/>
              </w:rPr>
              <w:t>187,500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234,375</w:t>
            </w:r>
          </w:p>
        </w:tc>
        <w:tc>
          <w:tcPr>
            <w:tcW w:w="820" w:type="dxa"/>
            <w:vAlign w:val="bottom"/>
            <w:gridSpan w:val="2"/>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8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w:t>
            </w: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cash award, the Target, Threshold and Maximum represent the range of cash award that could be earned. Threshold is 25% of target and Maximum represents 125% of target. Based on the achievement of specific financial goals, the Compensation Committee determined that 106% of the target award was earned.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full grant date fair values of the March 1, 2013 performance share units (PSUs) are based on the closing price of Huron stock of $39.19 on</w:t>
      </w:r>
    </w:p>
    <w:p>
      <w:pPr>
        <w:spacing w:after="0" w:line="38"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February 28, 2013, the last trading day prior to the grant of the awards. The March 1, 2013 PSUs were earned on the achievement of specific financial goals described below. One-third of the earned PSUs vest upon completion of the performance period, which ended December 31, 2013, and the remaining two-thirds vest on December 31, 2015 if the individual is still employed by Huron on that date.</w:t>
      </w:r>
    </w:p>
    <w:p>
      <w:pPr>
        <w:spacing w:after="0" w:line="63" w:lineRule="exact"/>
        <w:rPr>
          <w:rFonts w:ascii="Arial" w:cs="Arial" w:eastAsia="Arial" w:hAnsi="Arial"/>
          <w:sz w:val="16"/>
          <w:szCs w:val="16"/>
          <w:color w:val="auto"/>
        </w:rPr>
      </w:pPr>
    </w:p>
    <w:p>
      <w:pPr>
        <w:ind w:left="460" w:right="440"/>
        <w:spacing w:after="0" w:line="306" w:lineRule="auto"/>
        <w:rPr>
          <w:rFonts w:ascii="Arial" w:cs="Arial" w:eastAsia="Arial" w:hAnsi="Arial"/>
          <w:sz w:val="16"/>
          <w:szCs w:val="16"/>
          <w:color w:val="auto"/>
        </w:rPr>
      </w:pPr>
      <w:r>
        <w:rPr>
          <w:rFonts w:ascii="Arial" w:cs="Arial" w:eastAsia="Arial" w:hAnsi="Arial"/>
          <w:sz w:val="16"/>
          <w:szCs w:val="16"/>
          <w:color w:val="auto"/>
        </w:rPr>
        <w:t>The Target award column represents the base number of shares that could be earned; the Threshold column represents the minimum number of shares (25%) and the Maximum column represents the maximum number of shares (125%) that each named executive officer could earn. Based on the achievement of specific financial goals, the Compensation Committee determined that 125% of the shares were earned.</w:t>
      </w:r>
    </w:p>
    <w:p>
      <w:pPr>
        <w:spacing w:after="0" w:line="25" w:lineRule="exact"/>
        <w:rPr>
          <w:rFonts w:ascii="Arial" w:cs="Arial" w:eastAsia="Arial" w:hAnsi="Arial"/>
          <w:sz w:val="16"/>
          <w:szCs w:val="16"/>
          <w:color w:val="auto"/>
        </w:rPr>
      </w:pPr>
    </w:p>
    <w:p>
      <w:pPr>
        <w:ind w:left="460" w:right="220"/>
        <w:spacing w:after="0" w:line="259" w:lineRule="auto"/>
        <w:rPr>
          <w:rFonts w:ascii="Arial" w:cs="Arial" w:eastAsia="Arial" w:hAnsi="Arial"/>
          <w:sz w:val="16"/>
          <w:szCs w:val="16"/>
          <w:color w:val="auto"/>
        </w:rPr>
      </w:pPr>
      <w:r>
        <w:rPr>
          <w:rFonts w:ascii="Arial" w:cs="Arial" w:eastAsia="Arial" w:hAnsi="Arial"/>
          <w:sz w:val="18"/>
          <w:szCs w:val="18"/>
          <w:color w:val="auto"/>
        </w:rPr>
        <w:t>The following table shows the actual number of PSUs with respect to 2013 performance that were allocated on February 26, 2014, the date at which the actual performance results were determined. One-third of the earned PSUs vest upon completion of the performance period and the remaining two-thirds vest two years later, if the individual is still employed by Huron on that date.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7"/>
              </w:rPr>
              <w:t>Performance Share</w:t>
            </w: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Performance Share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60" w:type="dxa"/>
            <w:vAlign w:val="bottom"/>
            <w:vMerge w:val="restart"/>
          </w:tcPr>
          <w:p>
            <w:pPr>
              <w:spacing w:after="0"/>
              <w:rPr>
                <w:sz w:val="12"/>
                <w:szCs w:val="12"/>
                <w:color w:val="auto"/>
              </w:rPr>
            </w:pPr>
          </w:p>
        </w:tc>
        <w:tc>
          <w:tcPr>
            <w:tcW w:w="2800" w:type="dxa"/>
            <w:vAlign w:val="bottom"/>
            <w:gridSpan w:val="2"/>
          </w:tcPr>
          <w:p>
            <w:pPr>
              <w:jc w:val="center"/>
              <w:ind w:right="1620"/>
              <w:spacing w:after="0" w:line="149" w:lineRule="exact"/>
              <w:rPr>
                <w:sz w:val="20"/>
                <w:szCs w:val="20"/>
                <w:color w:val="auto"/>
              </w:rPr>
            </w:pPr>
            <w:r>
              <w:rPr>
                <w:rFonts w:ascii="Arial" w:cs="Arial" w:eastAsia="Arial" w:hAnsi="Arial"/>
                <w:sz w:val="14"/>
                <w:szCs w:val="14"/>
                <w:b w:val="1"/>
                <w:bCs w:val="1"/>
                <w:color w:val="auto"/>
                <w:w w:val="85"/>
              </w:rPr>
              <w:t>Units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2800" w:type="dxa"/>
            <w:vAlign w:val="bottom"/>
            <w:gridSpan w:val="2"/>
          </w:tcPr>
          <w:p>
            <w:pPr>
              <w:jc w:val="center"/>
              <w:ind w:right="1620"/>
              <w:spacing w:after="0" w:line="148" w:lineRule="exact"/>
              <w:rPr>
                <w:sz w:val="20"/>
                <w:szCs w:val="20"/>
                <w:color w:val="auto"/>
              </w:rPr>
            </w:pPr>
            <w:r>
              <w:rPr>
                <w:rFonts w:ascii="Arial" w:cs="Arial" w:eastAsia="Arial" w:hAnsi="Arial"/>
                <w:sz w:val="14"/>
                <w:szCs w:val="14"/>
                <w:b w:val="1"/>
                <w:bCs w:val="1"/>
                <w:color w:val="auto"/>
                <w:w w:val="88"/>
              </w:rPr>
              <w:t>Earned</w:t>
            </w: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31,258</w:t>
            </w:r>
          </w:p>
        </w:tc>
        <w:tc>
          <w:tcPr>
            <w:tcW w:w="16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180" w:type="dxa"/>
            <w:vAlign w:val="bottom"/>
          </w:tcPr>
          <w:p>
            <w:pPr>
              <w:jc w:val="right"/>
              <w:spacing w:after="0"/>
              <w:rPr>
                <w:sz w:val="20"/>
                <w:szCs w:val="20"/>
                <w:color w:val="auto"/>
              </w:rPr>
            </w:pPr>
            <w:r>
              <w:rPr>
                <w:rFonts w:ascii="Arial" w:cs="Arial" w:eastAsia="Arial" w:hAnsi="Arial"/>
                <w:sz w:val="18"/>
                <w:szCs w:val="18"/>
                <w:color w:val="auto"/>
              </w:rPr>
              <w:t>10,048</w:t>
            </w:r>
          </w:p>
        </w:tc>
        <w:tc>
          <w:tcPr>
            <w:tcW w:w="16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6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Options and PSUs granted under the Company’s 2012 Omnibus Plan.</w:t>
      </w:r>
    </w:p>
    <w:p>
      <w:pPr>
        <w:spacing w:after="0" w:line="90" w:lineRule="exact"/>
        <w:rPr>
          <w:rFonts w:ascii="Arial" w:cs="Arial" w:eastAsia="Arial" w:hAnsi="Arial"/>
          <w:sz w:val="18"/>
          <w:szCs w:val="18"/>
          <w:color w:val="auto"/>
        </w:rPr>
      </w:pPr>
    </w:p>
    <w:p>
      <w:pPr>
        <w:jc w:val="both"/>
        <w:ind w:left="460" w:right="40" w:hanging="452"/>
        <w:spacing w:after="0" w:line="37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March 1, 2013 option grants are subject to 25% vesting on each anniversary of the grant date provided the individual is still employed by Huron on the applicable vesting date. The grant date fair value of $17.46 for the March 1, 2013 option grants was determined using the Black-Scholes valuation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Roth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12, 2010, the Company entered into an Amended and Restated Senior Management Agreement, effective as of July 30, 2009, with James 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Roth, CEO and President of the Company (the “Roth Agreement”). Set forth below is a brief description of the material terms of the Roth Agreement.</w:t>
      </w:r>
    </w:p>
    <w:p>
      <w:pPr>
        <w:spacing w:after="0" w:line="18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Roth Agreement covers a term beginning on July 30, 2009 and continuing for three years from that date. Following the expiration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that initial three-year term, the Roth Agreement will be automatically renewed every 12 months, unless Mr. Roth or the Company provides 60 days’ notice to the other that such automatic renewal shall cease. The Roth Agreement may be terminated earlier by Mr. Roth or the Company pursuant to its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Roth Agreement provides for an annual base salary of $800,000.</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Roth will be eligible for an annual target bonus in an amount determined by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and the Company’s compensation policies, which target bonus will not be less than 110% of Mr. Roth’s base salary. The actual amount of such annual bonus to be paid to Mr. Roth will be based on performance (the targets for which will be established within the first 90 days of the year to which such target bonus relates).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Roth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and based on performance and the Company’s compensation policies.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Roth will be eligible to participate in the Company’s various health and welfare benefit plans for its similarly situated key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w:t>
      </w:r>
    </w:p>
    <w:p>
      <w:pPr>
        <w:spacing w:after="0" w:line="13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Roth’s employment is terminated by the Company without Cause, or he resigns for Good Reason, Mr. Roth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to: (i) severance pay in an amount equal to the sum of his annual base salary and then-prevailing target bonus (“Severance Pay”), (ii) continuation of medical, dental and vision benefits for 12 months upon the same terms as exist from time to time for active similarly situated executives of the Company, (iii) a cash payment equal to the annual bonus he would have earned for the year of termination or resignation based on performance, prorated based upon the number of days employed in the year of termination or resignation, and (iv) pro rata vesting of any outstanding equity awards granted to Mr. Roth prior to 2010. In addition, Mr. Roth’s equity award agreements subsequent to December 31, 2009 provide for pro rata vesting of unvested restricted shares and service-based option awards and pro rata vesting of performance shares based on actual performance. The receipt of such benefits is conditioned upon Mr. Roth’s compliance with the covenants, representations and warranties contained in the Roth Agreement, as well as the execution and acceptance of the terms and conditions of a general release in the standard form used by the Company.</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is defined in the Roth Agreement to mean a resignation following: (i) a change in Mr. Roth’s primary location of employment to a location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more than 75 miles from Chicago, Illinois, (ii) a material breach of the Roth Agreement by the Company, (iii) a material reduction in his base salary or target cash compensation for a year, (iv) a material diminishment of his position, title, duties or responsibilities, or (v) the execution of a binding agreement committing the Company to a Change of Control (as defined in the Roth Agreement) without also committing legally and announcing publicly that Mr. Roth shall become the Chief Executive Officer of the surviving Company. The Roth Agreement provides the Company the right to cure prior to a resignation for Good Reason.</w:t>
      </w:r>
    </w:p>
    <w:p>
      <w:pPr>
        <w:spacing w:after="0" w:line="14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Mr. Roth’s employment is terminated by the Company without Cause or if he resigns for a CoC Good Reason within two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a Change of Control or (ii) Mr. Roth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Roth will be entitled to: (a) cash equal to his target bonus for the year of termination or resignation, prorated based on the number of days employed in the year of termination or resignation, (b) cash equal to two times the sum of his annual base salary and target bonus for the year of termination or resignation, and (c) continuation of medical, dental and vision benefits for two years following the date of such termination or resignation upon the same terms as exist for him immediately prior to the termination or resignation date. In addition, in the case of a Qualifying Termination that occurs prior to a Change of Control, Mr. Roth will be provided with a cash payment equal to the difference between (i) the amount of the premium paid by him for continuation of medical benefits under COBRA between the Qualifying Termination and the date of the Change of Control and (ii) the amount of the premium that Mr. Roth would have paid for medical coverage during such period had his coverage been continued during such period upon the same terms as existed for him immediately prior to the termination or resignation date. All of Mr. Roth’s outstanding restricted stock and performance share grants that were awarded at or prior to the time of the Change of Control will fully vest upon the occurrence of a Qualifying Termination. Mr. Roth’s service-based unvested option award will vest only if the acquirer does not assume the options upon a Qualifying Termination. The option award with a performance requirement will only vest if as of the Change of Control date the performance requirement is met and the acquirer does not assume the options upon a Qualifying Termination. The receipt of the benefits described in this paragraph is conditioned on Mr. Roth’s compliance with covenants, warranties and representations in the Roth Agreement and his execution and acceptance of the terms of a general release of the Company. The payments in clauses (a) and (b) of this paragraph shall be in lieu of any Severance Pay and any other plan or agreement providing for severance payments or benefits. Further, Mr. Roth will not be entitled to payments and benefits under both the Change of Control provisions of the Roth Agreement and the provisions of the Roth Agreement governing compensation after termination unrelated to a Change of Control.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“CoC Good Reason” </w:t>
      </w:r>
      <w:r>
        <w:rPr>
          <w:rFonts w:ascii="Arial" w:cs="Arial" w:eastAsia="Arial" w:hAnsi="Arial"/>
          <w:sz w:val="16"/>
          <w:szCs w:val="16"/>
          <w:color w:val="auto"/>
        </w:rPr>
        <w:t>is defined in the Roth Agreement to mean certain adverse changes in anticipation of, or within two years following, a Change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including: (a) any material breach of the Roth Agreement by the Company, (b) any material adverse change in Mr. Roth’s status, responsibilities or position with the Company, (c) any material reduction in his base salary or Target Bonus, other than in connection with an across-the-board reduction in base salaries applicable in like proportions to all similarly situated executives of the Company and any direct or indirect parent of the Company, (d) assignment of duties to Mr. Roth that are materially inconsistent with his position and responsibilities described in the Roth Agreement, including, specifically, assignment of a position other than as Chief Executive Officer of the surviving Company, or (e) requiring Mr. Roth to be principally based at any office or location that is greater than 75 miles from Chicago, Illinois.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Roth Agreement further provides that, if any amount, right or benefit paid or payable to Mr. Roth under the Roth Agreement or any other plan, program or arrangement would constitute an “excess parachute payment” under Section 280G of the Code, subject to the excise tax imposed by Section 4999 of the Code, then the amount of payments payable to Mr. Roth under the Roth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Hussey senior management agreement</w:t>
      </w:r>
    </w:p>
    <w:p>
      <w:pPr>
        <w:spacing w:after="0" w:line="90"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On July 7, 2011, the Company entered into a Senior Management Agreement, effective as of July 18, 2011, with C. Mark Hussey, COO, CFO and Treasurer of the Company (the “Hussey Agreement”). Set forth below is a brief description of the material terms of the Hussey Agreement.</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Hussey Agreement covers a term beginning on July 18, 2011 and continuing for one year from that date (the “Initial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expiration of that initial one-year term, the Hussey Agreement will be automatically renewed every 12 months, unless Mr. Hussey or the Company provides 60 days’ notice to the other that such automatic renewal shall cease. The Hussey Agreement may be terminated earlier by Mr. Hussey or the Company pursuant to its terms.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The Hussey Agreement provides for an annual base salary, payable in accordance with the Company’s customary payroll practices as in effect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At the conclusion of the Initial Period, the CEO shall perform an annual review of Mr. Hussey’s compensation based on Mr. Hussey’s performance of his duties and the Company’s other compensation policies. The term base salary shall include any changes to the base salary from time to time.</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Hussey will be eligible for an annual target bonus in an amount determined by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based on performance and the Company’s compensation policies. The actual Annual Bonus paid will be based on the Company’s and Mr. Hussey’s performance.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Hussey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Mr. Hussey’s performance and the Company’s compensation policies.</w:t>
      </w:r>
    </w:p>
    <w:p>
      <w:pPr>
        <w:spacing w:after="0" w:line="8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Hussey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Post-Termination Payments. </w:t>
      </w:r>
      <w:r>
        <w:rPr>
          <w:rFonts w:ascii="Arial" w:cs="Arial" w:eastAsia="Arial" w:hAnsi="Arial"/>
          <w:sz w:val="18"/>
          <w:szCs w:val="18"/>
          <w:color w:val="auto"/>
        </w:rPr>
        <w:t>If Mr. Hussey’s employment is terminated by the Company without Cause or he resigns for Good Reason, in either case,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Hussey will be entitled to: (i) severance pay in an amount equal to six months base salary (“Severance Pay”) and (ii) continuation of medical benefits for six months upon the same terms as exist from time to time for active similarly situated executives of the Company. The receipt of such benefits is conditioned upon Mr. Hussey’s compliance with the covenants, representations, warranties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agreements contained in the Hussey Agreement, as well as the execution and acceptance of the terms and conditions of a general release in the standard form used by the Company.</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is defined in the Hussey Agreement to mean a resignation following: (i) a change in Mr. Hussey’s primary location of employment to a location that is more than 50 miles from Chicago, Illinois, (ii) a failure to comply with any material term of the Hussey Agreement by the Company, (iii) a material reduction in his base salary or benefits coverage, provided that such reduction is without his consent, is not warranted by the Company’s financial condition, and is not a change that applies uniformly to similarly situated Company executives.</w:t>
      </w:r>
    </w:p>
    <w:p>
      <w:pPr>
        <w:spacing w:after="0" w:line="113" w:lineRule="exact"/>
        <w:rPr>
          <w:sz w:val="20"/>
          <w:szCs w:val="20"/>
          <w:color w:val="auto"/>
        </w:rPr>
      </w:pPr>
    </w:p>
    <w:p>
      <w:pPr>
        <w:ind w:right="160" w:firstLine="456"/>
        <w:spacing w:after="0" w:line="301"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Mr. Hussey’s employment is terminated by the Company without Cause or if 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Mr. Hussey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or instigation of a third party acting to effect a Change of Control, and a Change of Control actually occurs within 12 months of such termination or resignation (each of (i) and (ii), a “Qualifying Termination”), then Mr. Hussey will be entitled to: (a) cash equal to the then-prevailing target amount of his annual bonus (the “Target Bonus”) for the year of termination or resignation, prorated based on the number of days employed in the year of termination or resignation, (b) cash equal to the sum of his annual base salary and Target Bonus, if any, for the year of termination or resignation and</w:t>
      </w:r>
    </w:p>
    <w:p>
      <w:pPr>
        <w:spacing w:after="0" w:line="5" w:lineRule="exact"/>
        <w:rPr>
          <w:sz w:val="20"/>
          <w:szCs w:val="20"/>
          <w:color w:val="auto"/>
        </w:rPr>
      </w:pPr>
    </w:p>
    <w:p>
      <w:pPr>
        <w:ind w:firstLine="8"/>
        <w:spacing w:after="0" w:line="281" w:lineRule="auto"/>
        <w:tabs>
          <w:tab w:leader="none" w:pos="239"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continuation of medical benefits for one year following the date of such termination or resignation upon the same terms as exist for him immediately prior to the termination or resignation date. In addition, in the case of a Qualifying Termination that occurs prior to a Change of Control, Mr. Hussey will be provided with a lump sum cash payment equal to the difference between (i) the amount of the premium paid by him for continuation of medical benefits under COBRA from the date of the Qualifying Termination through the date of the Change of Control (the “Pre-CoC Coverage Period”) and (ii) the amount of the premium that</w:t>
      </w:r>
    </w:p>
    <w:p>
      <w:pPr>
        <w:spacing w:after="0" w:line="2" w:lineRule="exact"/>
        <w:rPr>
          <w:rFonts w:ascii="Arial" w:cs="Arial" w:eastAsia="Arial" w:hAnsi="Arial"/>
          <w:sz w:val="16"/>
          <w:szCs w:val="16"/>
          <w:color w:val="auto"/>
        </w:rPr>
      </w:pPr>
    </w:p>
    <w:p>
      <w:pPr>
        <w:ind w:right="140"/>
        <w:spacing w:after="0" w:line="295" w:lineRule="auto"/>
        <w:rPr>
          <w:rFonts w:ascii="Arial" w:cs="Arial" w:eastAsia="Arial" w:hAnsi="Arial"/>
          <w:sz w:val="16"/>
          <w:szCs w:val="16"/>
          <w:color w:val="auto"/>
        </w:rPr>
      </w:pPr>
      <w:r>
        <w:rPr>
          <w:rFonts w:ascii="Arial" w:cs="Arial" w:eastAsia="Arial" w:hAnsi="Arial"/>
          <w:sz w:val="16"/>
          <w:szCs w:val="16"/>
          <w:color w:val="auto"/>
        </w:rPr>
        <w:t>Mr. Hussey would have paid for continuation of medical coverage during the Pre-CoC Coverage Period. All of Mr. Hussey’s outstanding equity grants that were awarded at or prior to the time of the Change of Control will fully vest upon the occurrence of a Qualifying Termination. The receipt of the benefits described in this paragraph is conditioned on Mr. Hussey’s compliance with covenants, warranties, representations and agreements in the Hussey Agreement, as well as his execution and acceptance of the terms and conditions of a general release in the standard form used by the Company.</w:t>
      </w:r>
    </w:p>
    <w:p>
      <w:pPr>
        <w:spacing w:after="0" w:line="11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Hussey Agreement to mean the occurrence of any of the following within the 24-month period following a Change of Control: (a) any material breach of the Hussey Agreement by the Company, (b) any material adverse change in Mr. Hussey’s status, responsibilities or position with the Company, (c) any material reduction in his base salary, other than in connection with an across-the-board reduction in base salaries applicable in like proportions to all similarly situated executives of the Company and any direct or indirect parent of the Company, (d) assignment of duties to Mr. Hussey that are materially inconsistent with his position and the responsibilities described in the Hussey Agreement or (e) requiring Mr. Hussey to be principally based at any location that is greater than 50 miles from Chicago, Illinois.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Hussey Agreement further provides that if any amount, right or benefit paid or payable to Mr. Hussey under the Hussey Agreement or any other plan, program or arrangement would constitute an “excess parachute payment” under Section 280G of the Code, subject to the excise tax imposed by Section 4999 of the Code, then the amount of payments payable to Mr. Hussey under the Hussey Agreement will be reduced to the extent necessary so that no portion of such payments is subject to the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Ratekin senior management agreement</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On March 17, 2011, the Company entered into a Senior Management Agreement, effective as of February 22, 2011, with Diane E. Ratekin, General Counsel of the Company (the “Ratekin Agreement”). Set forth below is a brief description of the material terms of the Ratekin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Ratekin Agreement covers a term beginning on February 22, 2011 and continuing through December 31, 2011. Commencing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1, 2012, the Ratekin Agreement will be automatically renewed every 12 months, unless Ms. Ratekin or the Company provides 60 days’ notice to the other that such automatic renewal shall cease. The Ratekin Agreement may be terminated earlier by Ms. Ratekin or the Company pursuant to its terms.</w:t>
      </w:r>
    </w:p>
    <w:p>
      <w:pPr>
        <w:spacing w:after="0" w:line="107" w:lineRule="exact"/>
        <w:rPr>
          <w:sz w:val="20"/>
          <w:szCs w:val="20"/>
          <w:color w:val="auto"/>
        </w:rPr>
      </w:pPr>
    </w:p>
    <w:p>
      <w:pPr>
        <w:jc w:val="both"/>
        <w:ind w:right="360" w:firstLine="456"/>
        <w:spacing w:after="0" w:line="323"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The Ratekin Agreement provides for an annual base salary, payable in accordance with the Company’s customary payroll practices as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 from time to time. The CEO shall perform an annual review of Ms. Ratekin’s compensation based on Ms. Ratekin’s performance of her duties and the Company’s other compensation policies, provided that Ms. Ratekin’s base salary shall not be reduced without her consent unless such reduction is part of a comparable overall reduction for members of senior management. The term base salary shall include any changes to the base salary from time to time.</w:t>
      </w:r>
    </w:p>
    <w:p>
      <w:pPr>
        <w:spacing w:after="0" w:line="9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Ms. Ratekin will be eligible for an annual target bonus in an amount determined by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based on performance and the Company’s compensation policies. The actual Annual Bonus paid will be based on the Company’s and Ms. Ratekin’s performance.</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Ms. Ratekin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Ratekin’s performance and the Company’s compensation policies.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Ms. Ratekin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Ms. Ratekin’s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Ratekin will be entitled to: (i) severance pay in an amount equal to six months base salary (“Severance Pay”), (ii) pro rata vesting of any outstanding equity awards granted to Ms. Ratekin prior to 2010 and (iii) continuation of medical benefits for six months upon the same terms as exist from time to time for active similarly situated executives of the Company. The receipt of such benefits is conditioned upon Ms. Ratekin’s compliance with the covenants, representations, warranties and agreements contained in the Ratekin Agreement, as well as the execution and acceptance of the terms and conditions of a general release in the standard form used by the Company.</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is defined in the Ratekin Agreement to mean a resignation following a change in Ms. Ratekin’s primary location of employment to a location that is more than 75 miles from Chicago, Illinois.</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Ms. Ratekin’s employment is terminated by the Company without Cause or if she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Ms. Ratekin reasonably demonstrates that her termination by the Company (or an event which, had it occurred after a Change of Control, would have constituted a CoC Good Reason) prior to a Change of Control was attributable to or intended to facilitate a Change of Control or was at the request of or instigation of a third party acting to effect a Change of Control, and a Change of Control actually occurs within 12 months of such termination or resignation (each of (i) and (ii), a “Qualifying Termination”), then Ms. Ratekin will be entitled to: (a) cash equal to the then-prevailing target amount of her annual bonus (the “Target Bonus”) for the year of termination or resignation, prorated based on the number of days employed in the year of termination or resignation, (b) cash equal to the sum of her annual base salary and Target Bonus, if any, for the year of termination or resignation and</w:t>
      </w:r>
    </w:p>
    <w:p>
      <w:pPr>
        <w:spacing w:after="0" w:line="5" w:lineRule="exact"/>
        <w:rPr>
          <w:sz w:val="20"/>
          <w:szCs w:val="20"/>
          <w:color w:val="auto"/>
        </w:rPr>
      </w:pPr>
    </w:p>
    <w:p>
      <w:pPr>
        <w:ind w:right="120" w:firstLine="8"/>
        <w:spacing w:after="0" w:line="295"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continuation of medical benefits for one year following the date of such termination or resignation upon the same terms as exist for her immediately prior to the termination or resignation date. In addition, in the case of a Qualifying Termination that occurs prior to a Change of Control, Ms. Ratekin will be provided with a lump sum cash payment equal to the difference between (i) the amount of the premium paid by her for continuation of medical benefits under COBRA from the date of the Qualifying Termination through the date of the Change of Control (the “Pre-CoC Coverage Period”) and (ii) the amount of</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premium that Ms. Ratekin would have paid for continuation of medical coverage during the Pre-CoC Coverage Period. All of Ms. Ratekin’s outstanding equity grants that were awarded at or prior to the time of the Change of Control will fully vest upon the occurrence of a Qualifying Termination. The receipt of the benefits described in this paragraph is conditioned on Ms. Ratekin’s compliance with covenants, warranties, representations and agreements in the Ratekin Agreement, as well as her execution and acceptance of the terms and conditions of a general release in the standard form used by the Company.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Ratekin Agreement to mean the occurrence of any of the following within the 24-month period following a Change of Control including: (a) any material breach of the Ratekin Agreement by the Company, (b) any material adverse change in Ms. Ratekin’s status, responsibilities or position with the Company, (c) any material reduction in her base salary or Target Bonus, other than in connection with an across-the-board reduction in base salaries applicable in like proportions to all similarly situated executives of the Company and any direct or indirect parent of the Company, (d) assignment of duties to Ms. Ratekin that are materially inconsistent with her position and the responsibilities described in the Ratekin Agreement or (e) requiring Ms. Ratekin to be principally based at any location that is greater than 75 miles from Chicago, Illinois.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Ratekin Agreement further provides that if any amount, right or benefit paid or payable to Ms. Ratekin under the Ratekin Agreement or any other plan, program or arrangement would constitute an “excess parachute payment” under Section 280G of the Code, subject to the excise tax imposed by Section 4999 of the Code, then the amount of payments payable to Ms. Ratekin under the Ratekin Agreement will be reduced to the extent necessary so that no portion of such payments is subject to the excise tax.</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Outstanding Equity Awards at Fiscal Year-End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2013 for each named executive officer. Market value is based on the closing price of Huron stock of $62.67 on December 31, 2013.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4"/>
          </w:tcPr>
          <w:p>
            <w:pPr>
              <w:ind w:left="46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6"/>
        </w:trPr>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500"/>
              <w:spacing w:after="0" w:line="136" w:lineRule="exact"/>
              <w:rPr>
                <w:sz w:val="20"/>
                <w:szCs w:val="20"/>
                <w:color w:val="auto"/>
              </w:rPr>
            </w:pPr>
            <w:r>
              <w:rPr>
                <w:rFonts w:ascii="Arial" w:cs="Arial" w:eastAsia="Arial" w:hAnsi="Arial"/>
                <w:sz w:val="14"/>
                <w:szCs w:val="14"/>
                <w:b w:val="1"/>
                <w:bCs w:val="1"/>
                <w:color w:val="auto"/>
                <w:w w:val="86"/>
              </w:rPr>
              <w:t>Securities</w:t>
            </w:r>
          </w:p>
        </w:tc>
        <w:tc>
          <w:tcPr>
            <w:tcW w:w="1300" w:type="dxa"/>
            <w:vAlign w:val="bottom"/>
            <w:tcBorders>
              <w:top w:val="single" w:sz="8" w:color="auto"/>
            </w:tcBorders>
            <w:gridSpan w:val="2"/>
          </w:tcPr>
          <w:p>
            <w:pPr>
              <w:jc w:val="center"/>
              <w:ind w:right="500"/>
              <w:spacing w:after="0" w:line="136"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3"/>
              </w:rPr>
              <w:t>Shares or</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w:t>
            </w:r>
          </w:p>
        </w:tc>
        <w:tc>
          <w:tcPr>
            <w:tcW w:w="152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Stock that Have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0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 (#)(1)</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 (#)</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52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Not Vested as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2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94"/>
              </w:rPr>
              <w:t>Grant Date</w:t>
            </w:r>
          </w:p>
        </w:tc>
        <w:tc>
          <w:tcPr>
            <w:tcW w:w="13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3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10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2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Date</w:t>
            </w:r>
          </w:p>
        </w:tc>
        <w:tc>
          <w:tcPr>
            <w:tcW w:w="1520" w:type="dxa"/>
            <w:vAlign w:val="bottom"/>
            <w:gridSpan w:val="2"/>
          </w:tcPr>
          <w:p>
            <w:pPr>
              <w:jc w:val="center"/>
              <w:ind w:right="592"/>
              <w:spacing w:after="0" w:line="148" w:lineRule="exact"/>
              <w:rPr>
                <w:sz w:val="20"/>
                <w:szCs w:val="20"/>
                <w:color w:val="auto"/>
              </w:rPr>
            </w:pPr>
            <w:r>
              <w:rPr>
                <w:rFonts w:ascii="Arial" w:cs="Arial" w:eastAsia="Arial" w:hAnsi="Arial"/>
                <w:sz w:val="14"/>
                <w:szCs w:val="14"/>
                <w:b w:val="1"/>
                <w:bCs w:val="1"/>
                <w:color w:val="auto"/>
                <w:w w:val="86"/>
              </w:rPr>
              <w:t>Vested (#)</w:t>
            </w: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12/31/2013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5/3/2010</w:t>
            </w:r>
          </w:p>
        </w:tc>
        <w:tc>
          <w:tcPr>
            <w:tcW w:w="5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55"/>
              <w:spacing w:after="0" w:line="203" w:lineRule="exact"/>
              <w:rPr>
                <w:sz w:val="20"/>
                <w:szCs w:val="20"/>
                <w:color w:val="auto"/>
              </w:rPr>
            </w:pPr>
            <w:r>
              <w:rPr>
                <w:rFonts w:ascii="Arial" w:cs="Arial" w:eastAsia="Arial" w:hAnsi="Arial"/>
                <w:sz w:val="18"/>
                <w:szCs w:val="18"/>
                <w:color w:val="auto"/>
                <w:w w:val="88"/>
              </w:rPr>
              <w:t>23.43</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5/3/2020</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3/11/2011</w:t>
            </w:r>
          </w:p>
        </w:tc>
        <w:tc>
          <w:tcPr>
            <w:tcW w:w="820" w:type="dxa"/>
            <w:vAlign w:val="bottom"/>
          </w:tcPr>
          <w:p>
            <w:pPr>
              <w:jc w:val="right"/>
              <w:spacing w:after="0"/>
              <w:rPr>
                <w:sz w:val="20"/>
                <w:szCs w:val="20"/>
                <w:color w:val="auto"/>
              </w:rPr>
            </w:pPr>
            <w:r>
              <w:rPr>
                <w:rFonts w:ascii="Arial" w:cs="Arial" w:eastAsia="Arial" w:hAnsi="Arial"/>
                <w:sz w:val="18"/>
                <w:szCs w:val="18"/>
                <w:color w:val="auto"/>
              </w:rPr>
              <w:t>13,515</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13,516</w:t>
            </w:r>
          </w:p>
        </w:tc>
        <w:tc>
          <w:tcPr>
            <w:tcW w:w="50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8"/>
                <w:szCs w:val="18"/>
                <w:color w:val="auto"/>
                <w:w w:val="88"/>
              </w:rPr>
              <w:t>26.19</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3/11/2021</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38.18</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3/1/2022</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3/1/2013</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24,054</w:t>
            </w:r>
          </w:p>
        </w:tc>
        <w:tc>
          <w:tcPr>
            <w:tcW w:w="50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8"/>
                <w:szCs w:val="18"/>
                <w:color w:val="auto"/>
                <w:w w:val="88"/>
              </w:rPr>
              <w:t>39.19</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3/1/2023</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1/11/2010</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8,442(2)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3/1/2012</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92"/>
              <w:spacing w:after="0"/>
              <w:rPr>
                <w:sz w:val="20"/>
                <w:szCs w:val="20"/>
                <w:color w:val="auto"/>
              </w:rPr>
            </w:pPr>
            <w:r>
              <w:rPr>
                <w:rFonts w:ascii="Arial" w:cs="Arial" w:eastAsia="Arial" w:hAnsi="Arial"/>
                <w:sz w:val="18"/>
                <w:szCs w:val="18"/>
                <w:color w:val="auto"/>
              </w:rPr>
              <w:t>3,422(3)</w:t>
            </w:r>
          </w:p>
        </w:tc>
        <w:tc>
          <w:tcPr>
            <w:tcW w:w="1040" w:type="dxa"/>
            <w:vAlign w:val="bottom"/>
          </w:tcPr>
          <w:p>
            <w:pPr>
              <w:jc w:val="right"/>
              <w:spacing w:after="0"/>
              <w:rPr>
                <w:sz w:val="20"/>
                <w:szCs w:val="20"/>
                <w:color w:val="auto"/>
              </w:rPr>
            </w:pPr>
            <w:r>
              <w:rPr>
                <w:rFonts w:ascii="Arial" w:cs="Arial" w:eastAsia="Arial" w:hAnsi="Arial"/>
                <w:sz w:val="18"/>
                <w:szCs w:val="18"/>
                <w:color w:val="auto"/>
              </w:rPr>
              <w:t>214,457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3/1/2013</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20,839(3)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8/1/2011</w:t>
            </w:r>
          </w:p>
        </w:tc>
        <w:tc>
          <w:tcPr>
            <w:tcW w:w="820" w:type="dxa"/>
            <w:vAlign w:val="bottom"/>
          </w:tcPr>
          <w:p>
            <w:pPr>
              <w:ind w:left="560"/>
              <w:spacing w:after="0"/>
              <w:rPr>
                <w:sz w:val="20"/>
                <w:szCs w:val="20"/>
                <w:color w:val="auto"/>
              </w:rPr>
            </w:pPr>
            <w:r>
              <w:rPr>
                <w:rFonts w:ascii="Arial" w:cs="Arial" w:eastAsia="Arial" w:hAnsi="Arial"/>
                <w:sz w:val="18"/>
                <w:szCs w:val="18"/>
                <w:color w:val="auto"/>
                <w:w w:val="79"/>
              </w:rPr>
              <w:t>886</w:t>
            </w:r>
          </w:p>
        </w:tc>
        <w:tc>
          <w:tcPr>
            <w:tcW w:w="5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886</w:t>
            </w:r>
          </w:p>
        </w:tc>
        <w:tc>
          <w:tcPr>
            <w:tcW w:w="50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8"/>
                <w:szCs w:val="18"/>
                <w:color w:val="auto"/>
                <w:w w:val="88"/>
              </w:rPr>
              <w:t>32.37</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8/1/2021</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38.18</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3/1/2022</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3/1/2013</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7,731</w:t>
            </w:r>
          </w:p>
        </w:tc>
        <w:tc>
          <w:tcPr>
            <w:tcW w:w="50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8"/>
                <w:szCs w:val="18"/>
                <w:color w:val="auto"/>
                <w:w w:val="88"/>
              </w:rPr>
              <w:t>39.19</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3/1/2023</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8/1/2011</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5,000(2)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3/1/2012</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92"/>
              <w:spacing w:after="0"/>
              <w:rPr>
                <w:sz w:val="20"/>
                <w:szCs w:val="20"/>
                <w:color w:val="auto"/>
              </w:rPr>
            </w:pPr>
            <w:r>
              <w:rPr>
                <w:rFonts w:ascii="Arial" w:cs="Arial" w:eastAsia="Arial" w:hAnsi="Arial"/>
                <w:sz w:val="18"/>
                <w:szCs w:val="18"/>
                <w:color w:val="auto"/>
              </w:rPr>
              <w:t>1,070(3)</w:t>
            </w:r>
          </w:p>
        </w:tc>
        <w:tc>
          <w:tcPr>
            <w:tcW w:w="1040" w:type="dxa"/>
            <w:vAlign w:val="bottom"/>
          </w:tcPr>
          <w:p>
            <w:pPr>
              <w:jc w:val="right"/>
              <w:spacing w:after="0"/>
              <w:rPr>
                <w:sz w:val="20"/>
                <w:szCs w:val="20"/>
                <w:color w:val="auto"/>
              </w:rPr>
            </w:pPr>
            <w:r>
              <w:rPr>
                <w:rFonts w:ascii="Arial" w:cs="Arial" w:eastAsia="Arial" w:hAnsi="Arial"/>
                <w:sz w:val="18"/>
                <w:szCs w:val="18"/>
                <w:color w:val="auto"/>
              </w:rPr>
              <w:t>67,057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3/1/2013</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6,699(3)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3/11/2011</w:t>
            </w:r>
          </w:p>
        </w:tc>
        <w:tc>
          <w:tcPr>
            <w:tcW w:w="820" w:type="dxa"/>
            <w:vAlign w:val="bottom"/>
          </w:tcPr>
          <w:p>
            <w:pPr>
              <w:jc w:val="right"/>
              <w:spacing w:after="0"/>
              <w:rPr>
                <w:sz w:val="20"/>
                <w:szCs w:val="20"/>
                <w:color w:val="auto"/>
              </w:rPr>
            </w:pPr>
            <w:r>
              <w:rPr>
                <w:rFonts w:ascii="Arial" w:cs="Arial" w:eastAsia="Arial" w:hAnsi="Arial"/>
                <w:sz w:val="18"/>
                <w:szCs w:val="18"/>
                <w:color w:val="auto"/>
              </w:rPr>
              <w:t>2,353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2,353</w:t>
            </w:r>
          </w:p>
        </w:tc>
        <w:tc>
          <w:tcPr>
            <w:tcW w:w="50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8"/>
                <w:szCs w:val="18"/>
                <w:color w:val="auto"/>
                <w:w w:val="88"/>
              </w:rPr>
              <w:t>26.19</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3/11/2021</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3/1/2012</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768</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8"/>
              </w:rPr>
              <w:t>38.18</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3/1/2022</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3/1/2013</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4,832</w:t>
            </w:r>
          </w:p>
        </w:tc>
        <w:tc>
          <w:tcPr>
            <w:tcW w:w="500" w:type="dxa"/>
            <w:vAlign w:val="bottom"/>
          </w:tcPr>
          <w:p>
            <w:pPr>
              <w:spacing w:after="0"/>
              <w:rPr>
                <w:sz w:val="18"/>
                <w:szCs w:val="18"/>
                <w:color w:val="auto"/>
              </w:rPr>
            </w:pPr>
          </w:p>
        </w:tc>
        <w:tc>
          <w:tcPr>
            <w:tcW w:w="540" w:type="dxa"/>
            <w:vAlign w:val="bottom"/>
          </w:tcPr>
          <w:p>
            <w:pPr>
              <w:jc w:val="center"/>
              <w:ind w:left="55"/>
              <w:spacing w:after="0"/>
              <w:rPr>
                <w:sz w:val="20"/>
                <w:szCs w:val="20"/>
                <w:color w:val="auto"/>
              </w:rPr>
            </w:pPr>
            <w:r>
              <w:rPr>
                <w:rFonts w:ascii="Arial" w:cs="Arial" w:eastAsia="Arial" w:hAnsi="Arial"/>
                <w:sz w:val="18"/>
                <w:szCs w:val="18"/>
                <w:color w:val="auto"/>
                <w:w w:val="88"/>
              </w:rPr>
              <w:t>39.19</w:t>
            </w:r>
          </w:p>
        </w:tc>
        <w:tc>
          <w:tcPr>
            <w:tcW w:w="4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3/1/2023</w:t>
            </w:r>
          </w:p>
        </w:tc>
        <w:tc>
          <w:tcPr>
            <w:tcW w:w="15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3/1/2011</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244(2)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4/1/2011</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92"/>
              <w:spacing w:after="0"/>
              <w:rPr>
                <w:sz w:val="20"/>
                <w:szCs w:val="20"/>
                <w:color w:val="auto"/>
              </w:rPr>
            </w:pPr>
            <w:r>
              <w:rPr>
                <w:rFonts w:ascii="Arial" w:cs="Arial" w:eastAsia="Arial" w:hAnsi="Arial"/>
                <w:sz w:val="18"/>
                <w:szCs w:val="18"/>
                <w:color w:val="auto"/>
              </w:rPr>
              <w:t>2,500(2)</w:t>
            </w:r>
          </w:p>
        </w:tc>
        <w:tc>
          <w:tcPr>
            <w:tcW w:w="1040" w:type="dxa"/>
            <w:vAlign w:val="bottom"/>
          </w:tcPr>
          <w:p>
            <w:pPr>
              <w:jc w:val="right"/>
              <w:spacing w:after="0"/>
              <w:rPr>
                <w:sz w:val="20"/>
                <w:szCs w:val="20"/>
                <w:color w:val="auto"/>
              </w:rPr>
            </w:pPr>
            <w:r>
              <w:rPr>
                <w:rFonts w:ascii="Arial" w:cs="Arial" w:eastAsia="Arial" w:hAnsi="Arial"/>
                <w:sz w:val="18"/>
                <w:szCs w:val="18"/>
                <w:color w:val="auto"/>
              </w:rPr>
              <w:t>156,675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3/1/2012</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535(3)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3/1/2013</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92"/>
              <w:spacing w:after="0"/>
              <w:rPr>
                <w:sz w:val="20"/>
                <w:szCs w:val="20"/>
                <w:color w:val="auto"/>
              </w:rPr>
            </w:pPr>
            <w:r>
              <w:rPr>
                <w:rFonts w:ascii="Arial" w:cs="Arial" w:eastAsia="Arial" w:hAnsi="Arial"/>
                <w:sz w:val="18"/>
                <w:szCs w:val="18"/>
                <w:color w:val="auto"/>
              </w:rPr>
              <w:t>4,187(3)</w:t>
            </w:r>
          </w:p>
        </w:tc>
        <w:tc>
          <w:tcPr>
            <w:tcW w:w="1040" w:type="dxa"/>
            <w:vAlign w:val="bottom"/>
          </w:tcPr>
          <w:p>
            <w:pPr>
              <w:jc w:val="right"/>
              <w:spacing w:after="0"/>
              <w:rPr>
                <w:sz w:val="20"/>
                <w:szCs w:val="20"/>
                <w:color w:val="auto"/>
              </w:rPr>
            </w:pPr>
            <w:r>
              <w:rPr>
                <w:rFonts w:ascii="Arial" w:cs="Arial" w:eastAsia="Arial" w:hAnsi="Arial"/>
                <w:sz w:val="18"/>
                <w:szCs w:val="18"/>
                <w:color w:val="auto"/>
              </w:rPr>
              <w:t>262,399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“2013 Grants of Plan-Based Awards” for a description of the option grants. Option grants are subject to 25% vesting on each anniversary of the grant date provided the individual is still employed by Huron on the applicable vesting dates.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unvested restricted stock as of December 31, 2013 that vests 25% annually over four years from the date of grant.</w:t>
      </w:r>
    </w:p>
    <w:p>
      <w:pPr>
        <w:spacing w:after="0" w:line="9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performance-based restricted stock units (PSUs), for which the performance condition has been satisfied, that are unvested and only subject to the remainder of the service period as described under the “2013 Grants of Plan-Based Awards” table as of February 26, 2014. One-third of the earned PSUs vest upon completion of the performance period and the remaining two-thirds vest two years later, if the individual is still employed by Huron on that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2013 for each named executive officer. No stock options held by the named executive officers were exercised during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40" w:type="dxa"/>
            <w:vAlign w:val="bottom"/>
            <w:vMerge w:val="restart"/>
          </w:tcPr>
          <w:p>
            <w:pPr>
              <w:spacing w:after="0"/>
              <w:rPr>
                <w:sz w:val="11"/>
                <w:szCs w:val="11"/>
                <w:color w:val="auto"/>
              </w:rPr>
            </w:pPr>
          </w:p>
        </w:tc>
        <w:tc>
          <w:tcPr>
            <w:tcW w:w="1040" w:type="dxa"/>
            <w:vAlign w:val="bottom"/>
            <w:tcBorders>
              <w:top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w w:val="88"/>
              </w:rPr>
              <w:t>Shares Acquired</w:t>
            </w:r>
          </w:p>
        </w:tc>
        <w:tc>
          <w:tcPr>
            <w:tcW w:w="8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104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8"/>
              </w:rPr>
              <w:t>on Vesting (#) (1)</w:t>
            </w:r>
          </w:p>
        </w:tc>
        <w:tc>
          <w:tcPr>
            <w:tcW w:w="840" w:type="dxa"/>
            <w:vAlign w:val="bottom"/>
          </w:tcPr>
          <w:p>
            <w:pPr>
              <w:spacing w:after="0"/>
              <w:rPr>
                <w:sz w:val="14"/>
                <w:szCs w:val="14"/>
                <w:color w:val="auto"/>
              </w:rPr>
            </w:pPr>
          </w:p>
        </w:tc>
        <w:tc>
          <w:tcPr>
            <w:tcW w:w="11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 xml:space="preserve">on Vesting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(2)</w:t>
            </w:r>
          </w:p>
        </w:tc>
        <w:tc>
          <w:tcPr>
            <w:tcW w:w="0" w:type="dxa"/>
            <w:vAlign w:val="bottom"/>
          </w:tcPr>
          <w:p>
            <w:pPr>
              <w:spacing w:after="0"/>
              <w:rPr>
                <w:sz w:val="1"/>
                <w:szCs w:val="1"/>
                <w:color w:val="auto"/>
              </w:rPr>
            </w:pPr>
          </w:p>
        </w:tc>
      </w:tr>
      <w:tr>
        <w:trPr>
          <w:trHeight w:val="203"/>
        </w:trPr>
        <w:tc>
          <w:tcPr>
            <w:tcW w:w="8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43,537</w:t>
            </w: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2,351,740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7,089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420,442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restricted stock that vested in 2013 and performance-based stock units (PSUs) that were allocated on February 26, 2014, the date at which the actual performance results were determined.</w:t>
      </w:r>
    </w:p>
    <w:p>
      <w:pPr>
        <w:spacing w:after="0" w:line="50" w:lineRule="exact"/>
        <w:rPr>
          <w:rFonts w:ascii="Arial" w:cs="Arial" w:eastAsia="Arial" w:hAnsi="Arial"/>
          <w:sz w:val="18"/>
          <w:szCs w:val="18"/>
          <w:color w:val="auto"/>
        </w:rPr>
      </w:pPr>
    </w:p>
    <w:p>
      <w:pPr>
        <w:jc w:val="both"/>
        <w:ind w:left="460" w:right="500" w:hanging="452"/>
        <w:spacing w:after="0" w:line="335"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value realized on vesting equals the market value of Huron stock measured as the closing price of the stock on the vesting date multiplied by the number of shares received on vesting, or if the markets are not open on the date of vesting, the value realized equals the market value of Huron stock measured as the closing price of the stock on the first business day after the vesting date multiplied by the number of shares received on vesting.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Nonqualified Deferred Compensation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shows the deferred compensation activity for the named executive officers in 2013. Only Mr. Hussey participates in the deferred compensation plan.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Aggregate</w:t>
            </w:r>
          </w:p>
        </w:tc>
        <w:tc>
          <w:tcPr>
            <w:tcW w:w="840" w:type="dxa"/>
            <w:vAlign w:val="bottom"/>
          </w:tcPr>
          <w:p>
            <w:pPr>
              <w:spacing w:after="0"/>
              <w:rPr>
                <w:sz w:val="14"/>
                <w:szCs w:val="14"/>
                <w:color w:val="auto"/>
              </w:rPr>
            </w:pPr>
          </w:p>
        </w:tc>
      </w:tr>
      <w:tr>
        <w:trPr>
          <w:trHeight w:val="149"/>
        </w:trPr>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Executive</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Company</w:t>
            </w: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Aggregate</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Withdrawals /</w:t>
            </w:r>
          </w:p>
        </w:tc>
        <w:tc>
          <w:tcPr>
            <w:tcW w:w="84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auto"/>
              </w:rPr>
              <w:t>Aggregate</w:t>
            </w:r>
          </w:p>
        </w:tc>
      </w:tr>
      <w:tr>
        <w:trPr>
          <w:trHeight w:val="149"/>
        </w:trPr>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Earnings</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Balance as of</w:t>
            </w:r>
          </w:p>
        </w:tc>
      </w:tr>
      <w:tr>
        <w:trPr>
          <w:trHeight w:val="161"/>
        </w:trPr>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in 2013 ($)(1)</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in 2013 ($)</w:t>
            </w: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 xml:space="preserve">in 2013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in 2013 ($)</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8"/>
              </w:rPr>
              <w:t xml:space="preserve">12/31/13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w:t>
            </w:r>
          </w:p>
        </w:tc>
      </w:tr>
      <w:tr>
        <w:trPr>
          <w:trHeight w:val="216"/>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266,800</w:t>
            </w:r>
          </w:p>
        </w:tc>
        <w:tc>
          <w:tcPr>
            <w:tcW w:w="620" w:type="dxa"/>
            <w:vAlign w:val="bottom"/>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-149225</wp:posOffset>
            </wp:positionV>
            <wp:extent cx="72466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4100" w:space="720"/>
            <w:col w:w="6600"/>
          </w:cols>
          <w:pgMar w:left="240" w:top="459" w:right="239" w:bottom="1440" w:gutter="0" w:footer="0" w:header="0"/>
          <w:type w:val="continuous"/>
        </w:sectPr>
      </w:pPr>
    </w:p>
    <w:p>
      <w:pPr>
        <w:ind w:left="460" w:right="78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Executive contributions represent deferral of annual incentive for 2013, which amounts are also disclosed in the 2013 Non-Equity Incentive Plan Compensation column of the Summary Compensation Table.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aggregate balance as of December 31, 2013 includes amounts deferred with respect to 2013 compensation that were funded after fiscal year-end.</w:t>
      </w:r>
    </w:p>
    <w:p>
      <w:pPr>
        <w:spacing w:after="0" w:line="19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2013 and uses a share price of $62.67, the closing price of our stock on December 31,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Involuntary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without Cause or</w:t>
            </w: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Following</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2"/>
                <w:szCs w:val="12"/>
                <w:color w:val="auto"/>
              </w:rPr>
            </w:pPr>
          </w:p>
        </w:tc>
        <w:tc>
          <w:tcPr>
            <w:tcW w:w="28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Benefit</w:t>
            </w:r>
          </w:p>
        </w:tc>
        <w:tc>
          <w:tcPr>
            <w:tcW w:w="74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Resignation for</w:t>
            </w:r>
          </w:p>
        </w:tc>
        <w:tc>
          <w:tcPr>
            <w:tcW w:w="22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Permanent Disability or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Change of</w:t>
            </w:r>
          </w:p>
        </w:tc>
        <w:tc>
          <w:tcPr>
            <w:tcW w:w="0" w:type="dxa"/>
            <w:vAlign w:val="bottom"/>
          </w:tcPr>
          <w:p>
            <w:pPr>
              <w:spacing w:after="0"/>
              <w:rPr>
                <w:sz w:val="1"/>
                <w:szCs w:val="1"/>
                <w:color w:val="auto"/>
              </w:rPr>
            </w:pPr>
          </w:p>
        </w:tc>
      </w:tr>
      <w:tr>
        <w:trPr>
          <w:trHeight w:val="148"/>
        </w:trPr>
        <w:tc>
          <w:tcPr>
            <w:tcW w:w="220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82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5"/>
              </w:rPr>
              <w:t xml:space="preserve">Good Reason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220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90"/>
              </w:rPr>
              <w:t>Death ($)</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Control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7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Salary</w:t>
            </w: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800,000</w:t>
            </w:r>
          </w:p>
        </w:tc>
        <w:tc>
          <w:tcPr>
            <w:tcW w:w="820" w:type="dxa"/>
            <w:vAlign w:val="bottom"/>
            <w:shd w:val="clear" w:color="auto" w:fill="CCEEFF"/>
          </w:tcPr>
          <w:p>
            <w:pPr>
              <w:spacing w:after="0"/>
              <w:rPr>
                <w:sz w:val="17"/>
                <w:szCs w:val="17"/>
                <w:color w:val="auto"/>
              </w:rPr>
            </w:pPr>
          </w:p>
        </w:tc>
        <w:tc>
          <w:tcPr>
            <w:tcW w:w="1380" w:type="dxa"/>
            <w:vAlign w:val="bottom"/>
            <w:shd w:val="clear" w:color="auto" w:fill="CCEEFF"/>
          </w:tcPr>
          <w:p>
            <w:pPr>
              <w:ind w:left="112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1,600,000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 rata bonus (1)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932,800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1,520,845</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3,468,478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2,187,357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6,682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Cutback</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Total Value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4,147,009</w:t>
            </w:r>
          </w:p>
        </w:tc>
        <w:tc>
          <w:tcPr>
            <w:tcW w:w="820" w:type="dxa"/>
            <w:vAlign w:val="bottom"/>
          </w:tcPr>
          <w:p>
            <w:pPr>
              <w:spacing w:after="0"/>
              <w:rPr>
                <w:sz w:val="19"/>
                <w:szCs w:val="19"/>
                <w:color w:val="auto"/>
              </w:rPr>
            </w:pPr>
          </w:p>
        </w:tc>
        <w:tc>
          <w:tcPr>
            <w:tcW w:w="22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3,475,160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6,468,054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7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Mark Hussey</w:t>
            </w: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426,789</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1,121,453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Cutback</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Total Value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658,056</w:t>
            </w:r>
          </w:p>
        </w:tc>
        <w:tc>
          <w:tcPr>
            <w:tcW w:w="820" w:type="dxa"/>
            <w:vAlign w:val="bottom"/>
          </w:tcPr>
          <w:p>
            <w:pPr>
              <w:spacing w:after="0"/>
              <w:rPr>
                <w:sz w:val="19"/>
                <w:szCs w:val="19"/>
                <w:color w:val="auto"/>
              </w:rPr>
            </w:pPr>
          </w:p>
        </w:tc>
        <w:tc>
          <w:tcPr>
            <w:tcW w:w="22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1,124,793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1,196,803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7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Salary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299,263</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723,612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8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Cutback</w:t>
            </w:r>
          </w:p>
        </w:tc>
        <w:tc>
          <w:tcPr>
            <w:tcW w:w="7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Total Value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493,030</w:t>
            </w:r>
          </w:p>
        </w:tc>
        <w:tc>
          <w:tcPr>
            <w:tcW w:w="820" w:type="dxa"/>
            <w:vAlign w:val="bottom"/>
          </w:tcPr>
          <w:p>
            <w:pPr>
              <w:spacing w:after="0"/>
              <w:rPr>
                <w:sz w:val="19"/>
                <w:szCs w:val="19"/>
                <w:color w:val="auto"/>
              </w:rPr>
            </w:pPr>
          </w:p>
        </w:tc>
        <w:tc>
          <w:tcPr>
            <w:tcW w:w="22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726,929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1,220,742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34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Roth’s Pro rata bonus for termination without Cause or resignation for Good Reason is based on actual performance from 2013. See Compensation Discussion and Analysis for disclosure regarding amount earned.</w:t>
      </w:r>
    </w:p>
    <w:p>
      <w:pPr>
        <w:spacing w:after="0" w:line="5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below. The value of all whole value shares is equal to the number of accelerated shares times the closing price on December 31, 2013. The value of all accelerated options equals the number of accelerated options, multiplied by the closing price on December 31, 2013 minus the exercise price. For the performance share units granted in 2013, vesting will not accelerate due to a qualifying Termination, prorated shares will continue to vest per the original agreement. Those amounts are not included in the table above. In the event an executive qualifies for an approved retirement, they would receive continued vesting of their stock. There would be no acceleration but the equity would continue to vest per the schedule as outlined in the grant agreements.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Termination without Cause</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or Resignation for</w:t>
            </w:r>
          </w:p>
        </w:tc>
        <w:tc>
          <w:tcPr>
            <w:tcW w:w="27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Permanent</w:t>
            </w:r>
          </w:p>
        </w:tc>
        <w:tc>
          <w:tcPr>
            <w:tcW w:w="16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75"/>
        </w:trPr>
        <w:tc>
          <w:tcPr>
            <w:tcW w:w="3300" w:type="dxa"/>
            <w:vAlign w:val="bottom"/>
            <w:vMerge w:val="restart"/>
          </w:tcPr>
          <w:p>
            <w:pPr>
              <w:spacing w:after="0"/>
              <w:rPr>
                <w:sz w:val="20"/>
                <w:szCs w:val="20"/>
                <w:color w:val="auto"/>
              </w:rPr>
            </w:pPr>
            <w:r>
              <w:rPr>
                <w:rFonts w:ascii="Arial" w:cs="Arial" w:eastAsia="Arial" w:hAnsi="Arial"/>
                <w:sz w:val="18"/>
                <w:szCs w:val="18"/>
                <w:color w:val="auto"/>
              </w:rPr>
              <w:t>Time-Vested Restricted Stock</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Good Reason</w:t>
            </w:r>
          </w:p>
        </w:tc>
        <w:tc>
          <w:tcPr>
            <w:tcW w:w="2720" w:type="dxa"/>
            <w:vAlign w:val="bottom"/>
          </w:tcPr>
          <w:p>
            <w:pPr>
              <w:ind w:left="800"/>
              <w:spacing w:after="0"/>
              <w:rPr>
                <w:sz w:val="20"/>
                <w:szCs w:val="20"/>
                <w:color w:val="auto"/>
              </w:rPr>
            </w:pPr>
            <w:r>
              <w:rPr>
                <w:rFonts w:ascii="Arial" w:cs="Arial" w:eastAsia="Arial" w:hAnsi="Arial"/>
                <w:sz w:val="14"/>
                <w:szCs w:val="14"/>
                <w:b w:val="1"/>
                <w:bCs w:val="1"/>
                <w:color w:val="auto"/>
              </w:rPr>
              <w:t>Disability or Death</w:t>
            </w:r>
          </w:p>
        </w:tc>
        <w:tc>
          <w:tcPr>
            <w:tcW w:w="16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6"/>
              </w:rPr>
              <w:t>Change of Control</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 rata acceleration</w:t>
            </w:r>
          </w:p>
        </w:tc>
        <w:tc>
          <w:tcPr>
            <w:tcW w:w="1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acceleration</w:t>
            </w:r>
          </w:p>
        </w:tc>
        <w:tc>
          <w:tcPr>
            <w:tcW w:w="16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2740" w:type="dxa"/>
            <w:vAlign w:val="bottom"/>
            <w:gridSpan w:val="2"/>
          </w:tcPr>
          <w:p>
            <w:pPr>
              <w:spacing w:after="0"/>
              <w:rPr>
                <w:sz w:val="20"/>
                <w:szCs w:val="20"/>
                <w:color w:val="auto"/>
              </w:rPr>
            </w:pPr>
            <w:r>
              <w:rPr>
                <w:rFonts w:ascii="Arial" w:cs="Arial" w:eastAsia="Arial" w:hAnsi="Arial"/>
                <w:sz w:val="18"/>
                <w:szCs w:val="18"/>
                <w:color w:val="auto"/>
              </w:rPr>
              <w:t>Pro rata acceleration of shares</w:t>
            </w:r>
          </w:p>
        </w:tc>
        <w:tc>
          <w:tcPr>
            <w:tcW w:w="2720" w:type="dxa"/>
            <w:vAlign w:val="bottom"/>
          </w:tcPr>
          <w:p>
            <w:pPr>
              <w:spacing w:after="0"/>
              <w:rPr>
                <w:sz w:val="20"/>
                <w:szCs w:val="20"/>
                <w:color w:val="auto"/>
              </w:rPr>
            </w:pPr>
            <w:r>
              <w:rPr>
                <w:rFonts w:ascii="Arial" w:cs="Arial" w:eastAsia="Arial" w:hAnsi="Arial"/>
                <w:sz w:val="18"/>
                <w:szCs w:val="18"/>
                <w:color w:val="auto"/>
                <w:w w:val="99"/>
              </w:rPr>
              <w:t>Full acceleration of shares earned</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earned based on actual</w:t>
            </w:r>
          </w:p>
        </w:tc>
        <w:tc>
          <w:tcPr>
            <w:tcW w:w="2720" w:type="dxa"/>
            <w:vAlign w:val="bottom"/>
          </w:tcPr>
          <w:p>
            <w:pPr>
              <w:spacing w:after="0"/>
              <w:rPr>
                <w:sz w:val="20"/>
                <w:szCs w:val="20"/>
                <w:color w:val="auto"/>
              </w:rPr>
            </w:pPr>
            <w:r>
              <w:rPr>
                <w:rFonts w:ascii="Arial" w:cs="Arial" w:eastAsia="Arial" w:hAnsi="Arial"/>
                <w:sz w:val="18"/>
                <w:szCs w:val="18"/>
                <w:color w:val="auto"/>
              </w:rPr>
              <w:t>during performance period</w:t>
            </w:r>
          </w:p>
        </w:tc>
        <w:tc>
          <w:tcPr>
            <w:tcW w:w="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performance(1)</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300" w:type="dxa"/>
            <w:vAlign w:val="bottom"/>
          </w:tcPr>
          <w:p>
            <w:pPr>
              <w:spacing w:after="0"/>
              <w:rPr>
                <w:sz w:val="20"/>
                <w:szCs w:val="20"/>
                <w:color w:val="auto"/>
              </w:rPr>
            </w:pPr>
            <w:r>
              <w:rPr>
                <w:rFonts w:ascii="Arial" w:cs="Arial" w:eastAsia="Arial" w:hAnsi="Arial"/>
                <w:sz w:val="18"/>
                <w:szCs w:val="18"/>
                <w:color w:val="auto"/>
              </w:rPr>
              <w:t>Time-Vested Options</w:t>
            </w:r>
          </w:p>
        </w:tc>
        <w:tc>
          <w:tcPr>
            <w:tcW w:w="2740" w:type="dxa"/>
            <w:vAlign w:val="bottom"/>
            <w:gridSpan w:val="2"/>
          </w:tcPr>
          <w:p>
            <w:pPr>
              <w:spacing w:after="0"/>
              <w:rPr>
                <w:sz w:val="20"/>
                <w:szCs w:val="20"/>
                <w:color w:val="auto"/>
              </w:rPr>
            </w:pPr>
            <w:r>
              <w:rPr>
                <w:rFonts w:ascii="Arial" w:cs="Arial" w:eastAsia="Arial" w:hAnsi="Arial"/>
                <w:sz w:val="18"/>
                <w:szCs w:val="18"/>
                <w:color w:val="auto"/>
                <w:w w:val="94"/>
              </w:rPr>
              <w:t>Pro rata acceleration, based on time</w:t>
            </w:r>
          </w:p>
        </w:tc>
        <w:tc>
          <w:tcPr>
            <w:tcW w:w="2720" w:type="dxa"/>
            <w:vAlign w:val="bottom"/>
          </w:tcPr>
          <w:p>
            <w:pPr>
              <w:spacing w:after="0"/>
              <w:rPr>
                <w:sz w:val="20"/>
                <w:szCs w:val="20"/>
                <w:color w:val="auto"/>
              </w:rPr>
            </w:pPr>
            <w:r>
              <w:rPr>
                <w:rFonts w:ascii="Arial" w:cs="Arial" w:eastAsia="Arial" w:hAnsi="Arial"/>
                <w:sz w:val="18"/>
                <w:szCs w:val="18"/>
                <w:color w:val="auto"/>
              </w:rPr>
              <w:t>Full acceleration</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served</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300" w:type="dxa"/>
            <w:vAlign w:val="bottom"/>
          </w:tcPr>
          <w:p>
            <w:pPr>
              <w:spacing w:after="0"/>
              <w:rPr>
                <w:sz w:val="20"/>
                <w:szCs w:val="20"/>
                <w:color w:val="auto"/>
              </w:rPr>
            </w:pPr>
            <w:r>
              <w:rPr>
                <w:rFonts w:ascii="Arial" w:cs="Arial" w:eastAsia="Arial" w:hAnsi="Arial"/>
                <w:sz w:val="18"/>
                <w:szCs w:val="18"/>
                <w:color w:val="auto"/>
              </w:rPr>
              <w:t>Performance-Vested Options</w:t>
            </w:r>
          </w:p>
        </w:tc>
        <w:tc>
          <w:tcPr>
            <w:tcW w:w="2740" w:type="dxa"/>
            <w:vAlign w:val="bottom"/>
            <w:gridSpan w:val="2"/>
          </w:tcPr>
          <w:p>
            <w:pPr>
              <w:spacing w:after="0"/>
              <w:rPr>
                <w:sz w:val="20"/>
                <w:szCs w:val="20"/>
                <w:color w:val="auto"/>
              </w:rPr>
            </w:pPr>
            <w:r>
              <w:rPr>
                <w:rFonts w:ascii="Arial" w:cs="Arial" w:eastAsia="Arial" w:hAnsi="Arial"/>
                <w:sz w:val="18"/>
                <w:szCs w:val="18"/>
                <w:color w:val="auto"/>
              </w:rPr>
              <w:t>Forfeit</w:t>
            </w:r>
          </w:p>
        </w:tc>
        <w:tc>
          <w:tcPr>
            <w:tcW w:w="2720" w:type="dxa"/>
            <w:vAlign w:val="bottom"/>
          </w:tcPr>
          <w:p>
            <w:pPr>
              <w:spacing w:after="0"/>
              <w:rPr>
                <w:sz w:val="20"/>
                <w:szCs w:val="20"/>
                <w:color w:val="auto"/>
              </w:rPr>
            </w:pPr>
            <w:r>
              <w:rPr>
                <w:rFonts w:ascii="Arial" w:cs="Arial" w:eastAsia="Arial" w:hAnsi="Arial"/>
                <w:sz w:val="18"/>
                <w:szCs w:val="18"/>
                <w:color w:val="auto"/>
              </w:rPr>
              <w:t>Full acceleration</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w w:val="91"/>
              </w:rPr>
              <w:t>Earned if performance criteria met</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as of CoC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performance share units granted in 2013, vesting will not accelerate due to a Qualifying Termination, prorated shares will continue to vest per the original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severance benefit is payable to each of our named executive officers upon termination without Cause or resignation for Good Reason, except in the case of a Change of Control, as of December 31, 2013:</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Twelve months of base salary and his then current target bonus, pro rata bonus in the year of termination based on actual results, 12 months’ continuation of medical, dental and vision insurance coverage, pro rata vesting of all unvested restricted shares and service-based option awards, and pro rata vesting of performance shares that would otherwise have been earned in the year of termination. Severance amounts are payable in a lump sum.</w:t>
      </w:r>
    </w:p>
    <w:p>
      <w:pPr>
        <w:spacing w:after="0" w:line="59"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Diane E. Ratekin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200"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If any of our executives dies or becomes disabled, his or her estate will receive payment of base salary through the date of termination. The executive and/or his eligible dependents shall receive, in the case of Mr. Roth, continuation of medical, dental and vision benefits for six months and for all other executives, continuation of medical benefits for three months. In addition, all unvested equity will vest if any of our executives dies or becomes disabled.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Involuntary Termination Following Change of Control</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Company provides each of our executive officers with Change of Control severance benefits if his or her employment is terminated without Cause, as defined in the executive’s senior management agreement, following a Change of Control or if the executive resigns in the two-year period following a Change of Control for Good Reason as defined in the senior management agreement. Each executive will receive the following benefits:</w:t>
      </w:r>
    </w:p>
    <w:p>
      <w:pPr>
        <w:spacing w:after="0" w:line="26" w:lineRule="exact"/>
        <w:rPr>
          <w:sz w:val="20"/>
          <w:szCs w:val="20"/>
          <w:color w:val="auto"/>
        </w:rPr>
      </w:pPr>
    </w:p>
    <w:p>
      <w:pPr>
        <w:ind w:left="900" w:right="1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equal to the then-prevailing target amount of annual bonus (the “Target Bonus”) for the year of termination or resignation, prorated based on the number of days employed in the year of termination or resignation.</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equal to (i) two times the sum for Mr. Roth and (ii) one time the sum for Ms. Ratekin and Mr. Hussey, of annual base salary and target bonus for the year of termination or resignation.</w:t>
      </w:r>
    </w:p>
    <w:p>
      <w:pPr>
        <w:spacing w:after="0" w:line="5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Continuation of medical, dental and vision benefits for two years for Mr. Roth and continuation of medical benefits for one year for Ms. Ratekin and Mr. Hussey, following the date of such termination or resignation upon the same terms as exist for each immediately prior to the termination or resignation date. In addition, in the case of a Qualifying Termination that occurs prior to a Change of Control, all will be provided with a lump sum cash payment equal to the difference between (i) the amount of the premium paid for continuation of medical benefits under COBRA from the date of the Qualifying Termination through the date of the Change of Control (the “Pre-CoC Coverage Period”) and (ii) the amount of the premium that all would have paid for continuation of medical coverage during the Pre-CoC Coverage Period.</w:t>
      </w:r>
    </w:p>
    <w:p>
      <w:pPr>
        <w:spacing w:after="0" w:line="39"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the executive’s outstanding equity grants that were awarded at or prior to the time of the Change of Control shall fully vest upon the occurrence of a Qualifying Termination.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executives are subject to a cutback in benefits to eliminate any excise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No severance or benefits are paid if an executive officer is terminated for Cause or resigns other than for Good Reason as defined in the executive’s senior management agreement. Executives are subject to a confidentiality and non-disclosure covenant. For a period of 12 to 24 months following termination of employment for any reason, executives other than Mr. Roth may not (i) directly or indirectly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a period of 12 to 24 months following the termination of his employment for any reason, Mr. Roth may not: (i) provide services that are the same as or similar to those offered by the Company at the time of his termination to any client of the Company; (ii) directly or indirectly solicit, induce or encourage any client of the Company to leave, alter or cease his or her relationship with it; or (iii) directly or indirectly hire any employee of the Company or solicit, induce or encourage any employee of the Company to leave, alter or cease his or her relationship with it. Further, for a period of 12 to 24 months following the termination of his employment for any reason, Mr. Roth may not, directly or indirectly, provide services that are competitive with those of the Company to any person, firm or other business entity.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2013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2013, there were no Compensation Committee interlocks and no insider participation in Compensation Committee decisions that were required to be reported under the rules and regulations of the 1934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addition, Huron has a Code of Business Conduct and Ethics (the “Code of Conduct”), a copy of which is posted on our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Code of Conduct, among other things, has a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APPROVAL OF AN AMENDMENT TO THE HURON CONSULTING GROUP INC. 2012 OMNIBUS INCENTIVE PLAN TO INCREASE THE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 SHARES AUTHORIZED FOR ISSUANCE UNDER THE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board of directors believes that the continued growth and profitability of the Company depend on our ability to attract and retain highly qualified employees. Our 2012 Omnibus Incentive Plan (the “Plan”) was approved by stockholders at our 2012 annual meeting and authorized for issuance up to 1,398,204 shares of our common stock for stock-based incentive compensation to eligible employees, non-employee directors and independent contractors. As of March 4, 2014, we had issued 127,458 shares of common stock under the Plan that are no longer subject to outstanding awards, 691,942 shares of common stock that are subject to unexercised options or unvested restricted stock awards and up to 143,580 shares that may be issued pursuant to outstanding performance share awards, leaving 422,580 shares of common stock available for grant. The weighted average exercise price and remaining contractual life of the 36,617 stock options outstanding was $39.19 and nine years, respectively. The weighted average grant date fair value and remaining contractual life of the 655,325 shares of unvested restricted stock awards was $51.36 and 3.22 years, respectively.</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to increase the number of shares of common stock available as equity compensation to our employees, non-employee directors, and independent contractors and those of our subsidiaries, our board of directors has approved an amendment to the Plan to increase the number of shares available for grant thereunder by 850,000 shares of common stock, subject to stockholder approval.</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 enable the Company to grant performance-based compensation that is exempt from the $1 million limit on tax-deductible compensation contained in Section 162(m) of the Internal Revenue Code of 1986, as amended (the “Code”), the material terms of the performance goals under which compensation may be awarded under the Plan must be periodically resubmitted to, and reapproved by, our stockholders. Stockholder approval of the amendment to the Plan will constitute approval for purposes of Section 162(m) and will allow us to grant cash and equity-based compensation that is exempt from the $1 million limit on tax-deductible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Proposal</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As a professional services organization, our growth and success depend wholly on the talent and efforts of people. The availability of ongoing long-term incentive compensation is a key factor in Huron’s ability to recruit and retain talent. We must offer competitive compensation packages that reward performance and create a compelling reason to remain at Huron and deliver results that benefit all constituents. We believe stock-based compensation motivates employees and helps to focus participants on the performance and financial goals the Company has committed to achieve. Our ability to offer equity as a long-term component of compensation also helps Huron recruit talent that is critical for Huron’s continued growth. We believe that our ability to offer long-term equity incentives encourages a balanced focus between short-term and long-term goals and performance that cannot be as effectively achieved with cash awards alone.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2013, we granted 644,191 shares under the Plan as outlined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139700</wp:posOffset>
            </wp:positionV>
            <wp:extent cx="2375535" cy="1226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75535" cy="12261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5360" w:type="dxa"/>
        <w:tblCellMar>
          <w:top w:w="0" w:type="dxa"/>
          <w:left w:w="0" w:type="dxa"/>
          <w:bottom w:w="0" w:type="dxa"/>
          <w:right w:w="0" w:type="dxa"/>
        </w:tblCellMar>
      </w:tblPr>
      <w:tr>
        <w:trPr>
          <w:trHeight w:val="419"/>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Managing Directors and other employees</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525,757</w:t>
            </w:r>
          </w:p>
        </w:tc>
      </w:tr>
      <w:tr>
        <w:trPr>
          <w:trHeight w:val="404"/>
        </w:trPr>
        <w:tc>
          <w:tcPr>
            <w:tcW w:w="4200" w:type="dxa"/>
            <w:vAlign w:val="bottom"/>
          </w:tcPr>
          <w:p>
            <w:pPr>
              <w:ind w:left="120"/>
              <w:spacing w:after="0"/>
              <w:rPr>
                <w:sz w:val="20"/>
                <w:szCs w:val="20"/>
                <w:color w:val="auto"/>
              </w:rPr>
            </w:pPr>
            <w:r>
              <w:rPr>
                <w:rFonts w:ascii="Arial" w:cs="Arial" w:eastAsia="Arial" w:hAnsi="Arial"/>
                <w:sz w:val="18"/>
                <w:szCs w:val="18"/>
                <w:color w:val="auto"/>
              </w:rPr>
              <w:t>Named Executive Officers</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84,203</w:t>
            </w:r>
          </w:p>
        </w:tc>
      </w:tr>
      <w:tr>
        <w:trPr>
          <w:trHeight w:val="420"/>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Outside Directors</w:t>
            </w:r>
          </w:p>
        </w:tc>
        <w:tc>
          <w:tcPr>
            <w:tcW w:w="1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24,918</w:t>
            </w:r>
          </w:p>
        </w:tc>
      </w:tr>
      <w:tr>
        <w:trPr>
          <w:trHeight w:val="417"/>
        </w:trPr>
        <w:tc>
          <w:tcPr>
            <w:tcW w:w="4200" w:type="dxa"/>
            <w:vAlign w:val="bottom"/>
          </w:tcPr>
          <w:p>
            <w:pPr>
              <w:ind w:left="120"/>
              <w:spacing w:after="0"/>
              <w:rPr>
                <w:sz w:val="20"/>
                <w:szCs w:val="20"/>
                <w:color w:val="auto"/>
              </w:rPr>
            </w:pPr>
            <w:r>
              <w:rPr>
                <w:rFonts w:ascii="Arial" w:cs="Arial" w:eastAsia="Arial" w:hAnsi="Arial"/>
                <w:sz w:val="18"/>
                <w:szCs w:val="18"/>
                <w:color w:val="auto"/>
              </w:rPr>
              <w:t>Employee Stock Purchase</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9,313</w:t>
            </w:r>
          </w:p>
        </w:tc>
      </w:tr>
      <w:tr>
        <w:trPr>
          <w:trHeight w:val="365"/>
        </w:trPr>
        <w:tc>
          <w:tcPr>
            <w:tcW w:w="4200" w:type="dxa"/>
            <w:vAlign w:val="bottom"/>
          </w:tcPr>
          <w:p>
            <w:pPr>
              <w:ind w:left="260"/>
              <w:spacing w:after="0"/>
              <w:rPr>
                <w:sz w:val="20"/>
                <w:szCs w:val="20"/>
                <w:color w:val="auto"/>
              </w:rPr>
            </w:pPr>
            <w:r>
              <w:rPr>
                <w:rFonts w:ascii="Arial" w:cs="Arial" w:eastAsia="Arial" w:hAnsi="Arial"/>
                <w:sz w:val="18"/>
                <w:szCs w:val="18"/>
                <w:color w:val="auto"/>
              </w:rPr>
              <w:t>43</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majority of Huron’s equity use is for grants to employees below the executive officer level. Our managing directors receive equity grants as part of their annual incentive. Each managing director has an incentive target for the year that is split between cash and stock. The amount of restricted stock that is granted as part of the annual incentive typically includes a multi-year vesting period to encourage retention.</w:t>
      </w:r>
    </w:p>
    <w:p>
      <w:pPr>
        <w:spacing w:after="0" w:line="107"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For the executive officers, equity compensation is structured as 70% performance shares and 30% service-based equity (which in 2013 was delivered in stock options, and starting in 2014 will be delivered in restricted shares), to ensure there is the appropriate focus on driving both financial performance and shareholder returns. In order to ensure proper focus on the longer term strategic goals we have added a three-year performance component beginning in 2014.</w:t>
      </w:r>
    </w:p>
    <w:p>
      <w:pPr>
        <w:spacing w:after="0" w:line="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Recognizing the importance of retaining Huron’s valued employees at all levels, we also have a program for employees below the managing director level who, as part of their normal compensation plan, do not receive equity. Huron offers a modified employee stock purchase program. We allow employees below the managing director level to purchase our common stock in the open market, which the Company will partially match with additional shares of restricted stock, subject to a minimum holding requirement, as well as a time-based vesting schedule. We have chosen to offer a restricted stock match instead of a discount as in a traditional employee stock purchase program in order to encourage increased ownership. We believe that ownership among all of Huron’s employees builds the teamwork that is a fundamental value of the Company and will enhance retention of Huron’s employees.</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and leadership of Huron understand the importance of properly managing equity under a shareholder approved plan. We note that, under the 2012 Plan, a burn rate commitment was approved and the Company has successfully managed equity grants within the burn rate commitment. In 2012, a burn rate commitment of 4.61% was approved. At that time, Huron committed that each full value share would be counted as 1.5 shares. The actual burn rates (without applying a burn rate multiple) in 2012 and 2013 were 2.69% and 2.05%, respectively, and the projected burn rate for 2014 is 2.05%. Using the 1.5 multiple, the burn rates are 3.94%, 3.00% and 3.08%, respectively. Also, the board has encouraged other corporate governance best practices. The board has implemented share ownership guidelines and restrictions against hedging and pledging Huron securities. Finally, the Plan does not allow repricing of options without additional shareholder approval.</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this proposal is not approved, we will be unable to grant additional equity-based awards under the Plan in excess of the number of shares currently remaining available for future issuance under the Plan, which we believe would adversely affect our ability to offer effective incentives to those employees that are essential to our continued growth.</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For the reasons discussed above, it is our belief that it is in the best interests of the Company, its stockholders and Huron’s employees to approve the amendment to the Plan. Accordingly, the board of directors has adopted the amendment to the Plan, subject to stockholder approval.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 Commitment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commit to cap our average annual burn rate at 4.37% in fiscal years 2015, 2016 and 2017. For this purpose, “burn rate” is the number of shares of our common stock subject to stock awards granted in a fiscal year divided by the weighted average number of shares of our common stock outstanding (basic) during our fiscal year. For purposes of calculating the number of shares subject to stock awards granted in a fiscal year, (i) awards of stock options and stock appreciation rights (“SARs”) will count as one share and (ii) full value awards will count as 2.5 shares. Awards that are assumed or substituted in acquisitions will be excluded from our burn rate calculations. Our burn rate commitments have been established by referencing the published guidelines developed by shareholder advisory services. In 2012, in following those guidelines, we were required to use a multiple of 1.5 for full value awards. In 2014, the applicable multiple is 2.5 based on those guidelines due to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reduced stock price volatility calculation as of December 31, 2013. Hence, solely due to the change in multiple, the run rate we will report in 2015 to 2017 will be higher than the run rate we reported in 2012 to 2014, even though it is projected that we will grant fewer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approval of the Plan amendment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w:t>
      </w:r>
    </w:p>
    <w:p>
      <w:pPr>
        <w:spacing w:after="0" w:line="137"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AMENDMENT TO THE COMPANY’S 2012 OMNIBUS INCENTIVE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summary of the Plan set forth below is qualified in its entirety by the full text of the Plan (as it is proposed to be amended pursuant to this proposal). A copy of the Plan has been filed with the electronic version of this Proxy Statement.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several types of awards that may be granted under the Plan:</w:t>
      </w:r>
    </w:p>
    <w:p>
      <w:pPr>
        <w:spacing w:after="0" w:line="90" w:lineRule="exact"/>
        <w:rPr>
          <w:sz w:val="20"/>
          <w:szCs w:val="20"/>
          <w:color w:val="auto"/>
        </w:rPr>
      </w:pPr>
    </w:p>
    <w:p>
      <w:pPr>
        <w:ind w:left="900" w:right="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 options (including both incentive stock options (“ISOs”), within the meaning of Section 422 of the Code and nonqualified options (“NQSOs”), which are options that do not qualify as ISOs);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SARs;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full value awards, which means a grant of one or more shares of common stock or a right to receive one or more shares of common stock, subject to one or more of the conditions, restrictions and contingencies determined at the time of the award;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cash incentive awards.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this proposal is approved by stockholders, there would be approximately 1,265,000 shares available for issuance under the Plan as of March 18, 2014.</w:t>
      </w:r>
    </w:p>
    <w:p>
      <w:pPr>
        <w:spacing w:after="0" w:line="19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Shares subject to an award under the Plan that remain unissued upon the cancellation, surrender, exchange, forfeiture or termination of the award without having been exercised or settled will again become available for award under the Plan, as will any shares subject to an award under the Plan that are retained by us as payment of the exercise price or tax withholding obligations with respect to the award. In addition, a number of shares equal to the number of previously owned shares of common stock surrendered as payment of the exercise price of an option or to satisfy tax withholding obligations with respect to an award shall again be available for a grant under the Plan. Finally, to the extent an award under the Plan is paid or settled in cash, the number of shares of common stock with respect to which such payment or settlement is made shall again be available for grants of awards pursuant to the Plan and, in the event of an exercise of a SAR granted in relation to an option, the excess of the number of shares subject to the SAR over the number of shares delivered upon the exercise of the SAR shall again be available for grants of awards pursuant to the Plan.</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Plan will be administered by the Compensation Committee. Our executive officers and Huron’s other officers, employees numbering approximately 2,500 in total, and outside directors as of March 1, 2014, will be eligible to receive awards under the Plan at the discretion of the Compensation Committee. The Compensation Committee has the authority to administer the Plan and to exercise all of the powers and authorities specifically granted to it under the Plan as necessary or advisable in the administration of the Plan, including the authority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individuals to whom, and the time or times at which, awards will be granted;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type and number of awards to be granted, the number of shares of common stock or cash or other property to which an award may relate and the terms, conditions, restrictions and performance criteria relating to any award;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conclusively interpret the Plan and all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determine the terms and provisions of any award agreements;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all other determinations deemed necessary or advisable for the operation and administration of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the Plan, the Compensation Committee may:</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accelerate the date on which any ISO, NQSO or SAR becomes exercisable;</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waive or amend the operation of the Plan provisions respecting exercise of an option or a SAR after termination of employment to a period no longer than 10 years from the date of grant of the award;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accelerate the vesting date, or waive any condition imposed by the Plan, with respect to any full value award;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otherwise adjust any of the terms applicable to any award in a manner consistent with the terms of the Plan.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board of directors may suspend or terminate the Plan or revise or amend it in any respect, subject to stockholder approval where required to satisfy legal or applicable stock exchange requirements. No amendment may be made without the approval of our stockholders if such amendment would:</w:t>
      </w:r>
    </w:p>
    <w:p>
      <w:pPr>
        <w:spacing w:after="0" w:line="4"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materially increase the benefits accruing to a participant under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 the aggregate number of shares of common stock that may be issued under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modify the requirements as to eligibility to participate in the Plan; or</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 in the repricing or buyback of options where the exercise price of the option is greater than the then current fair market value of a share of common stock (that is, if it is “underwater”).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Plan will terminate no later than May 1, 2022. Awards granted before the termination of the Plan may extend beyond that date in accordance with their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16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Notwithstanding the provisions of the Plan, the Compensation Committee may grant awards to persons who are foreign nationals on such terms and conditions different from those specified in the Plan as may be necessary or desirable to foster and promote achievement of the purposes of the Plan, subject in any specific case to applicable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for adjustments pursuant to the Plan or reductions of the exercise price approved by stockholders, the exercise price of any outstanding option or SAR may not be decreased after the date of grant, nor may an outstanding option or SAR granted under the Plan be surrendered to the Company as consideration for the grant of a replacement option or SAR with a lower exercise price. Except as approved by the Company’s stockholders, in no event may any option or SAR be surrendered to the Company in consideration for a cash payment if, at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time of the surrender, the option or SAR is underwater. Finally, no repricing of an option may be made without the approval of the Company’s stockholders if approval is required under the rules of any stock exchange on which the Company’s common stock is listed.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Plan is terminated within 12 months of a change of control without provision for the continuation of outstanding awards. In addition, if a participant is terminated for cause, all of that person’s outstanding unexercised awards will expire on the date prior to the termination.</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under the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Criteria</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Plan is intended to permit the grant of performance-based compensation within the meaning of Section 162(m) of the Code, which generally limits the deduction that we may take for compensation of our Chief Executive Officer, and the next three most highly compensated named executive officers (other than the Chief Financial Officer). Under Section 162(m), certain compensation, including compensation based on the attainment of performance goals, will not be subject to this limitation if certain requirements are met. The exercisability or payment of awards that are intended to qualify as performance-based compensation may be based upon one or more of the following business criteria as established by the Compensation Committee:</w:t>
      </w:r>
    </w:p>
    <w:p>
      <w:pPr>
        <w:spacing w:after="0" w:line="35"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or book value per share of Company common stock (“EPS”);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adjusted EPS;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earnings before all or any interest, taxes, depreciation and/or amortization (“EBIT,” “EBITA” or “EBITDA”) measured as a dollar amount or a percentage of revenue;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return on assets, capital or investment;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capitalization;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 reduction goals;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levels of expense, costs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department, division or business unit level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 price appreciation;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stockholder return (TSR);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days sales outstanding (DSO);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financial coverage ratios;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non-GAAP financial measures;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35"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threshold level of performance below which no payment will be made (or no vesting will occur);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levels of performance at which specified payments will be made (or specified vesting will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maximum level of performance above which no additional payment will be made (or at which full vesting will occur).</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59"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unusual or non-recurring events affecting the Company or any of its affiliates or the financial statements of the Company or any of its affiliates;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gains, losses or expenses determined to be extraordinary or unusual in nature or infrequent in occurrence or related to the disposal of a segment of a business or related to a change in accounting principles;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litigation, claim judgments, settlements or restatement related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accruals for reorganization and restructuring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acquisitions or divestitures (including expenses related thereto);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Plan. This discussion is intended for the information of our stockholders considering how to vote at the Annual Meeting and not as tax guidance to participants in the Plan, as the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NQSOs are treated differently for federal income tax purposes. ISOs are intended to satisfy the requirement of Section 422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Code. NQSOs need not satisfy such requirements.</w:t>
      </w:r>
    </w:p>
    <w:p>
      <w:pPr>
        <w:spacing w:after="0" w:line="132"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 participant disposes of shares acquired pursuant to exercise of an ISO before satisfying the one-year and two-year holding periods described above, then: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in the year the participant disposes of the shares in an amount equal to the ordinary income recognized by the participant.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A participant generally will not realize any taxable income upon the grant of a SAR. Upon the exercise of such right, the participant will recognize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income in an amount equal to the amount of cash and/or the fair market value, at the date of such exercise, of the shares received by the participant as a result of such exercise. We will generally be entitled to a deduction in the same amount as the ordinary income realized by the participant.</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Full Value Awards. </w:t>
      </w:r>
      <w:r>
        <w:rPr>
          <w:rFonts w:ascii="Arial" w:cs="Arial" w:eastAsia="Arial" w:hAnsi="Arial"/>
          <w:sz w:val="18"/>
          <w:szCs w:val="18"/>
          <w:color w:val="auto"/>
        </w:rPr>
        <w:t>If a restriction on transferability and substantial risk of forfeiture applies to shares of common stock or other property actually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in an amount equal to the ordinary income recognized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participant, except as discussed below. A participant may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discussed above, compensation that qualifies as “performance-based compensation” is excluded from the $1 million deductibility cap of Section 162(m) of the Code, and therefore remains fully deductible by the company paying it. Generally, options and SARs granted with an exercise price at least equal to 100% of fair market value of the underlying stock at the date of grant, and performance awards to employees that the Compensation Committee designates as “performance-based compensation” and that otherwise satisfy the requirements of Section 162(m) will be considered performance-based compensation. A number of requirements must be met in order for particular compensation to so qualify, however, so there can be no assurance that such compensation under the Plan will be fully deductible under all circumstances. In addition, other awards under the Plan, such as non-performance-based restricted stock and restricted stock units, generally will not so qualify. Thus, compensation paid to certain named executive officers in connection with such awards may, to the extent it and other compensation that is subject to the deductibility cap under Section 162(m) exceeds $1 million in a given year, not be deductible by us as a result of Section 162(m) of the Code.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77"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As required by the Dodd-Frank Wall Street Reform and Consumer Protection Act of 2010 (the “Dodd-Frank Act”) and the SEC, Huron again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may, to the extent determined appropriate, take into account the outcome of the vote during future deliberations on executive compensation arrangements. At the 2013 Annual Meeting of Stockholders, in excess of 95% of the votes cast on this proposal voted to support Huron’s named executive officer compensation.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10"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COMPENSATION OF OUR NAMED EXECUTIVE OFFICERS AS DISCLOSED IN THE COMPENSATION DISCUSSION AND ANALYSIS SECTION AND THE ACCOMPANYING COMPENSATION TABLES AND NARRATIVE DISCUSSION IN THIS PROXY STATEMENT.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4</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2014.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2014, unless specified otherwise.</w:t>
      </w:r>
    </w:p>
    <w:p>
      <w:pPr>
        <w:spacing w:after="0" w:line="112"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LLP AS THE COMPANY’S INDEPENDENT REGISTERED PUBLIC ACCOUNTING FIRM FOR THE FISCAL YEAR ENDING DECEMBER 31, 2014.</w:t>
      </w:r>
    </w:p>
    <w:p>
      <w:pPr>
        <w:spacing w:after="0" w:line="13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Representatives of PwC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2013 and December 31, 2012, and fees for other services rendered by PwC during those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Audit-Related Fees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—internal control reviews; attest services that are not required by statute or regulations; and consultation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independence of the independent registered public accounting firm and has determined such services for fiscal 2013 and 2012 were compatible.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Registered Public Accounting Firm</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2013:</w:t>
      </w:r>
    </w:p>
    <w:p>
      <w:pPr>
        <w:spacing w:after="0" w:line="9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and discussed with management and PwC the audited financial statements and the quarterly financial statements for the year ended December 31, 2013. Management has the primary responsibility for such financial statements.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Discussed with PwC the matters requiring discussion under current auditing standards.</w:t>
      </w:r>
    </w:p>
    <w:p>
      <w:pPr>
        <w:spacing w:after="0" w:line="9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2013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McCartney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 Moody</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24, 2014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2, 2015 and no later than February 1, 2015. Notice of stockholder proposals must contain the information required by the Company’s bylaws. The inclusion of any such proposal in such proxy material shall be subject to the requirements of the proxy rules adopted under the 1934 Act.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646555"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Diane E. Ratekin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and Corporate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2014</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OMNIBUS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and Restated Effective as of May 2, 2014)</w:t>
      </w:r>
    </w:p>
    <w:p>
      <w:pPr>
        <w:spacing w:after="0" w:line="234" w:lineRule="exact"/>
        <w:rPr>
          <w:sz w:val="20"/>
          <w:szCs w:val="20"/>
          <w:color w:val="auto"/>
        </w:rPr>
      </w:pPr>
    </w:p>
    <w:p>
      <w:pPr>
        <w:ind w:left="460" w:right="80" w:hanging="452"/>
        <w:spacing w:after="0" w:line="255" w:lineRule="auto"/>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History and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Huron Consulting Group Inc., a Delaware corporation (“Huron”), previously established the Huron Consulting Group Inc. 2012</w:t>
      </w:r>
      <w:r>
        <w:rPr>
          <w:rFonts w:ascii="Arial" w:cs="Arial" w:eastAsia="Arial" w:hAnsi="Arial"/>
          <w:sz w:val="18"/>
          <w:szCs w:val="18"/>
          <w:b w:val="1"/>
          <w:bCs w:val="1"/>
          <w:color w:val="auto"/>
        </w:rPr>
        <w:t xml:space="preserve"> </w:t>
      </w:r>
      <w:r>
        <w:rPr>
          <w:rFonts w:ascii="Arial" w:cs="Arial" w:eastAsia="Arial" w:hAnsi="Arial"/>
          <w:sz w:val="18"/>
          <w:szCs w:val="18"/>
          <w:color w:val="auto"/>
        </w:rPr>
        <w:t>Omnibus Incentive Plan (the “Plan”) to attract and retain employees, non-employee directors and independent contractors providing services to Huron and/or the Affiliates, to motivate Participants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 The Plan has been previously amended and the following provisions constitute an amendment, restatement and continuation of the Plan effective as of May 2, 2014.</w:t>
      </w:r>
    </w:p>
    <w:p>
      <w:pPr>
        <w:spacing w:after="0" w:line="94" w:lineRule="exact"/>
        <w:rPr>
          <w:rFonts w:ascii="Arial" w:cs="Arial" w:eastAsia="Arial" w:hAnsi="Arial"/>
          <w:sz w:val="18"/>
          <w:szCs w:val="18"/>
          <w:b w:val="1"/>
          <w:bCs w:val="1"/>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apply to the terms indicated below:</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“Administrative Actions” </w:t>
      </w:r>
      <w:r>
        <w:rPr>
          <w:rFonts w:ascii="Arial" w:cs="Arial" w:eastAsia="Arial" w:hAnsi="Arial"/>
          <w:sz w:val="18"/>
          <w:szCs w:val="18"/>
          <w:color w:val="auto"/>
        </w:rPr>
        <w:t>shall have the meaning set forth in Section 5(d).</w:t>
      </w:r>
    </w:p>
    <w:p>
      <w:pPr>
        <w:spacing w:after="0" w:line="130" w:lineRule="exact"/>
        <w:rPr>
          <w:rFonts w:ascii="Arial" w:cs="Arial" w:eastAsia="Arial" w:hAnsi="Arial"/>
          <w:sz w:val="18"/>
          <w:szCs w:val="18"/>
          <w:color w:val="auto"/>
        </w:rPr>
      </w:pPr>
    </w:p>
    <w:p>
      <w:pPr>
        <w:jc w:val="both"/>
        <w:ind w:left="900" w:right="120" w:hanging="446"/>
        <w:spacing w:after="0" w:line="289" w:lineRule="auto"/>
        <w:tabs>
          <w:tab w:leader="none" w:pos="900"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any corporation, partnership, joint venture or other entity during any period in which (i) Huron, directly or indirectly, owns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50% of the combined voting power of all classes of stock of such entity or at least 50% of the ownership interests in such entity or (ii) such entity, directly or indirectly, owns at least 50% of the combined voting power of all classes of stock of Huron.</w:t>
      </w:r>
    </w:p>
    <w:p>
      <w:pPr>
        <w:spacing w:after="0" w:line="63" w:lineRule="exact"/>
        <w:rPr>
          <w:rFonts w:ascii="Arial" w:cs="Arial" w:eastAsia="Arial" w:hAnsi="Arial"/>
          <w:sz w:val="17"/>
          <w:szCs w:val="17"/>
          <w:color w:val="auto"/>
        </w:rPr>
      </w:pPr>
    </w:p>
    <w:p>
      <w:pPr>
        <w:ind w:left="900" w:hanging="446"/>
        <w:spacing w:after="0" w:line="282"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an agreement between Huron and a Participant evidencing an Award or a notice of an Award, in a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67" w:lineRule="exact"/>
        <w:rPr>
          <w:rFonts w:ascii="Arial" w:cs="Arial" w:eastAsia="Arial" w:hAnsi="Arial"/>
          <w:sz w:val="18"/>
          <w:szCs w:val="18"/>
          <w:color w:val="auto"/>
        </w:rPr>
      </w:pPr>
    </w:p>
    <w:p>
      <w:pPr>
        <w:ind w:left="900" w:right="20" w:hanging="446"/>
        <w:spacing w:after="0" w:line="282"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“Alternative Agreement” </w:t>
      </w:r>
      <w:r>
        <w:rPr>
          <w:rFonts w:ascii="Arial" w:cs="Arial" w:eastAsia="Arial" w:hAnsi="Arial"/>
          <w:sz w:val="18"/>
          <w:szCs w:val="18"/>
          <w:color w:val="auto"/>
        </w:rPr>
        <w:t>shall mean, with respect to any Participant, an employment agreement, senior management agreement or other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describing the Participant’s terms of employment with Huron or an Affiliate.</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shall mean any award described in Section 7 or 8 of the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Huron.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“Business Criteria” </w:t>
      </w:r>
      <w:r>
        <w:rPr>
          <w:rFonts w:ascii="Arial" w:cs="Arial" w:eastAsia="Arial" w:hAnsi="Arial"/>
          <w:sz w:val="17"/>
          <w:szCs w:val="17"/>
          <w:color w:val="auto"/>
        </w:rPr>
        <w:t>shall mean (i) return on total stockholder equity; (ii) earnings or book value per share of Common Stock (“EPS”);</w:t>
      </w:r>
    </w:p>
    <w:p>
      <w:pPr>
        <w:spacing w:after="0" w:line="38" w:lineRule="exact"/>
        <w:rPr>
          <w:rFonts w:ascii="Arial" w:cs="Arial" w:eastAsia="Arial" w:hAnsi="Arial"/>
          <w:sz w:val="17"/>
          <w:szCs w:val="17"/>
          <w:color w:val="auto"/>
        </w:rPr>
      </w:pPr>
    </w:p>
    <w:p>
      <w:pPr>
        <w:jc w:val="both"/>
        <w:ind w:left="900" w:right="80" w:hanging="1"/>
        <w:spacing w:after="0" w:line="281" w:lineRule="auto"/>
        <w:tabs>
          <w:tab w:leader="none" w:pos="1215" w:val="left"/>
        </w:tabs>
        <w:numPr>
          <w:ilvl w:val="2"/>
          <w:numId w:val="62"/>
        </w:numPr>
        <w:rPr>
          <w:rFonts w:ascii="Arial" w:cs="Arial" w:eastAsia="Arial" w:hAnsi="Arial"/>
          <w:sz w:val="16"/>
          <w:szCs w:val="16"/>
          <w:color w:val="auto"/>
        </w:rPr>
      </w:pPr>
      <w:r>
        <w:rPr>
          <w:rFonts w:ascii="Arial" w:cs="Arial" w:eastAsia="Arial" w:hAnsi="Arial"/>
          <w:sz w:val="16"/>
          <w:szCs w:val="16"/>
          <w:color w:val="auto"/>
        </w:rPr>
        <w:t>adjusted EPS; (iv) net income (before or after taxes); (v) earnings before all or any interest, taxes, depreciation and/or amortization (“EBIT”, “EBITA” or “EBITDA”) measured as a dollar amount or a percentage of revenue; (vi) return on assets, capital or investment; (vii) market share;</w:t>
      </w:r>
    </w:p>
    <w:p>
      <w:pPr>
        <w:spacing w:after="0" w:line="1" w:lineRule="exact"/>
        <w:rPr>
          <w:rFonts w:ascii="Arial" w:cs="Arial" w:eastAsia="Arial" w:hAnsi="Arial"/>
          <w:sz w:val="16"/>
          <w:szCs w:val="16"/>
          <w:color w:val="auto"/>
        </w:rPr>
      </w:pPr>
    </w:p>
    <w:p>
      <w:pPr>
        <w:ind w:left="900" w:right="420" w:hanging="1"/>
        <w:spacing w:after="0" w:line="265" w:lineRule="auto"/>
        <w:tabs>
          <w:tab w:leader="none" w:pos="1305" w:val="left"/>
        </w:tabs>
        <w:numPr>
          <w:ilvl w:val="2"/>
          <w:numId w:val="63"/>
        </w:numPr>
        <w:rPr>
          <w:rFonts w:ascii="Arial" w:cs="Arial" w:eastAsia="Arial" w:hAnsi="Arial"/>
          <w:sz w:val="17"/>
          <w:szCs w:val="17"/>
          <w:color w:val="auto"/>
        </w:rPr>
      </w:pPr>
      <w:r>
        <w:rPr>
          <w:rFonts w:ascii="Arial" w:cs="Arial" w:eastAsia="Arial" w:hAnsi="Arial"/>
          <w:sz w:val="17"/>
          <w:szCs w:val="17"/>
          <w:color w:val="auto"/>
        </w:rPr>
        <w:t>market capitalization (ix) cost reduction goals; (x) levels of expense, costs or liabilities; (xi) department, division or business unit level performance; (xii) operating income; (xiii) sales or revenues; (xiv) stock price appreciation; (xv) total stockholder return (TSR);</w:t>
      </w:r>
    </w:p>
    <w:p>
      <w:pPr>
        <w:ind w:left="1300" w:hanging="401"/>
        <w:spacing w:after="0"/>
        <w:tabs>
          <w:tab w:leader="none" w:pos="130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 (xvii) adjusted EBITDA; (xviii) days sales outstanding (DSO);</w:t>
      </w:r>
    </w:p>
    <w:p>
      <w:pPr>
        <w:spacing w:after="0" w:line="9" w:lineRule="exact"/>
        <w:rPr>
          <w:rFonts w:ascii="Arial" w:cs="Arial" w:eastAsia="Arial" w:hAnsi="Arial"/>
          <w:sz w:val="18"/>
          <w:szCs w:val="18"/>
          <w:color w:val="auto"/>
        </w:rPr>
      </w:pPr>
    </w:p>
    <w:p>
      <w:pPr>
        <w:ind w:left="900" w:right="120" w:hanging="1"/>
        <w:spacing w:after="0" w:line="277" w:lineRule="auto"/>
        <w:tabs>
          <w:tab w:leader="none" w:pos="1295" w:val="left"/>
        </w:tabs>
        <w:numPr>
          <w:ilvl w:val="2"/>
          <w:numId w:val="65"/>
        </w:numPr>
        <w:rPr>
          <w:rFonts w:ascii="Arial" w:cs="Arial" w:eastAsia="Arial" w:hAnsi="Arial"/>
          <w:sz w:val="17"/>
          <w:szCs w:val="17"/>
          <w:color w:val="auto"/>
        </w:rPr>
      </w:pPr>
      <w:r>
        <w:rPr>
          <w:rFonts w:ascii="Arial" w:cs="Arial" w:eastAsia="Arial" w:hAnsi="Arial"/>
          <w:sz w:val="17"/>
          <w:szCs w:val="17"/>
          <w:color w:val="auto"/>
        </w:rPr>
        <w:t>financial coverage ratios; (xx) other non-GAAP financial measures, or (xxi) any combination of the foregoing. Where applicable, Business Criteria may be applied to results including or excluding discontinued operations, expressed in terms of attaining a specified level of the particular criteria or the attainment of a percentage increase or decrease in the particular criteria, and</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85" w:lineRule="auto"/>
        <w:rPr>
          <w:sz w:val="20"/>
          <w:szCs w:val="20"/>
          <w:color w:val="auto"/>
        </w:rPr>
      </w:pPr>
      <w:r>
        <w:rPr>
          <w:rFonts w:ascii="Arial" w:cs="Arial" w:eastAsia="Arial" w:hAnsi="Arial"/>
          <w:sz w:val="16"/>
          <w:szCs w:val="16"/>
          <w:color w:val="auto"/>
        </w:rPr>
        <w:t>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unusual or non-recurring events affecting Huron or any Affiliate or the financial statements of Huron or any Affiliate, (2) changes in applicable laws or regulations (including tax laws, accounting principles or other laws or provisions affecting reported results), (3) gains, losses or expenses determined to be extraordinary or unusual in nature or infrequent in occurrence or related to the disposal of a segment of a business or related to a change in accounting principles, (4) asset write-downs, (5) litigation, claim judgments, settlements or restatement related expenses, (6) accruals for reorganization and restructuring programs, (7) acquisitions or divestitures (including expenses related thereto), and (8) an event either not directly related to the operations of the Company or not within the reasonable control of the Company’s management. To the extent that such inclusions or exclusions affect Awards to Covered Employees which are intended to qualify as “performance-based compensation” within the meaning of Section 162(m) of the Code and regulations thereunder, such adjustments shall be prescribed in a form that meets the requirements of Section 162(m) of the Code.</w:t>
      </w:r>
    </w:p>
    <w:p>
      <w:pPr>
        <w:spacing w:after="0" w:line="79" w:lineRule="exact"/>
        <w:rPr>
          <w:sz w:val="20"/>
          <w:szCs w:val="20"/>
          <w:color w:val="auto"/>
        </w:rPr>
      </w:pPr>
    </w:p>
    <w:p>
      <w:pPr>
        <w:ind w:left="900" w:right="40" w:hanging="446"/>
        <w:spacing w:after="0" w:line="281"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“Cash Incentive Award” </w:t>
      </w:r>
      <w:r>
        <w:rPr>
          <w:rFonts w:ascii="Arial" w:cs="Arial" w:eastAsia="Arial" w:hAnsi="Arial"/>
          <w:sz w:val="17"/>
          <w:szCs w:val="17"/>
          <w:color w:val="auto"/>
        </w:rPr>
        <w:t>shall mean the grant of a right to receive a payment of cash (or, in the discretion of the Committee, shares of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having value equivalent to the cash otherwise payable) that is contingent on achievement of performance objectives or other conditions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70" w:lineRule="exact"/>
        <w:rPr>
          <w:rFonts w:ascii="Arial" w:cs="Arial" w:eastAsia="Arial" w:hAnsi="Arial"/>
          <w:sz w:val="17"/>
          <w:szCs w:val="17"/>
          <w:color w:val="auto"/>
        </w:rPr>
      </w:pPr>
    </w:p>
    <w:p>
      <w:pPr>
        <w:ind w:left="900" w:right="40" w:hanging="446"/>
        <w:spacing w:after="0" w:line="271"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shall mean, unless otherwise defined in a Participant’s Agreement or an Alternative Agreement, any of the following actions or failures</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Participant, as determined in the reasonable judgment of Huron: (i) engaging in conduct that violates written policies of Huron or any Affiliate; (ii) 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 Participant’s business unit or area, the Participant’s supervisor, or the person to whom the Participant reports, (iv) embezzlement, misappropriation of corporate funds, any act of fraud, dishonesty or self-dealing, or the commission of a felony or any significant violation of any statutory or common law duty of loyalty to Huron or any Affiliate; (v) an act or omission that could adversely and materially affect the business or reputation of Huron or any Affiliate or involves moral turpitude; or (vi) a breach of a material provision of this Plan, the Agreement evidencing an Award or an Alternate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mean the first to occur of the following events:</w:t>
      </w:r>
    </w:p>
    <w:p>
      <w:pPr>
        <w:spacing w:after="0" w:line="134" w:lineRule="exact"/>
        <w:rPr>
          <w:rFonts w:ascii="Arial" w:cs="Arial" w:eastAsia="Arial" w:hAnsi="Arial"/>
          <w:sz w:val="18"/>
          <w:szCs w:val="18"/>
          <w:color w:val="auto"/>
        </w:rPr>
      </w:pPr>
    </w:p>
    <w:p>
      <w:pPr>
        <w:ind w:left="1480" w:right="300" w:hanging="567"/>
        <w:spacing w:after="0" w:line="286" w:lineRule="auto"/>
        <w:tabs>
          <w:tab w:leader="none" w:pos="148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spacing w:after="0" w:line="70" w:lineRule="exact"/>
        <w:rPr>
          <w:rFonts w:ascii="Arial" w:cs="Arial" w:eastAsia="Arial" w:hAnsi="Arial"/>
          <w:sz w:val="17"/>
          <w:szCs w:val="17"/>
          <w:color w:val="auto"/>
        </w:rPr>
      </w:pPr>
    </w:p>
    <w:p>
      <w:pPr>
        <w:ind w:left="1480" w:right="60" w:hanging="567"/>
        <w:spacing w:after="0" w:line="253"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Huron or any direct or indirect subsidiary of Huron with any Person, other than (1)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(2) a merger or consolidation effected to implement a recapitalization of Huron (or similar transaction) in which no Person other than existing security holders is or becomes the Beneficial Owner, directly or indirectly, of securities of Huron (not including in the amount Beneficially Owned by such Person any Common Stock or voting securities acquired directly from Huron or any Affiliate) representing 50% or more of the combined voting power of Huron’s then outstanding securities; or (3) a merger or consolidation of a subsidiary of Huron that does not represent a sale of all or substantially all of the assets of Huron;</w:t>
      </w:r>
    </w:p>
    <w:p>
      <w:pPr>
        <w:spacing w:after="0" w:line="100" w:lineRule="exact"/>
        <w:rPr>
          <w:rFonts w:ascii="Arial" w:cs="Arial" w:eastAsia="Arial" w:hAnsi="Arial"/>
          <w:sz w:val="18"/>
          <w:szCs w:val="18"/>
          <w:color w:val="auto"/>
        </w:rPr>
      </w:pPr>
    </w:p>
    <w:p>
      <w:pPr>
        <w:ind w:left="1480" w:right="14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75" w:lineRule="exact"/>
        <w:rPr>
          <w:rFonts w:ascii="Arial" w:cs="Arial" w:eastAsia="Arial" w:hAnsi="Arial"/>
          <w:sz w:val="18"/>
          <w:szCs w:val="18"/>
          <w:color w:val="auto"/>
        </w:rPr>
      </w:pPr>
    </w:p>
    <w:p>
      <w:pPr>
        <w:jc w:val="both"/>
        <w:ind w:left="1480" w:right="260" w:hanging="567"/>
        <w:spacing w:after="0" w:line="264"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there is consummated an agreement for the sale or disposition of all or substantially all of the assets of Huron to a Person, other than a sale or disposition by Huron of all or substantially all of the assets of Huron to an entity, at least 50% of the combined voting power of the voting securities of which are owned by stockholders of Huron.</w:t>
      </w:r>
    </w:p>
    <w:p>
      <w:pPr>
        <w:spacing w:after="0" w:line="73"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79"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For purposes of this Change of Control definition, (I) “Beneficial Owner” shall have the meaning set forth in Rule 13d-3 under the Exchange Act; (II) “Person”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 (y) an underwriter temporarily holding securities pursuant to an offering of such securities; or (z) a corporation owned, directly or indirectly, by the stockholders of Huron in substantially the same proportions as their ownership of stock of Huron; and (III) “Affiliate” shall have the meaning set forth in Rule 12b-2 promulgated under Section 12 of the Exchange Act.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“Code” </w:t>
      </w:r>
      <w:r>
        <w:rPr>
          <w:rFonts w:ascii="Arial" w:cs="Arial" w:eastAsia="Arial" w:hAnsi="Arial"/>
          <w:sz w:val="17"/>
          <w:szCs w:val="17"/>
          <w:color w:val="auto"/>
        </w:rPr>
        <w:t>shall mean the Internal Revenue Code of 1986, as amended from time to time, and any regulations promulgated thereunder.</w:t>
      </w:r>
    </w:p>
    <w:p>
      <w:pPr>
        <w:spacing w:after="0" w:line="142" w:lineRule="exact"/>
        <w:rPr>
          <w:rFonts w:ascii="Arial" w:cs="Arial" w:eastAsia="Arial" w:hAnsi="Arial"/>
          <w:sz w:val="17"/>
          <w:szCs w:val="17"/>
          <w:color w:val="auto"/>
        </w:rPr>
      </w:pPr>
    </w:p>
    <w:p>
      <w:pPr>
        <w:ind w:left="900" w:right="40" w:hanging="446"/>
        <w:spacing w:after="0" w:line="314"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shall mean a committee of the Board of Directors consisting of two or more persons each of whom shall qualify as an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within the meaning of Section 162(m) of the Code, a “nonemployee director” within the meaning of Rule 16b-3 promulgated under the Exchange Act, as amended from time to time, and an “independent director” within the meaning of the NASD Rule 4350(c)(1).</w:t>
      </w:r>
    </w:p>
    <w:p>
      <w:pPr>
        <w:spacing w:after="0" w:line="47"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shall mean the common stock of Huron, par value $.01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“Covered Employee</w:t>
      </w:r>
      <w:r>
        <w:rPr>
          <w:rFonts w:ascii="Arial" w:cs="Arial" w:eastAsia="Arial" w:hAnsi="Arial"/>
          <w:sz w:val="18"/>
          <w:szCs w:val="18"/>
          <w:color w:val="auto"/>
        </w:rPr>
        <w:t>” shall have the meaning set forth in Section 162(m)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“Disabled” </w:t>
      </w:r>
      <w:r>
        <w:rPr>
          <w:rFonts w:ascii="Arial" w:cs="Arial" w:eastAsia="Arial" w:hAnsi="Arial"/>
          <w:sz w:val="18"/>
          <w:szCs w:val="18"/>
          <w:color w:val="auto"/>
        </w:rPr>
        <w:t>shall mean permanently and totally disabled within the meaning of Section 22(e)(3)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Section 3.</w:t>
      </w:r>
    </w:p>
    <w:p>
      <w:pPr>
        <w:spacing w:after="0" w:line="130" w:lineRule="exact"/>
        <w:rPr>
          <w:rFonts w:ascii="Arial" w:cs="Arial" w:eastAsia="Arial" w:hAnsi="Arial"/>
          <w:sz w:val="18"/>
          <w:szCs w:val="18"/>
          <w:color w:val="auto"/>
        </w:rPr>
      </w:pPr>
    </w:p>
    <w:p>
      <w:pPr>
        <w:ind w:left="900" w:right="60" w:hanging="446"/>
        <w:spacing w:after="0" w:line="347"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“Eligible Individuals” </w:t>
      </w:r>
      <w:r>
        <w:rPr>
          <w:rFonts w:ascii="Arial" w:cs="Arial" w:eastAsia="Arial" w:hAnsi="Arial"/>
          <w:sz w:val="16"/>
          <w:szCs w:val="16"/>
          <w:color w:val="auto"/>
        </w:rPr>
        <w:t>shall mean employees of Huron or any of the Affiliates (including officers, whether or not they are directors of Huron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Affiliate), independent contractors providing services to Huron or any Affiliate and non-employee directors of Huron or any Affiliate.</w:t>
      </w:r>
    </w:p>
    <w:p>
      <w:pPr>
        <w:spacing w:after="0" w:line="21"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amended from time to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have the meaning set forth in Section 7(d).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“Fair Market Value” </w:t>
      </w:r>
      <w:r>
        <w:rPr>
          <w:rFonts w:ascii="Arial" w:cs="Arial" w:eastAsia="Arial" w:hAnsi="Arial"/>
          <w:sz w:val="17"/>
          <w:szCs w:val="17"/>
          <w:color w:val="auto"/>
        </w:rPr>
        <w:t>of a share of Common Stock as of any date shall mean the value determined in accordance with the following rules:</w:t>
      </w:r>
    </w:p>
    <w:p>
      <w:pPr>
        <w:spacing w:after="0" w:line="146" w:lineRule="exact"/>
        <w:rPr>
          <w:rFonts w:ascii="Arial" w:cs="Arial" w:eastAsia="Arial" w:hAnsi="Arial"/>
          <w:sz w:val="17"/>
          <w:szCs w:val="17"/>
          <w:color w:val="auto"/>
        </w:rPr>
      </w:pPr>
    </w:p>
    <w:p>
      <w:pPr>
        <w:ind w:left="1480" w:hanging="567"/>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Common Stock is at the time listed or admitted to trading on any stock exchange, then the Fair Market Value shall be the closing price per share of Common Stock on the trading day immediately preceding such date on the principal exchange on which the Common Stock is then listed or admitted to trading or, if no such sale is reported on such preceding date, on the last preceding date on which a sale was so reported.</w:t>
      </w:r>
    </w:p>
    <w:p>
      <w:pPr>
        <w:spacing w:after="0" w:line="92" w:lineRule="exact"/>
        <w:rPr>
          <w:rFonts w:ascii="Arial" w:cs="Arial" w:eastAsia="Arial" w:hAnsi="Arial"/>
          <w:sz w:val="18"/>
          <w:szCs w:val="18"/>
          <w:color w:val="auto"/>
        </w:rPr>
      </w:pPr>
    </w:p>
    <w:p>
      <w:pPr>
        <w:ind w:left="1480" w:right="60" w:hanging="567"/>
        <w:spacing w:after="0" w:line="302" w:lineRule="auto"/>
        <w:tabs>
          <w:tab w:leader="none" w:pos="148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the trading day immediately preceding such date or, if no bid and asked prices for Common Stock are reported on such preceding date, on the most recent day immediately prior thereto on which bid and asked prices were so reported.</w:t>
      </w:r>
    </w:p>
    <w:p>
      <w:pPr>
        <w:spacing w:after="0" w:line="59" w:lineRule="exact"/>
        <w:rPr>
          <w:rFonts w:ascii="Arial" w:cs="Arial" w:eastAsia="Arial" w:hAnsi="Arial"/>
          <w:sz w:val="16"/>
          <w:szCs w:val="16"/>
          <w:color w:val="auto"/>
        </w:rPr>
      </w:pPr>
    </w:p>
    <w:p>
      <w:pPr>
        <w:ind w:left="1480" w:right="120" w:hanging="567"/>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the Common Stock is not listed or admitted to trading on any stock exchange and if prices are not regularly reported for the Common Stock as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spacing w:after="0" w:line="277" w:lineRule="auto"/>
        <w:rPr>
          <w:sz w:val="20"/>
          <w:szCs w:val="20"/>
          <w:color w:val="auto"/>
        </w:rPr>
      </w:pPr>
      <w:r>
        <w:rPr>
          <w:rFonts w:ascii="Arial" w:cs="Arial" w:eastAsia="Arial" w:hAnsi="Arial"/>
          <w:sz w:val="18"/>
          <w:szCs w:val="18"/>
          <w:color w:val="auto"/>
        </w:rPr>
        <w:t>described in paragraph (ii), the Fair Market Value shall be as determined by the Committee in good faith in its sole discretion or under procedures established by the Committee, whose determination shall be conclusive and binding.</w:t>
      </w:r>
    </w:p>
    <w:p>
      <w:pPr>
        <w:spacing w:after="0" w:line="76" w:lineRule="exact"/>
        <w:rPr>
          <w:sz w:val="20"/>
          <w:szCs w:val="20"/>
          <w:color w:val="auto"/>
        </w:rPr>
      </w:pPr>
    </w:p>
    <w:p>
      <w:pPr>
        <w:ind w:left="1480" w:right="520" w:hanging="567"/>
        <w:spacing w:after="0" w:line="277" w:lineRule="auto"/>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purposes of determining the Fair Market Value of shares of Common Stock that are sold pursuant to a broker-assisted cashless exercise program, Fair Market Value shall be the price at which such shares are sold.</w:t>
      </w:r>
    </w:p>
    <w:p>
      <w:pPr>
        <w:spacing w:after="0" w:line="71" w:lineRule="exact"/>
        <w:rPr>
          <w:rFonts w:ascii="Arial" w:cs="Arial" w:eastAsia="Arial" w:hAnsi="Arial"/>
          <w:sz w:val="18"/>
          <w:szCs w:val="18"/>
          <w:color w:val="auto"/>
        </w:rPr>
      </w:pPr>
    </w:p>
    <w:p>
      <w:pPr>
        <w:jc w:val="both"/>
        <w:ind w:left="900" w:right="280" w:hanging="446"/>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“Full Value Award” </w:t>
      </w:r>
      <w:r>
        <w:rPr>
          <w:rFonts w:ascii="Arial" w:cs="Arial" w:eastAsia="Arial" w:hAnsi="Arial"/>
          <w:sz w:val="18"/>
          <w:szCs w:val="18"/>
          <w:color w:val="auto"/>
        </w:rPr>
        <w:t>shall mean an Award that is granted pursuant to Section 8 hereof and that is the grant of one or more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or a right to receive one or more shares of Common Stock in the future, which grant may be subject to one or more of the following, as determined by the Committee:</w:t>
      </w:r>
    </w:p>
    <w:p>
      <w:pPr>
        <w:spacing w:after="0" w:line="85"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grant may be in consideration of a Participant’s previously performed services or surrender of other compensation that may be due.</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grant may be contingent on the achievement of performance or other objectives during a specified period.</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grant may be subject to a risk of forfeiture or other restrictions that will lapse upon the achievement of one or more goals relating to completion of service by the Participant or achievement of performance or other objectives.</w:t>
      </w:r>
    </w:p>
    <w:p>
      <w:pPr>
        <w:spacing w:after="0" w:line="6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grant of Full Value Awards may also be subject to such other conditions, restrictions and contingencies, as determined by the Committee, including provisions relating to dividend or dividend equivalent rights, deferred payment or settlement and purchase in the open market (including with a Participant’s own funds). Full Value Awards may include, but are not limited to, restricted stock, stock units, performance stock units, and bonus stock.</w:t>
      </w:r>
    </w:p>
    <w:p>
      <w:pPr>
        <w:spacing w:after="0" w:line="88"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“Huron” </w:t>
      </w:r>
      <w:r>
        <w:rPr>
          <w:rFonts w:ascii="Arial" w:cs="Arial" w:eastAsia="Arial" w:hAnsi="Arial"/>
          <w:sz w:val="18"/>
          <w:szCs w:val="18"/>
          <w:color w:val="auto"/>
        </w:rPr>
        <w:t>shall have the meaning set forth in Section 1.</w:t>
      </w:r>
    </w:p>
    <w:p>
      <w:pPr>
        <w:spacing w:after="0" w:line="130" w:lineRule="exact"/>
        <w:rPr>
          <w:rFonts w:ascii="Arial" w:cs="Arial" w:eastAsia="Arial" w:hAnsi="Arial"/>
          <w:sz w:val="18"/>
          <w:szCs w:val="18"/>
          <w:color w:val="auto"/>
        </w:rPr>
      </w:pPr>
    </w:p>
    <w:p>
      <w:pPr>
        <w:ind w:left="900" w:right="120" w:hanging="446"/>
        <w:spacing w:after="0" w:line="282"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shall mean an Option that qualifies as an “incentive stock option” within the meaning of Section 422 of the Code, or</w:t>
      </w:r>
      <w:r>
        <w:rPr>
          <w:rFonts w:ascii="Arial" w:cs="Arial" w:eastAsia="Arial" w:hAnsi="Arial"/>
          <w:sz w:val="18"/>
          <w:szCs w:val="18"/>
          <w:b w:val="1"/>
          <w:bCs w:val="1"/>
          <w:color w:val="auto"/>
        </w:rPr>
        <w:t xml:space="preserve"> </w:t>
      </w:r>
      <w:r>
        <w:rPr>
          <w:rFonts w:ascii="Arial" w:cs="Arial" w:eastAsia="Arial" w:hAnsi="Arial"/>
          <w:sz w:val="18"/>
          <w:szCs w:val="18"/>
          <w:color w:val="auto"/>
        </w:rPr>
        <w:t>any successor provision, and which is designated by the Committee as an Incentive Stock Option.</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“Nonqualified Stock Option” </w:t>
      </w:r>
      <w:r>
        <w:rPr>
          <w:rFonts w:ascii="Arial" w:cs="Arial" w:eastAsia="Arial" w:hAnsi="Arial"/>
          <w:sz w:val="18"/>
          <w:szCs w:val="18"/>
          <w:color w:val="auto"/>
        </w:rPr>
        <w:t>shall mean an Option other than an Incentive Stock Option.</w:t>
      </w:r>
    </w:p>
    <w:p>
      <w:pPr>
        <w:spacing w:after="0" w:line="130" w:lineRule="exact"/>
        <w:rPr>
          <w:rFonts w:ascii="Arial" w:cs="Arial" w:eastAsia="Arial" w:hAnsi="Arial"/>
          <w:sz w:val="18"/>
          <w:szCs w:val="18"/>
          <w:color w:val="auto"/>
        </w:rPr>
      </w:pPr>
    </w:p>
    <w:p>
      <w:pPr>
        <w:ind w:left="900" w:right="60" w:hanging="446"/>
        <w:spacing w:after="0" w:line="282"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shall mean an Award that is granted pursuant to Section 7 hereof that entitles a Participant to purchase shares of Common Stock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Exercise Price established by the Committee.</w:t>
      </w:r>
    </w:p>
    <w:p>
      <w:pPr>
        <w:spacing w:after="0" w:line="67"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Eligible Individual to whom an Award is granted pursuant to the Plan.</w:t>
      </w:r>
    </w:p>
    <w:p>
      <w:pPr>
        <w:spacing w:after="0" w:line="13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Compensation” </w:t>
      </w:r>
      <w:r>
        <w:rPr>
          <w:rFonts w:ascii="Arial" w:cs="Arial" w:eastAsia="Arial" w:hAnsi="Arial"/>
          <w:sz w:val="18"/>
          <w:szCs w:val="18"/>
          <w:color w:val="auto"/>
        </w:rPr>
        <w:t>shall have the meaning set forth in Section 9.</w:t>
      </w:r>
    </w:p>
    <w:p>
      <w:pPr>
        <w:spacing w:after="0" w:line="130" w:lineRule="exact"/>
        <w:rPr>
          <w:rFonts w:ascii="Arial" w:cs="Arial" w:eastAsia="Arial" w:hAnsi="Arial"/>
          <w:sz w:val="18"/>
          <w:szCs w:val="18"/>
          <w:color w:val="auto"/>
        </w:rPr>
      </w:pPr>
    </w:p>
    <w:p>
      <w:pPr>
        <w:ind w:left="5660" w:right="3140" w:hanging="5206"/>
        <w:spacing w:after="0" w:line="454" w:lineRule="auto"/>
        <w:tabs>
          <w:tab w:leader="none" w:pos="89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Huron Consulting Group Inc. 2012 Omnibus Incentive Plan as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60" w:hanging="446"/>
        <w:spacing w:after="0" w:line="277" w:lineRule="auto"/>
        <w:tabs>
          <w:tab w:leader="none" w:pos="900" w:val="left"/>
        </w:tabs>
        <w:numPr>
          <w:ilvl w:val="1"/>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“Retirement” </w:t>
      </w:r>
      <w:r>
        <w:rPr>
          <w:rFonts w:ascii="Arial" w:cs="Arial" w:eastAsia="Arial" w:hAnsi="Arial"/>
          <w:sz w:val="17"/>
          <w:szCs w:val="17"/>
          <w:color w:val="auto"/>
        </w:rPr>
        <w:t>shall mean the voluntary termination with Huron and the Affiliates of a Participant who is in the position of corporate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managing director or executive officer and (i) such termination occurs on or after the date on which he or she has attained age 62 and completed at least seven years of employment with Huron and (ii) in conjunction with such termination such Participant has executed a non-competition and non-solicitation agreement provided by Huron. A Participant’s termination of employment shall not be considered to be on account of Retirement if the employment is terminated by Huron or any Affiliate for any reason.</w:t>
      </w:r>
    </w:p>
    <w:p>
      <w:pPr>
        <w:spacing w:after="0" w:line="73" w:lineRule="exact"/>
        <w:rPr>
          <w:rFonts w:ascii="Arial" w:cs="Arial" w:eastAsia="Arial" w:hAnsi="Arial"/>
          <w:sz w:val="17"/>
          <w:szCs w:val="17"/>
          <w:color w:val="auto"/>
        </w:rPr>
      </w:pPr>
    </w:p>
    <w:p>
      <w:pPr>
        <w:ind w:left="900" w:right="20" w:hanging="446"/>
        <w:spacing w:after="0" w:line="289"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shall mean an Award is granted pursuant to Section 7 hereof that entitles a Participant to receive, upon exercise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an amount of cash or shares of Common Stock (as determined in accordance with the terms of the Plan and the Award) having a value equal to the excess of: (i) the Fair Market Value, determined at the time of exercise, of a specified number of shares of Common Stock; over</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(ii) the applicable Exercise Price.</w:t>
      </w:r>
    </w:p>
    <w:p>
      <w:pPr>
        <w:spacing w:after="0" w:line="112" w:lineRule="exact"/>
        <w:rPr>
          <w:rFonts w:ascii="Arial" w:cs="Arial" w:eastAsia="Arial" w:hAnsi="Arial"/>
          <w:sz w:val="16"/>
          <w:szCs w:val="16"/>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 “subsidiary corporation” of Huron within the meaning of Section 424(f) of the Code.</w:t>
      </w:r>
    </w:p>
    <w:p>
      <w:pPr>
        <w:spacing w:after="0" w:line="130"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 and Duration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amended and restated, will be effective as of the date (the “Effective Date”) that it is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subject to approval by Huron’s stockholders.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w:t>
      </w:r>
    </w:p>
    <w:p>
      <w:pPr>
        <w:spacing w:after="0" w:line="328" w:lineRule="exact"/>
        <w:rPr>
          <w:rFonts w:ascii="Arial" w:cs="Arial" w:eastAsia="Arial" w:hAnsi="Arial"/>
          <w:sz w:val="18"/>
          <w:szCs w:val="18"/>
          <w:b w:val="1"/>
          <w:bCs w:val="1"/>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Reserved and Other Limitations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hanging="446"/>
        <w:spacing w:after="0" w:line="342" w:lineRule="auto"/>
        <w:tabs>
          <w:tab w:leader="none" w:pos="90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Source of Shares</w:t>
      </w:r>
      <w:r>
        <w:rPr>
          <w:rFonts w:ascii="Arial" w:cs="Arial" w:eastAsia="Arial" w:hAnsi="Arial"/>
          <w:sz w:val="16"/>
          <w:szCs w:val="16"/>
          <w:color w:val="auto"/>
        </w:rPr>
        <w:t>. Shares of Common Stock reserved for issuance under the Plan may be authorized but unissued shares of Common Stock or authorized and issued shares of Common Stock held in Huron’s treasury, including shares purchased in the open market or in private transactions.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Shares Available for Awards</w:t>
      </w:r>
      <w:r>
        <w:rPr>
          <w:rFonts w:ascii="Arial" w:cs="Arial" w:eastAsia="Arial" w:hAnsi="Arial"/>
          <w:sz w:val="18"/>
          <w:szCs w:val="18"/>
          <w:color w:val="auto"/>
        </w:rPr>
        <w:t>. Subject to the terms and conditions of the Plan, the number of shares of Common Stock reserved for issuance under the Plan shall be 2,248,204 shares (subject to adjustment as provided herein).</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Individual Limitations on Awards</w:t>
      </w:r>
      <w:r>
        <w:rPr>
          <w:rFonts w:ascii="Arial" w:cs="Arial" w:eastAsia="Arial" w:hAnsi="Arial"/>
          <w:sz w:val="18"/>
          <w:szCs w:val="18"/>
          <w:color w:val="auto"/>
        </w:rPr>
        <w:t>. The maximum number of shares of Common Stock that may be granted to any Participant during any calendar-year period with respect to Full Value Awards that are intended to be Performance-Based Compensation shall not exceed 500,000 shares in the aggregate (subject to adjustment as provided herein).</w:t>
      </w:r>
    </w:p>
    <w:p>
      <w:pPr>
        <w:spacing w:after="0" w:line="87" w:lineRule="exact"/>
        <w:rPr>
          <w:sz w:val="20"/>
          <w:szCs w:val="20"/>
          <w:color w:val="auto"/>
        </w:rPr>
      </w:pPr>
    </w:p>
    <w:p>
      <w:pPr>
        <w:ind w:left="1480" w:right="20" w:hanging="567"/>
        <w:spacing w:after="0" w:line="342" w:lineRule="auto"/>
        <w:tabs>
          <w:tab w:leader="none" w:pos="1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spacing w:after="0" w:line="29" w:lineRule="exact"/>
        <w:rPr>
          <w:rFonts w:ascii="Arial" w:cs="Arial" w:eastAsia="Arial" w:hAnsi="Arial"/>
          <w:sz w:val="16"/>
          <w:szCs w:val="16"/>
          <w:color w:val="auto"/>
        </w:rPr>
      </w:pPr>
    </w:p>
    <w:p>
      <w:pPr>
        <w:ind w:left="1480" w:right="200" w:hanging="567"/>
        <w:spacing w:after="0" w:line="342" w:lineRule="auto"/>
        <w:tabs>
          <w:tab w:leader="none" w:pos="14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Limits on Incentive Stock Options</w:t>
      </w:r>
      <w:r>
        <w:rPr>
          <w:rFonts w:ascii="Arial" w:cs="Arial" w:eastAsia="Arial" w:hAnsi="Arial"/>
          <w:sz w:val="18"/>
          <w:szCs w:val="18"/>
          <w:color w:val="auto"/>
        </w:rPr>
        <w:t>. The maximum number of shares of Common Stock to which Incentive Stock Options relate that may be granted under the Plan shall be 325,000 (subject to adjustment as provided herein).</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Individual Limitations on Cash Incentive Awards</w:t>
      </w:r>
      <w:r>
        <w:rPr>
          <w:rFonts w:ascii="Arial" w:cs="Arial" w:eastAsia="Arial" w:hAnsi="Arial"/>
          <w:sz w:val="17"/>
          <w:szCs w:val="17"/>
          <w:color w:val="auto"/>
        </w:rPr>
        <w:t>. The maximum amount payable to any Participant for any 12 month performance period with respect to a Cash Incentive Award granted under the Plan that is intended to be Performance-Based Compensation shall be $10,000,000 (prorated for performance periods that are greater or lesser than 12 months). For purposes of this Section 4(e):</w:t>
      </w:r>
    </w:p>
    <w:p>
      <w:pPr>
        <w:spacing w:after="0" w:line="70" w:lineRule="exact"/>
        <w:rPr>
          <w:rFonts w:ascii="Arial" w:cs="Arial" w:eastAsia="Arial" w:hAnsi="Arial"/>
          <w:sz w:val="17"/>
          <w:szCs w:val="17"/>
          <w:color w:val="auto"/>
        </w:rPr>
      </w:pPr>
    </w:p>
    <w:p>
      <w:pPr>
        <w:ind w:left="1480" w:right="240" w:hanging="567"/>
        <w:spacing w:after="0" w:line="308"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51" w:lineRule="exact"/>
        <w:rPr>
          <w:rFonts w:ascii="Arial" w:cs="Arial" w:eastAsia="Arial" w:hAnsi="Arial"/>
          <w:sz w:val="17"/>
          <w:szCs w:val="17"/>
          <w:color w:val="auto"/>
        </w:rPr>
      </w:pPr>
    </w:p>
    <w:p>
      <w:pPr>
        <w:ind w:left="1480" w:right="300" w:hanging="567"/>
        <w:spacing w:after="0" w:line="308" w:lineRule="auto"/>
        <w:tabs>
          <w:tab w:leader="none" w:pos="1480" w:val="left"/>
        </w:tabs>
        <w:numPr>
          <w:ilvl w:val="1"/>
          <w:numId w:val="76"/>
        </w:numPr>
        <w:rPr>
          <w:rFonts w:ascii="Arial" w:cs="Arial" w:eastAsia="Arial" w:hAnsi="Arial"/>
          <w:sz w:val="17"/>
          <w:szCs w:val="17"/>
          <w:color w:val="auto"/>
        </w:rPr>
      </w:pPr>
      <w:r>
        <w:rPr>
          <w:rFonts w:ascii="Arial" w:cs="Arial" w:eastAsia="Arial" w:hAnsi="Arial"/>
          <w:sz w:val="17"/>
          <w:szCs w:val="17"/>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51" w:lineRule="exact"/>
        <w:rPr>
          <w:rFonts w:ascii="Arial" w:cs="Arial" w:eastAsia="Arial" w:hAnsi="Arial"/>
          <w:sz w:val="17"/>
          <w:szCs w:val="17"/>
          <w:color w:val="auto"/>
        </w:rPr>
      </w:pPr>
    </w:p>
    <w:p>
      <w:pPr>
        <w:ind w:left="900" w:hanging="446"/>
        <w:spacing w:after="0" w:line="28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Adjustments for Change in Capitalization</w:t>
      </w:r>
      <w:r>
        <w:rPr>
          <w:rFonts w:ascii="Arial" w:cs="Arial" w:eastAsia="Arial" w:hAnsi="Arial"/>
          <w:sz w:val="16"/>
          <w:szCs w:val="16"/>
          <w:color w:val="auto"/>
        </w:rPr>
        <w:t>. In the event that any dividend or other distribution is declared (whether in the form of cash, Common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 without limitation, (1)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spacing w:after="0" w:line="80"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Reuse of Shares</w:t>
      </w:r>
      <w:r>
        <w:rPr>
          <w:rFonts w:ascii="Arial" w:cs="Arial" w:eastAsia="Arial" w:hAnsi="Arial"/>
          <w:sz w:val="18"/>
          <w:szCs w:val="18"/>
          <w:color w:val="auto"/>
        </w:rPr>
        <w:t>. Except to the extent that to do so would prevent the grant of Incentive Stock Options hereunder, the following shares of Common Stock shall again become available for Awards: (i) any shares subject to an Award that remain unissued upon the cancellation, surrender, exchange, forfeiture or termination of such Award without having been exercised or settled, (ii) any shares subject to an Award that are retained as payment of the exercise price or tax withholding obligations with respect to an Award, and (iii) a number of shares equal to the number of previously owned shares of Common Stock surrendered as payment of the exercise price of an Option or to satisfy tax withholding obligations with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57" w:lineRule="auto"/>
        <w:rPr>
          <w:sz w:val="20"/>
          <w:szCs w:val="20"/>
          <w:color w:val="auto"/>
        </w:rPr>
      </w:pPr>
      <w:r>
        <w:rPr>
          <w:rFonts w:ascii="Arial" w:cs="Arial" w:eastAsia="Arial" w:hAnsi="Arial"/>
          <w:sz w:val="18"/>
          <w:szCs w:val="18"/>
          <w:color w:val="auto"/>
        </w:rPr>
        <w:t>respect to an Award. In addition, (x) to the extent an Award is paid or settled in cash, the number of shares of Common Stock with respect to which such payment or settlement is made shall again be available for grants of Awards pursuant to the Plan and (y) in the event of the exercise of a Stock Appreciation Right granted in relation to an Option, the excess of the number of shares subject to the Stock Appreciation Right over the number of shares delivered upon the exercise of the Stock Appreciation Right shall again be available for grants of Awards pursuant to the Plan.</w:t>
      </w:r>
    </w:p>
    <w:p>
      <w:pPr>
        <w:spacing w:after="0" w:line="333"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right="120" w:hanging="446"/>
        <w:spacing w:after="0" w:line="284"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 (ii) determine the Eligible Individuals to whom, and the 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 or surrendered; (v) conclusively construe and interpret the Plan and all Awards;</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(vi) prescribe, amend and rescind rules and regulations relating to the Plan; (vii) determine the terms and provisions of Agreements; and</w:t>
      </w:r>
    </w:p>
    <w:p>
      <w:pPr>
        <w:spacing w:after="0" w:line="21" w:lineRule="exact"/>
        <w:rPr>
          <w:sz w:val="20"/>
          <w:szCs w:val="20"/>
          <w:color w:val="auto"/>
        </w:rPr>
      </w:pPr>
    </w:p>
    <w:p>
      <w:pPr>
        <w:ind w:left="900" w:right="220"/>
        <w:spacing w:after="0" w:line="281" w:lineRule="auto"/>
        <w:rPr>
          <w:sz w:val="20"/>
          <w:szCs w:val="20"/>
          <w:color w:val="auto"/>
        </w:rPr>
      </w:pPr>
      <w:r>
        <w:rPr>
          <w:rFonts w:ascii="Arial" w:cs="Arial" w:eastAsia="Arial" w:hAnsi="Arial"/>
          <w:sz w:val="16"/>
          <w:szCs w:val="16"/>
          <w:color w:val="auto"/>
        </w:rPr>
        <w:t>(viii) make all other determinations deemed necessary or advisable for the operation and administration of the Plan. 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(z) otherwise adjust any of the terms applicable to any such Award in a manner consistent with the terms of the Plan.</w:t>
      </w:r>
    </w:p>
    <w:p>
      <w:pPr>
        <w:spacing w:after="0" w:line="116" w:lineRule="exact"/>
        <w:rPr>
          <w:sz w:val="20"/>
          <w:szCs w:val="20"/>
          <w:color w:val="auto"/>
        </w:rPr>
      </w:pPr>
    </w:p>
    <w:p>
      <w:pPr>
        <w:ind w:left="900" w:right="32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Decisions Binding</w:t>
      </w:r>
      <w:r>
        <w:rPr>
          <w:rFonts w:ascii="Arial" w:cs="Arial" w:eastAsia="Arial" w:hAnsi="Arial"/>
          <w:sz w:val="18"/>
          <w:szCs w:val="18"/>
          <w:color w:val="auto"/>
        </w:rPr>
        <w:t>. Any interpretations of the Plan by the Committee and any decisions made by it under the Plan are final and binding on all persons.</w:t>
      </w:r>
    </w:p>
    <w:p>
      <w:pPr>
        <w:spacing w:after="0" w:line="75"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Delegation</w:t>
      </w:r>
      <w:r>
        <w:rPr>
          <w:rFonts w:ascii="Arial" w:cs="Arial" w:eastAsia="Arial" w:hAnsi="Arial"/>
          <w:sz w:val="17"/>
          <w:szCs w:val="17"/>
          <w:color w:val="auto"/>
        </w:rPr>
        <w:t>. Except to the extent prohibited by the applicable rules of any stock exchange, the Committee may allocate all or any portion of its responsibilities and powers to any one or more of its members and may delegate all or any part of its administrative responsibilities and powers to any person or persons selected by it. Any such allocation or delegation may be revoked by the Committee at any time.</w:t>
      </w:r>
    </w:p>
    <w:p>
      <w:pPr>
        <w:spacing w:after="0" w:line="70" w:lineRule="exact"/>
        <w:rPr>
          <w:rFonts w:ascii="Arial" w:cs="Arial" w:eastAsia="Arial" w:hAnsi="Arial"/>
          <w:sz w:val="17"/>
          <w:szCs w:val="17"/>
          <w:color w:val="auto"/>
        </w:rPr>
      </w:pPr>
    </w:p>
    <w:p>
      <w:pPr>
        <w:ind w:left="900" w:right="20" w:hanging="446"/>
        <w:spacing w:after="0" w:line="279"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No member of the Committee (or an authorized delegate of the Committee), and no officer of Huron or any of the Affiliates, shall 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“Administrative Actions”). Further, the Committee (and all delegates of the Committee), in addition to such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spacing w:after="0" w:line="88" w:lineRule="exact"/>
        <w:rPr>
          <w:sz w:val="20"/>
          <w:szCs w:val="20"/>
          <w:color w:val="auto"/>
        </w:rPr>
      </w:pPr>
    </w:p>
    <w:p>
      <w:pPr>
        <w:ind w:left="460" w:right="60" w:hanging="452"/>
        <w:spacing w:after="0" w:line="291" w:lineRule="auto"/>
        <w:tabs>
          <w:tab w:leader="none" w:pos="4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Plan, the Committee shall determine and designate, from time to time, from among the</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between Huron and the Participant, or except as otherwise provided in the Plan, an Award under the Plan shall not affect any previous Award under the Plan or an award under any other plan maintained by Huron or any of the Affiliates. No Participant or other 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308" w:lineRule="exact"/>
        <w:rPr>
          <w:rFonts w:ascii="Arial" w:cs="Arial" w:eastAsia="Arial" w:hAnsi="Arial"/>
          <w:sz w:val="16"/>
          <w:szCs w:val="16"/>
          <w:b w:val="1"/>
          <w:bCs w:val="1"/>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Options and Stock Appreciation Rights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right="20" w:hanging="446"/>
        <w:spacing w:after="0" w:line="277"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Grant of Awards</w:t>
      </w:r>
      <w:r>
        <w:rPr>
          <w:rFonts w:ascii="Arial" w:cs="Arial" w:eastAsia="Arial" w:hAnsi="Arial"/>
          <w:sz w:val="18"/>
          <w:szCs w:val="18"/>
          <w:color w:val="auto"/>
        </w:rPr>
        <w:t>. The Committee may grant Options and/or Stock Appreciation Rights to Eligible Individuals, subject to the terms and conditions of the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Identification of Options</w:t>
      </w:r>
      <w:r>
        <w:rPr>
          <w:rFonts w:ascii="Arial" w:cs="Arial" w:eastAsia="Arial" w:hAnsi="Arial"/>
          <w:sz w:val="18"/>
          <w:szCs w:val="18"/>
          <w:color w:val="auto"/>
        </w:rPr>
        <w:t>. Each Option shall be clearly identified as either an Incentive Stock Option or a Nonqualified Stock Option.</w:t>
      </w:r>
    </w:p>
    <w:p>
      <w:pPr>
        <w:spacing w:after="0" w:line="130" w:lineRule="exact"/>
        <w:rPr>
          <w:rFonts w:ascii="Arial" w:cs="Arial" w:eastAsia="Arial" w:hAnsi="Arial"/>
          <w:sz w:val="18"/>
          <w:szCs w:val="18"/>
          <w:color w:val="auto"/>
        </w:rPr>
      </w:pPr>
    </w:p>
    <w:p>
      <w:pPr>
        <w:ind w:left="900" w:hanging="446"/>
        <w:spacing w:after="0" w:line="271" w:lineRule="auto"/>
        <w:tabs>
          <w:tab w:leader="none" w:pos="90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Tandem Awards</w:t>
      </w:r>
      <w:r>
        <w:rPr>
          <w:rFonts w:ascii="Arial" w:cs="Arial" w:eastAsia="Arial" w:hAnsi="Arial"/>
          <w:sz w:val="17"/>
          <w:szCs w:val="17"/>
          <w:color w:val="auto"/>
        </w:rPr>
        <w:t>. An Option may but need not be in tandem with a Stock Appreciation Right, and a Stock Appreciation Right may but need not be in tandem with an Option (in either case, regardless of whether the original award was granted under this Plan or another plan or arrangement.) If an Option is in tandem with a Stock Appreciation Right, the exercise price of both the Option and Stock Appreciation Right shall be the same, and the exercise of the Option or Stock Appreciation Right with respect to a share of Common Stock shall cancel the corresponding tandem Stock Appreciation Right or Option right with respect to such share. If a Stock Appreciation Right is in tandem with an Option but is granted after the grant of the Option, or if an Option is in tandem with an Stock Appreciation Right but is granted after the grant of the Stock Appreciation Right, the later granted tandem Award shall have the same exercise price as the earlier granted Award, but in no event less than the Fair Market Value of a share of Common Stock at the time of such grant.</w:t>
      </w:r>
    </w:p>
    <w:p>
      <w:pPr>
        <w:spacing w:after="0" w:line="84" w:lineRule="exact"/>
        <w:rPr>
          <w:rFonts w:ascii="Arial" w:cs="Arial" w:eastAsia="Arial" w:hAnsi="Arial"/>
          <w:sz w:val="17"/>
          <w:szCs w:val="17"/>
          <w:color w:val="auto"/>
        </w:rPr>
      </w:pPr>
    </w:p>
    <w:p>
      <w:pPr>
        <w:ind w:left="900" w:right="80" w:hanging="446"/>
        <w:spacing w:after="0" w:line="286" w:lineRule="auto"/>
        <w:tabs>
          <w:tab w:leader="none" w:pos="900"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an Option or Stock Appreciation Right shall be established by the Committee at the time the Option or Stock Appreciation Right is granted; provided, however, that in no event shall the Exercise Price be less than 100% of the Fair Market Value of a share of Common Stock on the date of grant (or, if greater, the par value of a share of Common Stock on the date of grant).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1"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No Repricing/Prohibition on Buy-Back</w:t>
      </w:r>
      <w:r>
        <w:rPr>
          <w:rFonts w:ascii="Arial" w:cs="Arial" w:eastAsia="Arial" w:hAnsi="Arial"/>
          <w:sz w:val="17"/>
          <w:szCs w:val="17"/>
          <w:color w:val="auto"/>
        </w:rPr>
        <w:t>. Except for either adjustments pursuant to Section 3(g) or reductions of the Exercise Price approved by 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 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 In addition, no repricing of an Option shall be permitted without the approval of Huron’s stockholders if such approval is required under the rules of any stock exchange on which Common Stock is listed.</w:t>
      </w:r>
    </w:p>
    <w:p>
      <w:pPr>
        <w:spacing w:after="0" w:line="327" w:lineRule="exact"/>
        <w:rPr>
          <w:rFonts w:ascii="Arial" w:cs="Arial" w:eastAsia="Arial" w:hAnsi="Arial"/>
          <w:sz w:val="17"/>
          <w:szCs w:val="17"/>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 and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line="291" w:lineRule="auto"/>
        <w:tabs>
          <w:tab w:leader="none" w:pos="14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Option or Stock Appreciation Right shall become exercisable at the time determined by the Committee at the date of grant, subject to the terms and conditions of the Plan. 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 period of service. Subject to Section 7(g) hereof, the Committee shall determine the expiration date of each Option and Stock Appreciation Right, as applicable, which shall be no later than the tenth anniversary of the date of grant of the Award. No Option or Stock Appreciation Right, as applicable, may be exercised after the expiration date applicable thereto.</w:t>
      </w:r>
    </w:p>
    <w:p>
      <w:pPr>
        <w:spacing w:after="0" w:line="72" w:lineRule="exact"/>
        <w:rPr>
          <w:rFonts w:ascii="Arial" w:cs="Arial" w:eastAsia="Arial" w:hAnsi="Arial"/>
          <w:sz w:val="16"/>
          <w:szCs w:val="16"/>
          <w:color w:val="auto"/>
        </w:rPr>
      </w:pPr>
    </w:p>
    <w:p>
      <w:pPr>
        <w:ind w:left="1480" w:hanging="567"/>
        <w:spacing w:after="0"/>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 Option or Stock Appreciation Right shall be exercised by delivering the form of notice of exercise provided by Huron.</w:t>
      </w:r>
    </w:p>
    <w:p>
      <w:pPr>
        <w:spacing w:after="0" w:line="130" w:lineRule="exact"/>
        <w:rPr>
          <w:rFonts w:ascii="Arial" w:cs="Arial" w:eastAsia="Arial" w:hAnsi="Arial"/>
          <w:sz w:val="18"/>
          <w:szCs w:val="18"/>
          <w:color w:val="auto"/>
        </w:rPr>
      </w:pPr>
    </w:p>
    <w:p>
      <w:pPr>
        <w:ind w:left="1480" w:right="20" w:hanging="567"/>
        <w:spacing w:after="0" w:line="272" w:lineRule="auto"/>
        <w:tabs>
          <w:tab w:leader="none" w:pos="14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Payment for shares of Common Stock purchased upon the exercise of the Option shall be made on the effective date of such exercise by one or a combination of the following means (except that in the case of exercise using a broker assisted cashless exercise, payment may be made as soon as practicable after exercise): (1) in cash or cash equivalents; (2) by tendering, by actual delivery or attestation, shares of Common Stock owned by the Participant for at least six months prior to the date of exercise and valued at their Fair Market Value on the effective date of such exercise; or (3) by any such other methods (including broker assisted cashless exercise via a broker selected by the Committee) as the Committee may from time to time authorize; provided, however, that in all cases, the method of making such payment shall be in compliance with applicable law.</w:t>
      </w:r>
    </w:p>
    <w:p>
      <w:pPr>
        <w:spacing w:after="0" w:line="83" w:lineRule="exact"/>
        <w:rPr>
          <w:rFonts w:ascii="Arial" w:cs="Arial" w:eastAsia="Arial" w:hAnsi="Arial"/>
          <w:sz w:val="17"/>
          <w:szCs w:val="17"/>
          <w:color w:val="auto"/>
        </w:rPr>
      </w:pPr>
    </w:p>
    <w:p>
      <w:pPr>
        <w:ind w:left="1480" w:right="120" w:hanging="567"/>
        <w:spacing w:after="0" w:line="279" w:lineRule="auto"/>
        <w:tabs>
          <w:tab w:leader="none" w:pos="14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Payment in settlement of a Stock Appreciation Right may be made solely in whole shares of Common Stock valued at their Fair Market Value on the date of exercise of the Stock Appreciation Right or alternatively, in the sole discretion of the Committee, solely in cash or a combination of cash and shares. If the Committee decides that payment will be made in shares of Common Stock, and the amount payable results in a fractional share, payment for the fractional share will be made in cash.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97" w:lineRule="auto"/>
        <w:tabs>
          <w:tab w:leader="none" w:pos="1480" w:val="left"/>
        </w:tabs>
        <w:numPr>
          <w:ilvl w:val="2"/>
          <w:numId w:val="81"/>
        </w:numPr>
        <w:rPr>
          <w:rFonts w:ascii="Arial" w:cs="Arial" w:eastAsia="Arial" w:hAnsi="Arial"/>
          <w:sz w:val="16"/>
          <w:szCs w:val="16"/>
          <w:color w:val="auto"/>
        </w:rPr>
      </w:pPr>
      <w:r>
        <w:rPr>
          <w:rFonts w:ascii="Arial" w:cs="Arial" w:eastAsia="Arial" w:hAnsi="Arial"/>
          <w:sz w:val="16"/>
          <w:szCs w:val="16"/>
          <w:color w:val="auto"/>
        </w:rPr>
        <w:t>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spacing w:after="0" w:line="63" w:lineRule="exact"/>
        <w:rPr>
          <w:rFonts w:ascii="Arial" w:cs="Arial" w:eastAsia="Arial" w:hAnsi="Arial"/>
          <w:sz w:val="16"/>
          <w:szCs w:val="16"/>
          <w:color w:val="auto"/>
        </w:rPr>
      </w:pPr>
    </w:p>
    <w:p>
      <w:pPr>
        <w:ind w:left="900" w:hanging="446"/>
        <w:spacing w:after="0" w:line="284"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Provisions Relating to Incentive Stock Options</w:t>
      </w:r>
      <w:r>
        <w:rPr>
          <w:rFonts w:ascii="Arial" w:cs="Arial" w:eastAsia="Arial" w:hAnsi="Arial"/>
          <w:sz w:val="16"/>
          <w:szCs w:val="16"/>
          <w:color w:val="auto"/>
        </w:rPr>
        <w:t>. Incentive Stock Options may only be granted to employees of Huron and its Subsidiaries, in accordance with the provisions of Section 422 of the Code. To the extent that the aggregate Fair Market Value of shares of Common Stock 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Huron and its Subsidiaries unless</w:t>
      </w:r>
    </w:p>
    <w:p>
      <w:pPr>
        <w:spacing w:after="0" w:line="2" w:lineRule="exact"/>
        <w:rPr>
          <w:rFonts w:ascii="Arial" w:cs="Arial" w:eastAsia="Arial" w:hAnsi="Arial"/>
          <w:sz w:val="16"/>
          <w:szCs w:val="16"/>
          <w:color w:val="auto"/>
        </w:rPr>
      </w:pPr>
    </w:p>
    <w:p>
      <w:pPr>
        <w:ind w:left="900" w:right="60" w:hanging="1"/>
        <w:spacing w:after="0" w:line="253" w:lineRule="auto"/>
        <w:tabs>
          <w:tab w:leader="none" w:pos="11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exercise price of such Incentive Stock Option is at least 110% of the Fair Market Value of a share of Common Stock at the time such Incentive Stock Option is granted and (ii)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spacing w:after="0" w:line="9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Provision of Services on Options and Stock Appreciation Rights</w:t>
      </w:r>
      <w:r>
        <w:rPr>
          <w:rFonts w:ascii="Arial" w:cs="Arial" w:eastAsia="Arial" w:hAnsi="Arial"/>
          <w:sz w:val="18"/>
          <w:szCs w:val="18"/>
          <w:color w:val="auto"/>
        </w:rPr>
        <w:t>. The Committee shall determine the effect of termination of employment or termination of service on each Option and Stock Appreciation Right, subject to the terms and conditions of the Plan. Unless otherwise provided by the Committee:</w:t>
      </w:r>
    </w:p>
    <w:p>
      <w:pPr>
        <w:spacing w:after="0" w:line="86" w:lineRule="exact"/>
        <w:rPr>
          <w:rFonts w:ascii="Arial" w:cs="Arial" w:eastAsia="Arial" w:hAnsi="Arial"/>
          <w:sz w:val="18"/>
          <w:szCs w:val="18"/>
          <w:color w:val="auto"/>
        </w:rPr>
      </w:pPr>
    </w:p>
    <w:p>
      <w:pPr>
        <w:jc w:val="both"/>
        <w:ind w:left="1480" w:right="160" w:hanging="567"/>
        <w:spacing w:after="0" w:line="259" w:lineRule="auto"/>
        <w:tabs>
          <w:tab w:leader="none" w:pos="148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spacing w:after="0" w:line="92" w:lineRule="exact"/>
        <w:rPr>
          <w:sz w:val="20"/>
          <w:szCs w:val="20"/>
          <w:color w:val="auto"/>
        </w:rPr>
      </w:pPr>
    </w:p>
    <w:p>
      <w:pPr>
        <w:jc w:val="both"/>
        <w:ind w:left="1480" w:right="160" w:hanging="567"/>
        <w:spacing w:after="0" w:line="264"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20" w:hanging="567"/>
        <w:spacing w:after="0" w:line="257" w:lineRule="auto"/>
        <w:tabs>
          <w:tab w:leader="none" w:pos="14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Option or Stock Appreciation Right that is outstanding on the date that a Participant’s employment or service with Huron and the Affiliates terminates for any reason other than Cause, death, or the Participant’s being Disabled, (1) shall remain exercisable for the 90 day period following such termination to the extent that it is exercisable at the time of such termination, but in no event following the expiration of its term and (2) shall be terminated effective as of the date of termination to the extent it remains unexercisable as of the date of termination; and</w:t>
      </w:r>
    </w:p>
    <w:p>
      <w:pPr>
        <w:spacing w:after="0" w:line="93" w:lineRule="exact"/>
        <w:rPr>
          <w:rFonts w:ascii="Arial" w:cs="Arial" w:eastAsia="Arial" w:hAnsi="Arial"/>
          <w:sz w:val="18"/>
          <w:szCs w:val="18"/>
          <w:color w:val="auto"/>
        </w:rPr>
      </w:pPr>
    </w:p>
    <w:p>
      <w:pPr>
        <w:ind w:left="1480" w:right="100" w:hanging="567"/>
        <w:spacing w:after="0" w:line="272" w:lineRule="auto"/>
        <w:tabs>
          <w:tab w:leader="none" w:pos="1480" w:val="left"/>
        </w:tabs>
        <w:numPr>
          <w:ilvl w:val="2"/>
          <w:numId w:val="84"/>
        </w:numPr>
        <w:rPr>
          <w:rFonts w:ascii="Arial" w:cs="Arial" w:eastAsia="Arial" w:hAnsi="Arial"/>
          <w:sz w:val="17"/>
          <w:szCs w:val="17"/>
          <w:color w:val="auto"/>
        </w:rPr>
      </w:pPr>
      <w:r>
        <w:rPr>
          <w:rFonts w:ascii="Arial" w:cs="Arial" w:eastAsia="Arial" w:hAnsi="Arial"/>
          <w:sz w:val="17"/>
          <w:szCs w:val="17"/>
          <w:color w:val="auto"/>
        </w:rPr>
        <w:t>with respect to any Participant who is an employee of Huron or any Affiliate and who is in a position of corporate vice president, managing director or executive officer, any Option or Stock Appreciation Right that is outstanding on the date on which such Participant’s employment with Huron and the Affiliates terminates due to Retirement shall continue to vest and be exercisable in accordance with its terms as though the Participant had remained in the employ of Huron and its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Option or Stock Appreciation Right that is subject to Section 409A of the Code.</w:t>
      </w:r>
    </w:p>
    <w:p>
      <w:pPr>
        <w:spacing w:after="0" w:line="83" w:lineRule="exact"/>
        <w:rPr>
          <w:rFonts w:ascii="Arial" w:cs="Arial" w:eastAsia="Arial" w:hAnsi="Arial"/>
          <w:sz w:val="17"/>
          <w:szCs w:val="17"/>
          <w:color w:val="auto"/>
        </w:rPr>
      </w:pPr>
    </w:p>
    <w:p>
      <w:pPr>
        <w:ind w:left="900" w:hanging="446"/>
        <w:spacing w:after="0" w:line="288"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Leaves of Absence</w:t>
      </w:r>
      <w:r>
        <w:rPr>
          <w:rFonts w:ascii="Arial" w:cs="Arial" w:eastAsia="Arial" w:hAnsi="Arial"/>
          <w:sz w:val="16"/>
          <w:szCs w:val="16"/>
          <w:color w:val="auto"/>
        </w:rPr>
        <w:t>. Unless otherwise provided by the Committee and, with respect to Incentive Stock Options, to the extent permitted under 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w:t>
      </w:r>
    </w:p>
    <w:p>
      <w:pPr>
        <w:ind w:left="900" w:right="40" w:hanging="1"/>
        <w:spacing w:after="0" w:line="255" w:lineRule="auto"/>
        <w:tabs>
          <w:tab w:leader="none" w:pos="116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Participant shall continue to vest in his outstanding Options and Stock Appreciation Rights under the Plan during the first 30 days of such leave of absence; and (iii) the Participant shall cease to vest in his outstanding Options and Stock Appreciation Rights under the Plan during any period of such leave of absence which exceeds 30 days.</w:t>
      </w:r>
    </w:p>
    <w:p>
      <w:pPr>
        <w:spacing w:after="0" w:line="96" w:lineRule="exact"/>
        <w:rPr>
          <w:sz w:val="20"/>
          <w:szCs w:val="20"/>
          <w:color w:val="auto"/>
        </w:rPr>
      </w:pPr>
    </w:p>
    <w:p>
      <w:pPr>
        <w:jc w:val="both"/>
        <w:ind w:left="900" w:right="260" w:hanging="446"/>
        <w:spacing w:after="0" w:line="257" w:lineRule="auto"/>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Post-Exercise Limitations</w:t>
      </w:r>
      <w:r>
        <w:rPr>
          <w:rFonts w:ascii="Arial" w:cs="Arial" w:eastAsia="Arial" w:hAnsi="Arial"/>
          <w:sz w:val="18"/>
          <w:szCs w:val="18"/>
          <w:color w:val="auto"/>
        </w:rPr>
        <w:t>. Without otherwise limiting the Committee’s authority under the Plan, the Committee, in its discretion, may impose such 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332"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Full Value Awards and Cash Incentive Awards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right="260" w:hanging="446"/>
        <w:spacing w:after="0" w:line="277"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Grant of Awards</w:t>
      </w:r>
      <w:r>
        <w:rPr>
          <w:rFonts w:ascii="Arial" w:cs="Arial" w:eastAsia="Arial" w:hAnsi="Arial"/>
          <w:sz w:val="18"/>
          <w:szCs w:val="18"/>
          <w:color w:val="auto"/>
        </w:rPr>
        <w:t>. The Committee may grant Full Value Awards and/or Cash Incentive Awards to Eligible Individuals, subject to the terms and conditions of the Plan.</w:t>
      </w:r>
    </w:p>
    <w:p>
      <w:pPr>
        <w:spacing w:after="0" w:line="75" w:lineRule="exact"/>
        <w:rPr>
          <w:rFonts w:ascii="Arial" w:cs="Arial" w:eastAsia="Arial" w:hAnsi="Arial"/>
          <w:sz w:val="18"/>
          <w:szCs w:val="18"/>
          <w:color w:val="auto"/>
        </w:rPr>
      </w:pPr>
    </w:p>
    <w:p>
      <w:pPr>
        <w:ind w:left="900" w:right="280" w:hanging="446"/>
        <w:spacing w:after="0" w:line="286" w:lineRule="auto"/>
        <w:tabs>
          <w:tab w:leader="none" w:pos="900"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Special Vesting Rules for Full Value Awards</w:t>
      </w:r>
      <w:r>
        <w:rPr>
          <w:rFonts w:ascii="Arial" w:cs="Arial" w:eastAsia="Arial" w:hAnsi="Arial"/>
          <w:sz w:val="17"/>
          <w:szCs w:val="17"/>
          <w:color w:val="auto"/>
        </w:rPr>
        <w:t>. Notwithstanding any other provision of the Plan or an Agreement to the contrary (other than Section 8(c)(i)), except for (i) Awards (when aggregated with all other Awards under the Plan) which do not exceed 5% of the total number of shares of Common Stock reserved for issuance under the Plan in the aggregate, (ii) grants made to newly eligible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Participants to replace awards from a prior employer, and (iii) grants that are a form of payment of earned performance awards, (1) if an employee’s right to become vested in a Full Value Award is conditioned on the completion of a specified period of service with Huron or the Affiliates, without achievement of performance targets or other performance objectives (whether or not related to performance measures) being required as a condition of vesting, and without it being granted in lieu of other compensation, then in no event shall the required period of service for full vesting be less than three years (subject, to the extent provided by the Committee, to prorated vesting over the course of such three-year period and to acceleration of vesting in the event of the Participant’s death, Disability, Retirement, Change of Control or involuntary termination).</w:t>
      </w:r>
    </w:p>
    <w:p>
      <w:pPr>
        <w:spacing w:after="0" w:line="70" w:lineRule="exact"/>
        <w:rPr>
          <w:sz w:val="20"/>
          <w:szCs w:val="20"/>
          <w:color w:val="auto"/>
        </w:rPr>
      </w:pPr>
    </w:p>
    <w:p>
      <w:pPr>
        <w:ind w:left="900" w:right="6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Provision of Services on Full Value Awards</w:t>
      </w:r>
      <w:r>
        <w:rPr>
          <w:rFonts w:ascii="Arial" w:cs="Arial" w:eastAsia="Arial" w:hAnsi="Arial"/>
          <w:sz w:val="18"/>
          <w:szCs w:val="18"/>
          <w:color w:val="auto"/>
        </w:rPr>
        <w:t>. The Committee shall determine the effect of termination of employment or termination of service on each Full Value Award, subject to the terms and conditions of the Plan. Unless otherwise provided by the Committee:</w:t>
      </w:r>
    </w:p>
    <w:p>
      <w:pPr>
        <w:spacing w:after="0" w:line="86" w:lineRule="exact"/>
        <w:rPr>
          <w:rFonts w:ascii="Arial" w:cs="Arial" w:eastAsia="Arial" w:hAnsi="Arial"/>
          <w:sz w:val="18"/>
          <w:szCs w:val="18"/>
          <w:color w:val="auto"/>
        </w:rPr>
      </w:pPr>
    </w:p>
    <w:p>
      <w:pPr>
        <w:ind w:left="1480" w:right="140" w:hanging="567"/>
        <w:spacing w:after="0" w:line="259"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spacing w:after="0" w:line="92"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w:t>
      </w:r>
    </w:p>
    <w:p>
      <w:pPr>
        <w:spacing w:after="0" w:line="92" w:lineRule="exact"/>
        <w:rPr>
          <w:rFonts w:ascii="Arial" w:cs="Arial" w:eastAsia="Arial" w:hAnsi="Arial"/>
          <w:sz w:val="18"/>
          <w:szCs w:val="18"/>
          <w:color w:val="auto"/>
        </w:rPr>
      </w:pPr>
    </w:p>
    <w:p>
      <w:pPr>
        <w:jc w:val="both"/>
        <w:ind w:left="1480" w:right="120" w:hanging="567"/>
        <w:spacing w:after="0" w:line="259"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Full Value Award that is outstanding on the date that a Participant’s employment or service with Huron and the Affiliates terminates for any reason other than Cause, death, the Participant’s being Disabled or Retirement and that has not vested on the date of termination (and all rights with respect thereto, such as dividends or dividend equivalents) shall be terminated effective as of the date of termination; and</w:t>
      </w:r>
    </w:p>
    <w:p>
      <w:pPr>
        <w:spacing w:after="0" w:line="92" w:lineRule="exact"/>
        <w:rPr>
          <w:rFonts w:ascii="Arial" w:cs="Arial" w:eastAsia="Arial" w:hAnsi="Arial"/>
          <w:sz w:val="18"/>
          <w:szCs w:val="18"/>
          <w:color w:val="auto"/>
        </w:rPr>
      </w:pPr>
    </w:p>
    <w:p>
      <w:pPr>
        <w:ind w:left="1480" w:right="120" w:hanging="567"/>
        <w:spacing w:after="0" w:line="255"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with respect to any Participant who is an employee of Huron or any Affiliate and who is in a position of corporate vice president, managing director or executive officer, any Full Value Award that is outstanding on the date on which such Participant’s employment with Huron and the Affiliates terminates due to Retirement shall continue to vest and be distributable in accordance with its terms as though the Participant had remained in the employ of Huron and the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Full Value Award that is subject to Section 409A of the Code.</w:t>
      </w:r>
    </w:p>
    <w:p>
      <w:pPr>
        <w:spacing w:after="0" w:line="94"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Unless otherwise provided by the Committee, subject in all cases to the terms and conditions of the Award, in the case of any Participant who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59" w:lineRule="auto"/>
        <w:rPr>
          <w:sz w:val="20"/>
          <w:szCs w:val="20"/>
          <w:color w:val="auto"/>
        </w:rPr>
      </w:pPr>
      <w:r>
        <w:rPr>
          <w:rFonts w:ascii="Arial" w:cs="Arial" w:eastAsia="Arial" w:hAnsi="Arial"/>
          <w:sz w:val="18"/>
          <w:szCs w:val="18"/>
          <w:color w:val="auto"/>
        </w:rPr>
        <w:t>takes an approved unpaid leave of absence (i) the Participant’s employment or service shall not be deemed to be terminated solely because of such leave of absence; (ii) the Participant shall continue to vest in his outstanding Full Value Awards under the Plan during the first 30 days of such leave of absence; and (iii) the Participant shall cease to vest in his outstanding Full Value Awards under the Plan during any period of such leave of absence which exceeds 30 days.</w:t>
      </w:r>
    </w:p>
    <w:p>
      <w:pPr>
        <w:spacing w:after="0" w:line="92" w:lineRule="exact"/>
        <w:rPr>
          <w:sz w:val="20"/>
          <w:szCs w:val="20"/>
          <w:color w:val="auto"/>
        </w:rPr>
      </w:pPr>
    </w:p>
    <w:p>
      <w:pPr>
        <w:ind w:left="900" w:hanging="446"/>
        <w:spacing w:after="0" w:line="257" w:lineRule="auto"/>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Without otherwise limiting the Committee’s authority under the Plan, the Committee, in its discretion, may impose such restrictions on 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89"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may designate any Full Value Award or a Cash Incentive Award granted to a Participant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“Performance-Based Compensation” within the meaning of Section 162(m) of the Code and regulations thereunder. To the extent required by Section 162(m) of the Code, any such Award so designated shall be conditioned on the achievement of one or more performance targets as determined by the Committee and the following shall apply:</w:t>
      </w:r>
    </w:p>
    <w:p>
      <w:pPr>
        <w:spacing w:after="0" w:line="89" w:lineRule="exact"/>
        <w:rPr>
          <w:rFonts w:ascii="Arial" w:cs="Arial" w:eastAsia="Arial" w:hAnsi="Arial"/>
          <w:sz w:val="18"/>
          <w:szCs w:val="18"/>
          <w:b w:val="1"/>
          <w:bCs w:val="1"/>
          <w:color w:val="auto"/>
        </w:rPr>
      </w:pPr>
    </w:p>
    <w:p>
      <w:pPr>
        <w:ind w:left="900" w:hanging="446"/>
        <w:spacing w:after="0" w:line="273" w:lineRule="auto"/>
        <w:tabs>
          <w:tab w:leader="none" w:pos="900"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Establishment of Performance Criteria</w:t>
      </w:r>
      <w:r>
        <w:rPr>
          <w:rFonts w:ascii="Arial" w:cs="Arial" w:eastAsia="Arial" w:hAnsi="Arial"/>
          <w:sz w:val="17"/>
          <w:szCs w:val="17"/>
          <w:color w:val="auto"/>
        </w:rPr>
        <w:t>. The performance targets established for the performance period established by the Committee 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performance, other group or individual performance, or division performance, and shall be based on one or more of the Business Criteria.</w:t>
      </w:r>
    </w:p>
    <w:p>
      <w:pPr>
        <w:spacing w:after="0" w:line="83" w:lineRule="exact"/>
        <w:rPr>
          <w:rFonts w:ascii="Arial" w:cs="Arial" w:eastAsia="Arial" w:hAnsi="Arial"/>
          <w:sz w:val="17"/>
          <w:szCs w:val="17"/>
          <w:color w:val="auto"/>
        </w:rPr>
      </w:pPr>
    </w:p>
    <w:p>
      <w:pPr>
        <w:ind w:left="900" w:right="40" w:hanging="446"/>
        <w:spacing w:after="0" w:line="259"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Certification of Targets</w:t>
      </w:r>
      <w:r>
        <w:rPr>
          <w:rFonts w:ascii="Arial" w:cs="Arial" w:eastAsia="Arial" w:hAnsi="Arial"/>
          <w:sz w:val="18"/>
          <w:szCs w:val="18"/>
          <w:color w:val="auto"/>
        </w:rPr>
        <w:t>. A Participant otherwise entitled to receive a Performance-Based Compensation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Section 9(b), such exercise of discretion may not result in an increase in the amount of the payment.</w:t>
      </w:r>
    </w:p>
    <w:p>
      <w:pPr>
        <w:spacing w:after="0" w:line="92" w:lineRule="exact"/>
        <w:rPr>
          <w:rFonts w:ascii="Arial" w:cs="Arial" w:eastAsia="Arial" w:hAnsi="Arial"/>
          <w:sz w:val="18"/>
          <w:szCs w:val="18"/>
          <w:color w:val="auto"/>
        </w:rPr>
      </w:pPr>
    </w:p>
    <w:p>
      <w:pPr>
        <w:ind w:left="900" w:right="160" w:hanging="446"/>
        <w:spacing w:after="0" w:line="302"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Special Termination Rules</w:t>
      </w:r>
      <w:r>
        <w:rPr>
          <w:rFonts w:ascii="Arial" w:cs="Arial" w:eastAsia="Arial" w:hAnsi="Arial"/>
          <w:sz w:val="16"/>
          <w:szCs w:val="16"/>
          <w:color w:val="auto"/>
        </w:rPr>
        <w:t>. Subject to the other terms and conditions of the Plan, if an Award is intended to constitute Performance-Based 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w:t>
      </w:r>
    </w:p>
    <w:p>
      <w:pPr>
        <w:spacing w:after="0" w:line="4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Nothing in this Section 9 shall preclude the Committee from granting Awards under the Plan, or the Committee, Huron or any Affiliate from granting any cash awards outside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 To the extent that the provisions of this Section 9 reflect the requirements applicable to Performance-Based Compensation, such provisions shall not apply to the portion of an Award, if any, that is not intended to constitute Performance-Based Compensation.</w:t>
      </w:r>
    </w:p>
    <w:p>
      <w:pPr>
        <w:spacing w:after="0" w:line="56" w:lineRule="exact"/>
        <w:rPr>
          <w:sz w:val="20"/>
          <w:szCs w:val="20"/>
          <w:color w:val="auto"/>
        </w:rPr>
      </w:pPr>
    </w:p>
    <w:p>
      <w:pPr>
        <w:ind w:left="460" w:right="20" w:hanging="452"/>
        <w:spacing w:after="0" w:line="286" w:lineRule="auto"/>
        <w:tabs>
          <w:tab w:leader="none" w:pos="46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an Agreement or an Alternative Agreement, in the event that (a) a Participant is employed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all Options and Stock Appreciation Rights which are then outstanding shall become immediately exercisable and all other Awards shall become fully vested. If, (i) upon a Change of Control, awards in other shares or securities are 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 Participant shall not be treated as having terminated employment or service for purposes of this Section 10 until such time as the Participant terminates employment or service with the merged entity or purchaser (or successor), as applicable, and (ii) if, in connection with a Change of Control,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if the Participant does not accept the offer of employment and if, as a result, the Participant’s employment with Huron, the Affiliates and their respective successors is terminated, the Participant shall not be treated as having a termination of employment for purposes of this Section 10.</w:t>
      </w:r>
    </w:p>
    <w:p>
      <w:pPr>
        <w:spacing w:after="0" w:line="74" w:lineRule="exact"/>
        <w:rPr>
          <w:rFonts w:ascii="Arial" w:cs="Arial" w:eastAsia="Arial" w:hAnsi="Arial"/>
          <w:sz w:val="16"/>
          <w:szCs w:val="16"/>
          <w:b w:val="1"/>
          <w:bCs w:val="1"/>
          <w:color w:val="auto"/>
        </w:rPr>
      </w:pPr>
    </w:p>
    <w:p>
      <w:pPr>
        <w:ind w:left="460" w:right="80" w:hanging="452"/>
        <w:spacing w:after="0" w:line="281" w:lineRule="auto"/>
        <w:tabs>
          <w:tab w:leader="none" w:pos="46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Rights as a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No person shall have any rights as a stockholder with respect to any shares of Common Stock covered by or relating to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 until the date of issuance of a stock certificate with respect to such shares or the date of crediting such shares to such person’s account via book-entry transfer. Except for adjustments pursuant to Section 3(g), no adjustment to any Award shall be made for dividends or other rights for which the record date occurs prior to the date such stock certificate is issued or credit via book-entry transfer is made.</w:t>
      </w:r>
    </w:p>
    <w:p>
      <w:pPr>
        <w:spacing w:after="0" w:line="313" w:lineRule="exact"/>
        <w:rPr>
          <w:rFonts w:ascii="Arial" w:cs="Arial" w:eastAsia="Arial" w:hAnsi="Arial"/>
          <w:sz w:val="17"/>
          <w:szCs w:val="17"/>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of Implied Rights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right="6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No Right to Employment or Continued Service</w:t>
      </w:r>
      <w:r>
        <w:rPr>
          <w:rFonts w:ascii="Arial" w:cs="Arial" w:eastAsia="Arial" w:hAnsi="Arial"/>
          <w:sz w:val="18"/>
          <w:szCs w:val="18"/>
          <w:color w:val="auto"/>
        </w:rPr>
        <w:t>. Nothing contained in the Plan or any Agreement shall confer upon any Participant any right with 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446"/>
        <w:spacing w:after="0" w:line="264"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 Claim to Award</w:t>
      </w:r>
      <w:r>
        <w:rPr>
          <w:rFonts w:ascii="Arial" w:cs="Arial" w:eastAsia="Arial" w:hAnsi="Arial"/>
          <w:sz w:val="18"/>
          <w:szCs w:val="18"/>
          <w:color w:val="auto"/>
        </w:rPr>
        <w:t>. No person shall have any claim or right to receive an Award hereunder. The grant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86" w:lineRule="exact"/>
        <w:rPr>
          <w:rFonts w:ascii="Arial" w:cs="Arial" w:eastAsia="Arial" w:hAnsi="Arial"/>
          <w:sz w:val="18"/>
          <w:szCs w:val="18"/>
          <w:color w:val="auto"/>
        </w:rPr>
      </w:pPr>
    </w:p>
    <w:p>
      <w:pPr>
        <w:ind w:left="900" w:hanging="446"/>
        <w:spacing w:after="0" w:line="297" w:lineRule="auto"/>
        <w:tabs>
          <w:tab w:leader="none" w:pos="90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No Right to Assets or Property</w:t>
      </w:r>
      <w:r>
        <w:rPr>
          <w:rFonts w:ascii="Arial" w:cs="Arial" w:eastAsia="Arial" w:hAnsi="Arial"/>
          <w:sz w:val="16"/>
          <w:szCs w:val="16"/>
          <w:color w:val="auto"/>
        </w:rPr>
        <w:t>. Neither a Participant nor any other person shall, by reason of the Plan, acquire any right in or title to any assets, funds or property of Huron or any Affiliate whatsoever, including, without limitation, any specific funds, assets, or other property which Huron or any Affiliate, in its sole discretion, may set 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302" w:lineRule="exact"/>
        <w:rPr>
          <w:rFonts w:ascii="Arial" w:cs="Arial" w:eastAsia="Arial" w:hAnsi="Arial"/>
          <w:sz w:val="16"/>
          <w:szCs w:val="16"/>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Matters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right="20" w:hanging="446"/>
        <w:spacing w:after="0" w:line="291"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Notwithstanding anything herein to the contrary, Huron shall not be obligated to cause to be issued or delivered any 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 The Committee may require, as a condition of the issuance and delivery of certificates (or crediting to an account) pursuant to the terms hereof, that the recipient of such shares make such agreements and representations, and that, if applicable, such certificates bear such legends, as the Committee, in its sole discretion, deems necessary or advisable.</w:t>
      </w:r>
    </w:p>
    <w:p>
      <w:pPr>
        <w:spacing w:after="0" w:line="72" w:lineRule="exact"/>
        <w:rPr>
          <w:rFonts w:ascii="Arial" w:cs="Arial" w:eastAsia="Arial" w:hAnsi="Arial"/>
          <w:sz w:val="16"/>
          <w:szCs w:val="16"/>
          <w:color w:val="auto"/>
        </w:rPr>
      </w:pPr>
    </w:p>
    <w:p>
      <w:pPr>
        <w:ind w:left="900" w:right="20" w:hanging="446"/>
        <w:spacing w:after="0" w:line="271" w:lineRule="auto"/>
        <w:tabs>
          <w:tab w:leader="none" w:pos="900"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Transfer of Shares</w:t>
      </w:r>
      <w:r>
        <w:rPr>
          <w:rFonts w:ascii="Arial" w:cs="Arial" w:eastAsia="Arial" w:hAnsi="Arial"/>
          <w:sz w:val="17"/>
          <w:szCs w:val="17"/>
          <w:color w:val="auto"/>
        </w:rPr>
        <w:t>. The transfer of any shares of Common Stock hereunder shall be effective only at such time as counsel to Huron (which may be Huron’s in-house counsel)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80" w:lineRule="exact"/>
        <w:rPr>
          <w:rFonts w:ascii="Arial" w:cs="Arial" w:eastAsia="Arial" w:hAnsi="Arial"/>
          <w:sz w:val="17"/>
          <w:szCs w:val="17"/>
          <w:color w:val="auto"/>
        </w:rPr>
      </w:pPr>
    </w:p>
    <w:p>
      <w:pPr>
        <w:ind w:left="460" w:right="280" w:hanging="452"/>
        <w:spacing w:after="0" w:line="261" w:lineRule="auto"/>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and other payments under the Plan are subject to withholding of all applicable taxes. Whenever cash is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Award, Huron and the Affiliates shall have the right to deduct therefrom an amount sufficient to satisfy any federal, state and local withholding tax requirements related thereto. Whenever shares of Common Stock are to be delivered pursuant to an Award, Huron and the Affiliates shall have the right to require the Participant to remit to Huron and the Affiliates in cash 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amount sufficient to satisfy any federal, state and local withholding tax requirements related thereto. 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 provided, however, that previously-owned shares of Common Stock that have been held by the Participant or shares to which the Participant is entitled under the Plan may only be used to satisfy the minimum tax withholding required by applicable law (or other rates that will not have a negative accounting impact). Any shares used to satisfy the withholding obligation shall be valued at their Fair Market Value on the date of which the amount of tax to be withheld is determined. Such a withholding election may be made with respect to all or any portion of the shares to be delivered pursuant to an Award.</w:t>
      </w:r>
    </w:p>
    <w:p>
      <w:pPr>
        <w:spacing w:after="0" w:line="80" w:lineRule="exact"/>
        <w:rPr>
          <w:sz w:val="20"/>
          <w:szCs w:val="20"/>
          <w:color w:val="auto"/>
        </w:rPr>
      </w:pPr>
    </w:p>
    <w:p>
      <w:pPr>
        <w:jc w:val="both"/>
        <w:ind w:left="460" w:right="280" w:hanging="452"/>
        <w:spacing w:after="0" w:line="266" w:lineRule="auto"/>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Notification of Election Under Section 83(b)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Participant shall, in connection with the acquisition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make the election permitted under Section 83(b) of the Code, such Participant shall notify Huron of such election within 10 days of filing notice of the election with the Internal Revenue Service.</w:t>
      </w:r>
    </w:p>
    <w:p>
      <w:pPr>
        <w:spacing w:after="0" w:line="81" w:lineRule="exact"/>
        <w:rPr>
          <w:rFonts w:ascii="Arial" w:cs="Arial" w:eastAsia="Arial" w:hAnsi="Arial"/>
          <w:sz w:val="18"/>
          <w:szCs w:val="18"/>
          <w:b w:val="1"/>
          <w:bCs w:val="1"/>
          <w:color w:val="auto"/>
        </w:rPr>
      </w:pPr>
    </w:p>
    <w:p>
      <w:pPr>
        <w:ind w:left="460" w:right="20" w:hanging="452"/>
        <w:spacing w:after="0" w:line="292" w:lineRule="auto"/>
        <w:tabs>
          <w:tab w:leader="none" w:pos="46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or Termination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may, at any time, suspend or terminate the Plan or revise or amend it in any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provided, however, that approval of Huron’s stockholders shall be required for any such amendment if and to the extent such approval is required in order to comply with applicable law (including, but not limited to, the Incentive Stock Option regulations and any amendments thereto), or stock exchange or automated quotation system listing requirement. Without limiting the generality of the foregoing, no amendment of the Plan will be made without the approval of Huron’s stockholders if such amendment would (a) materially increase the benefits accruing to a Participant under the Plan; (b) increase the aggregate number of shares of Common Stock that may be issued under the Plan; (c) modify the requirements as to eligibility for participation in the Plan; or (d) be required under Section 7(e) of the Plan (relating to prohibitions on repricing and buy-backs).</w:t>
      </w:r>
    </w:p>
    <w:p>
      <w:pPr>
        <w:spacing w:after="0" w:line="5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Nothing in this Section 16 shall restrict the Committee’s ability to exercise its discretionary authority pursuant to Sections 4</w:t>
      </w:r>
    </w:p>
    <w:p>
      <w:pPr>
        <w:spacing w:after="0" w:line="23" w:lineRule="exact"/>
        <w:rPr>
          <w:rFonts w:ascii="Arial" w:cs="Arial" w:eastAsia="Arial" w:hAnsi="Arial"/>
          <w:sz w:val="16"/>
          <w:szCs w:val="16"/>
          <w:b w:val="1"/>
          <w:bCs w:val="1"/>
          <w:color w:val="auto"/>
        </w:rPr>
      </w:pPr>
    </w:p>
    <w:p>
      <w:pPr>
        <w:ind w:left="460" w:right="2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and 5, which discretion may be exercised without amendment to the Plan. No action hereunder may, without the consent of a Participant, reduce the Participant’s rights under any outstanding Award.</w:t>
      </w:r>
    </w:p>
    <w:p>
      <w:pPr>
        <w:spacing w:after="0" w:line="328" w:lineRule="exact"/>
        <w:rPr>
          <w:rFonts w:ascii="Arial" w:cs="Arial" w:eastAsia="Arial" w:hAnsi="Arial"/>
          <w:sz w:val="16"/>
          <w:szCs w:val="16"/>
          <w:b w:val="1"/>
          <w:bCs w:val="1"/>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right="80" w:hanging="446"/>
        <w:spacing w:after="0" w:line="291"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Awards under the Plan are not transferable except as designated by the Participant by will or by the laws of descent and distribution. 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Huron unless the Committee shall have been furnished with (i) written notice thereof and with a copy of the will and/or such evidence as the Committee may deem necessary to establish the validity of the transfer and (ii)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1" w:lineRule="auto"/>
        <w:tabs>
          <w:tab w:leader="none" w:pos="900"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Family Members</w:t>
      </w:r>
      <w:r>
        <w:rPr>
          <w:rFonts w:ascii="Arial" w:cs="Arial" w:eastAsia="Arial" w:hAnsi="Arial"/>
          <w:sz w:val="17"/>
          <w:szCs w:val="17"/>
          <w:color w:val="auto"/>
        </w:rPr>
        <w:t>. Notwithstanding Section 17(a), during a Participant’s lifetime, the Committee may, in its sole discretion, pursuant to the provisions set forth in this Section 17(b), permit the transfer, assignment or other encumbrance of an outstanding Option, unless such Option is an Incentive Stock Option and the Committee and the Participant intend that it shall retain such status. 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terms and conditions of the Plan.</w:t>
      </w:r>
    </w:p>
    <w:p>
      <w:pPr>
        <w:spacing w:after="0" w:line="84" w:lineRule="exact"/>
        <w:rPr>
          <w:rFonts w:ascii="Arial" w:cs="Arial" w:eastAsia="Arial" w:hAnsi="Arial"/>
          <w:sz w:val="17"/>
          <w:szCs w:val="17"/>
          <w:color w:val="auto"/>
        </w:rPr>
      </w:pPr>
    </w:p>
    <w:p>
      <w:pPr>
        <w:ind w:left="900" w:right="160" w:hanging="446"/>
        <w:spacing w:after="0" w:line="264"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325"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document required to be filed with the Committee under the Plan will be properly filed if delivered or mailed by registered 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92"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Form and Time of Elections</w:t>
      </w:r>
      <w:r>
        <w:rPr>
          <w:rFonts w:ascii="Arial" w:cs="Arial" w:eastAsia="Arial" w:hAnsi="Arial"/>
          <w:sz w:val="18"/>
          <w:szCs w:val="18"/>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92" w:lineRule="exact"/>
        <w:rPr>
          <w:rFonts w:ascii="Arial" w:cs="Arial" w:eastAsia="Arial" w:hAnsi="Arial"/>
          <w:sz w:val="18"/>
          <w:szCs w:val="18"/>
          <w:color w:val="auto"/>
        </w:rPr>
      </w:pPr>
    </w:p>
    <w:p>
      <w:pPr>
        <w:ind w:left="900" w:right="340" w:hanging="446"/>
        <w:spacing w:after="0" w:line="277"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The Committee may require a Participant to enter into an Agreement evidencing the Award, which Agreement shall contain such terms and conditions, not inconsistent with the Plan, as the Committee determines in its discretion.</w:t>
      </w:r>
    </w:p>
    <w:p>
      <w:pPr>
        <w:spacing w:after="0" w:line="75" w:lineRule="exact"/>
        <w:rPr>
          <w:rFonts w:ascii="Arial" w:cs="Arial" w:eastAsia="Arial" w:hAnsi="Arial"/>
          <w:sz w:val="18"/>
          <w:szCs w:val="18"/>
          <w:color w:val="auto"/>
        </w:rPr>
      </w:pPr>
    </w:p>
    <w:p>
      <w:pPr>
        <w:ind w:left="900" w:right="80" w:hanging="446"/>
        <w:spacing w:after="0" w:line="312"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Liability for Cash Payments</w:t>
      </w:r>
      <w:r>
        <w:rPr>
          <w:rFonts w:ascii="Arial" w:cs="Arial" w:eastAsia="Arial" w:hAnsi="Arial"/>
          <w:sz w:val="16"/>
          <w:szCs w:val="16"/>
          <w:color w:val="auto"/>
        </w:rPr>
        <w:t>. Subject to the terms and conditions of the Plan, Huron and each Affiliate shall be liable for payment of cash due under the Plan with respect to any Participant to the extent that such benefits are attributable to the service rendered for Huron or the Affiliate, as applicable, by the Participant. Any disputes relating to liability of Huron or an Affiliate for cash payments shall be resolved by the Committee.</w:t>
      </w:r>
    </w:p>
    <w:p>
      <w:pPr>
        <w:spacing w:after="0" w:line="52" w:lineRule="exact"/>
        <w:rPr>
          <w:rFonts w:ascii="Arial" w:cs="Arial" w:eastAsia="Arial" w:hAnsi="Arial"/>
          <w:sz w:val="16"/>
          <w:szCs w:val="16"/>
          <w:color w:val="auto"/>
        </w:rPr>
      </w:pPr>
    </w:p>
    <w:p>
      <w:pPr>
        <w:ind w:left="900" w:right="60" w:hanging="446"/>
        <w:spacing w:after="0" w:line="277"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r>
        <w:rPr>
          <w:rFonts w:ascii="Arial" w:cs="Arial" w:eastAsia="Arial" w:hAnsi="Arial"/>
          <w:sz w:val="18"/>
          <w:szCs w:val="18"/>
          <w:color w:val="auto"/>
        </w:rPr>
        <w:t>. The expenses of the Plan shall be paid by Huron. Any proceeds received by Huron in connection with any Award may be used for general corporate purposes.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Except to the extent preempted by any applicable federal law, the Plan shall be construed and administered in accordance with the laws of the State of Delaware without reference to its principles of conflicts of law.</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82" w:lineRule="exact"/>
        <w:rPr>
          <w:rFonts w:ascii="Arial" w:cs="Arial" w:eastAsia="Arial" w:hAnsi="Arial"/>
          <w:sz w:val="18"/>
          <w:szCs w:val="18"/>
          <w:color w:val="auto"/>
        </w:rPr>
      </w:pPr>
    </w:p>
    <w:p>
      <w:pPr>
        <w:ind w:left="580" w:right="360" w:hanging="572"/>
        <w:spacing w:after="0" w:line="282" w:lineRule="auto"/>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 Plan is held to be invalid or unenforceable, the other provisions of the Plan shall not be affected but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applied as if the invalid or unenforceable provision had not been included in the Plan.</w:t>
      </w:r>
    </w:p>
    <w:p>
      <w:pPr>
        <w:spacing w:after="0" w:line="67" w:lineRule="exact"/>
        <w:rPr>
          <w:rFonts w:ascii="Arial" w:cs="Arial" w:eastAsia="Arial" w:hAnsi="Arial"/>
          <w:sz w:val="18"/>
          <w:szCs w:val="18"/>
          <w:b w:val="1"/>
          <w:bCs w:val="1"/>
          <w:color w:val="auto"/>
        </w:rPr>
      </w:pPr>
    </w:p>
    <w:p>
      <w:pPr>
        <w:ind w:left="580" w:right="180" w:hanging="572"/>
        <w:spacing w:after="0" w:line="258" w:lineRule="auto"/>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Foreign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Plan to the contrary, the Committee may grant Awards to eligible persons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Huron or an Affiliate operates or has employees.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-139065</wp:posOffset>
            </wp:positionV>
            <wp:extent cx="1972310" cy="866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7231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Electronic Voting Instructions</w:t>
      </w:r>
    </w:p>
    <w:p>
      <w:pPr>
        <w:spacing w:after="0" w:line="71"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You can vote by Internet!</w:t>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51"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Instead of mailing your proxy, you may choose the voting method outlined below to vote</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your proxy.</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VALIDATION DETAILS ARE LOCATED BELOW IN THE TITLE BAR.</w:t>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2"/>
          <w:szCs w:val="12"/>
          <w:b w:val="1"/>
          <w:bCs w:val="1"/>
          <w:color w:val="auto"/>
        </w:rPr>
        <w:t>Proxies submitted by the Internet must be received by 1:00 a.m., Central Daylight</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Savings Time, on May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69850</wp:posOffset>
            </wp:positionV>
            <wp:extent cx="531495" cy="548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1495" cy="548640"/>
                    </a:xfrm>
                    <a:prstGeom prst="rect">
                      <a:avLst/>
                    </a:prstGeom>
                    <a:noFill/>
                  </pic:spPr>
                </pic:pic>
              </a:graphicData>
            </a:graphic>
          </wp:anchor>
        </w:drawing>
      </w:r>
    </w:p>
    <w:p>
      <w:pPr>
        <w:spacing w:after="0" w:line="111"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Vote by Internet</w:t>
      </w:r>
    </w:p>
    <w:p>
      <w:pPr>
        <w:spacing w:after="0" w:line="79"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www.envisionreports.com/HURN</w:t>
      </w:r>
    </w:p>
    <w:p>
      <w:pPr>
        <w:spacing w:after="0" w:line="58"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 Or scan the QR code with your smartphone</w:t>
      </w:r>
    </w:p>
    <w:p>
      <w:pPr>
        <w:spacing w:after="0" w:line="28" w:lineRule="exact"/>
        <w:rPr>
          <w:sz w:val="20"/>
          <w:szCs w:val="20"/>
          <w:color w:val="auto"/>
        </w:rPr>
      </w:pPr>
    </w:p>
    <w:p>
      <w:pPr>
        <w:ind w:left="7240"/>
        <w:spacing w:after="0"/>
        <w:rPr>
          <w:sz w:val="20"/>
          <w:szCs w:val="20"/>
          <w:color w:val="auto"/>
        </w:rPr>
      </w:pPr>
      <w:r>
        <w:rPr>
          <w:rFonts w:ascii="Arial" w:cs="Arial" w:eastAsia="Arial" w:hAnsi="Arial"/>
          <w:sz w:val="14"/>
          <w:szCs w:val="14"/>
          <w:color w:val="auto"/>
        </w:rPr>
        <w:t>• Follow the steps outlined on the secure website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26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760" w:type="dxa"/>
            <w:vAlign w:val="bottom"/>
            <w:vMerge w:val="restart"/>
          </w:tcPr>
          <w:p>
            <w:pPr>
              <w:ind w:left="48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-139065</wp:posOffset>
            </wp:positionV>
            <wp:extent cx="1629410"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9410" cy="222885"/>
                    </a:xfrm>
                    <a:prstGeom prst="rect">
                      <a:avLst/>
                    </a:prstGeom>
                    <a:noFill/>
                  </pic:spPr>
                </pic:pic>
              </a:graphicData>
            </a:graphic>
          </wp:anchor>
        </w:drawing>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YOU HAVE NOT VOTED VIA THE INTERNET, FOLD ALONG THE PERFORATION, DETACH AND RETURN THE BOTTOM PORTION IN THE ENCLOSED ENVELOPE.</w:t>
      </w:r>
      <w:r>
        <w:rPr>
          <w:rFonts w:ascii="Arial" w:cs="Arial" w:eastAsia="Arial" w:hAnsi="Arial"/>
          <w:sz w:val="12"/>
          <w:szCs w:val="12"/>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51435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51435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51435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51435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51435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51435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51435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51435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51435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51435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51435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51435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51435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51435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51435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51435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51435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51435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51435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51435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51435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51435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51435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51435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51435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51435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51435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51435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51435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51435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51435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51435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51435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51435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51435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51435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51435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51435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51435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51435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51435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51435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51435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51435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51435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51435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51435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51435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51435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51435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51435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51435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51435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51435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51435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51435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51435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51435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51435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51435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51435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51435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51435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51435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51435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51435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51435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51435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51435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51435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51435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51435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51435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51435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51435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51435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51435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51435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51435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51435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51435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51435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51435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51435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51435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51435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51435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51435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51435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51435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51435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51435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51435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51435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51435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51435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51435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51435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51435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51435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51435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51435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51435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51435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51435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51435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51435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51435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51435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51435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51435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51435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51435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51435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51435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51435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51435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51435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51435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51435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51435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51435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51435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51435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51435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51435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51435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51435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51435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51435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51435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51435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51435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51435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51435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51435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51435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51435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51435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51435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51435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51435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51435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51435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51435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51435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51435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51435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51435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51435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51435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51435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51435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51435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51435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51435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51435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51435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51435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51435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51435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51435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51435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51435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51435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51435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51435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51435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51435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51435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51435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51435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51435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51435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51435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51435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51435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51435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51435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51435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51435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51435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51435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51435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51435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51435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51435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51435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51435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51435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51435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51435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51435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51435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51435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51435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51435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51435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51435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51435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51435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51435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51435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51435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51435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51435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51435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51435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51435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51435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51435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51435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51435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51435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51435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51435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51435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51435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51435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51435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51435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51435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51435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51435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51435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51435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51435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51435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51435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51435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51435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51435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51435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51435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51435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51435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51435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51435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51435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51435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51435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51435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51435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51435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51435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51435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51435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51435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51435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51435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51435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51435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51435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51435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51435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51435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51435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51435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51435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51435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51435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51435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51435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51435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51435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51435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51435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51435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51435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51435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51435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51435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51435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51435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51435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51435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51435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51435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51435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51435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51435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51435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51435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51435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51435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51435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51435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51435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51435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51435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51435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51435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51435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51435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51435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51435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51435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51435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51435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51435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51435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51435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51435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51435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51435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51435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51435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51435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51435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51435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51435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51435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51435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51435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51435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51435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51435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51435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51435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51435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51435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51435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51435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51435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51435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51435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51435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51435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51435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51435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51435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51435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51435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51435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51435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51435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51435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51435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51435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51435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51435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51435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51435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51435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51435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51435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51435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51435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51435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51435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51435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51435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51435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51435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51435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51435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51435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51435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51435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51435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51435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51435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51435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51435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51435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51435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51435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51435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51435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51435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51435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51435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51435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51435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51435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51435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51435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51435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51435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51435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51435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51435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51435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51435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51435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51435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51435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51435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51435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51435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51435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51435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51435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51435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51435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51435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51435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51435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51435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51435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51435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51435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51435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51435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51435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51435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51435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51435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51435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51435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51435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51435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51435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51435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51435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51435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51435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51435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51435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51435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51435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104" w:lineRule="exact"/>
        <w:rPr>
          <w:sz w:val="20"/>
          <w:szCs w:val="20"/>
          <w:color w:val="auto"/>
        </w:rPr>
      </w:pPr>
    </w:p>
    <w:p>
      <w:pPr>
        <w:ind w:left="420" w:hanging="367"/>
        <w:spacing w:after="0"/>
        <w:tabs>
          <w:tab w:leader="none" w:pos="420" w:val="left"/>
        </w:tabs>
        <w:numPr>
          <w:ilvl w:val="0"/>
          <w:numId w:val="99"/>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Board recommends a vote FOR all nominees, FOR Proposals 2,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160" cy="1289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0" w:type="dxa"/>
            <w:vAlign w:val="bottom"/>
          </w:tcPr>
          <w:p>
            <w:pPr>
              <w:jc w:val="right"/>
              <w:spacing w:after="0" w:line="115" w:lineRule="exact"/>
              <w:rPr>
                <w:sz w:val="20"/>
                <w:szCs w:val="20"/>
                <w:color w:val="auto"/>
              </w:rPr>
            </w:pPr>
            <w:r>
              <w:rPr>
                <w:rFonts w:ascii="Arial" w:cs="Arial" w:eastAsia="Arial" w:hAnsi="Arial"/>
                <w:sz w:val="12"/>
                <w:szCs w:val="12"/>
                <w:color w:val="auto"/>
                <w:w w:val="99"/>
              </w:rPr>
              <w:t>1.</w:t>
            </w:r>
          </w:p>
        </w:tc>
        <w:tc>
          <w:tcPr>
            <w:tcW w:w="3100" w:type="dxa"/>
            <w:vAlign w:val="bottom"/>
          </w:tcPr>
          <w:p>
            <w:pPr>
              <w:ind w:left="160"/>
              <w:spacing w:after="0" w:line="115" w:lineRule="exact"/>
              <w:rPr>
                <w:sz w:val="20"/>
                <w:szCs w:val="20"/>
                <w:color w:val="auto"/>
              </w:rPr>
            </w:pPr>
            <w:r>
              <w:rPr>
                <w:rFonts w:ascii="Arial" w:cs="Arial" w:eastAsia="Arial" w:hAnsi="Arial"/>
                <w:sz w:val="12"/>
                <w:szCs w:val="12"/>
                <w:color w:val="auto"/>
              </w:rPr>
              <w:t>Election of Directors:</w:t>
            </w:r>
          </w:p>
        </w:tc>
        <w:tc>
          <w:tcPr>
            <w:tcW w:w="30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For</w:t>
            </w:r>
          </w:p>
        </w:tc>
        <w:tc>
          <w:tcPr>
            <w:tcW w:w="840" w:type="dxa"/>
            <w:vAlign w:val="bottom"/>
            <w:gridSpan w:val="3"/>
          </w:tcPr>
          <w:p>
            <w:pPr>
              <w:jc w:val="center"/>
              <w:ind w:right="85"/>
              <w:spacing w:after="0" w:line="115" w:lineRule="exact"/>
              <w:rPr>
                <w:sz w:val="20"/>
                <w:szCs w:val="20"/>
                <w:color w:val="auto"/>
              </w:rPr>
            </w:pPr>
            <w:r>
              <w:rPr>
                <w:rFonts w:ascii="Arial" w:cs="Arial" w:eastAsia="Arial" w:hAnsi="Arial"/>
                <w:sz w:val="12"/>
                <w:szCs w:val="12"/>
                <w:b w:val="1"/>
                <w:bCs w:val="1"/>
                <w:color w:val="auto"/>
              </w:rPr>
              <w:t>Withhold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ind w:left="1060"/>
              <w:spacing w:after="0" w:line="115" w:lineRule="exact"/>
              <w:rPr>
                <w:sz w:val="20"/>
                <w:szCs w:val="20"/>
                <w:color w:val="auto"/>
              </w:rPr>
            </w:pPr>
            <w:r>
              <w:rPr>
                <w:rFonts w:ascii="Arial" w:cs="Arial" w:eastAsia="Arial" w:hAnsi="Arial"/>
                <w:sz w:val="12"/>
                <w:szCs w:val="12"/>
                <w:b w:val="1"/>
                <w:bCs w:val="1"/>
                <w:color w:val="auto"/>
              </w:rPr>
              <w:t>For</w:t>
            </w:r>
          </w:p>
        </w:tc>
        <w:tc>
          <w:tcPr>
            <w:tcW w:w="1620" w:type="dxa"/>
            <w:vAlign w:val="bottom"/>
          </w:tcPr>
          <w:p>
            <w:pPr>
              <w:jc w:val="center"/>
              <w:ind w:right="835"/>
              <w:spacing w:after="0" w:line="115" w:lineRule="exact"/>
              <w:rPr>
                <w:sz w:val="20"/>
                <w:szCs w:val="20"/>
                <w:color w:val="auto"/>
              </w:rPr>
            </w:pPr>
            <w:r>
              <w:rPr>
                <w:rFonts w:ascii="Arial" w:cs="Arial" w:eastAsia="Arial" w:hAnsi="Arial"/>
                <w:sz w:val="12"/>
                <w:szCs w:val="12"/>
                <w:b w:val="1"/>
                <w:bCs w:val="1"/>
                <w:color w:val="auto"/>
              </w:rPr>
              <w:t>Withhold</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100" w:type="dxa"/>
            <w:vAlign w:val="bottom"/>
          </w:tcPr>
          <w:p>
            <w:pPr>
              <w:ind w:left="300"/>
              <w:spacing w:after="0"/>
              <w:rPr>
                <w:sz w:val="20"/>
                <w:szCs w:val="20"/>
                <w:color w:val="auto"/>
              </w:rPr>
            </w:pPr>
            <w:r>
              <w:rPr>
                <w:rFonts w:ascii="Arial" w:cs="Arial" w:eastAsia="Arial" w:hAnsi="Arial"/>
                <w:sz w:val="14"/>
                <w:szCs w:val="14"/>
                <w:color w:val="auto"/>
              </w:rPr>
              <w:t>01 - H. Eugene Lockhart</w:t>
            </w:r>
          </w:p>
        </w:tc>
        <w:tc>
          <w:tcPr>
            <w:tcW w:w="300" w:type="dxa"/>
            <w:vAlign w:val="bottom"/>
            <w:vMerge w:val="restart"/>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180" w:type="dxa"/>
            <w:vAlign w:val="bottom"/>
          </w:tcPr>
          <w:p>
            <w:pPr>
              <w:spacing w:after="0"/>
              <w:rPr>
                <w:sz w:val="18"/>
                <w:szCs w:val="18"/>
                <w:color w:val="auto"/>
              </w:rPr>
            </w:pPr>
          </w:p>
        </w:tc>
        <w:tc>
          <w:tcPr>
            <w:tcW w:w="660" w:type="dxa"/>
            <w:vAlign w:val="bottom"/>
            <w:gridSpan w:val="2"/>
            <w:vMerge w:val="restart"/>
          </w:tcPr>
          <w:p>
            <w:pPr>
              <w:jc w:val="center"/>
              <w:ind w:right="245"/>
              <w:spacing w:after="0" w:line="221" w:lineRule="exact"/>
              <w:rPr>
                <w:sz w:val="20"/>
                <w:szCs w:val="20"/>
                <w:color w:val="auto"/>
              </w:rPr>
            </w:pPr>
            <w:r>
              <w:rPr>
                <w:rFonts w:ascii="MS PGothic" w:cs="MS PGothic" w:eastAsia="MS PGothic" w:hAnsi="MS PGothic"/>
                <w:sz w:val="22"/>
                <w:szCs w:val="22"/>
                <w:color w:val="auto"/>
                <w:w w:val="90"/>
              </w:rPr>
              <w:t>☐</w:t>
            </w:r>
          </w:p>
        </w:tc>
        <w:tc>
          <w:tcPr>
            <w:tcW w:w="1460" w:type="dxa"/>
            <w:vAlign w:val="bottom"/>
            <w:gridSpan w:val="4"/>
          </w:tcPr>
          <w:p>
            <w:pPr>
              <w:spacing w:after="0"/>
              <w:rPr>
                <w:sz w:val="20"/>
                <w:szCs w:val="20"/>
                <w:color w:val="auto"/>
              </w:rPr>
            </w:pPr>
            <w:r>
              <w:rPr>
                <w:rFonts w:ascii="Arial" w:cs="Arial" w:eastAsia="Arial" w:hAnsi="Arial"/>
                <w:sz w:val="14"/>
                <w:szCs w:val="14"/>
                <w:color w:val="auto"/>
                <w:w w:val="96"/>
              </w:rPr>
              <w:t>02 - George E. Massaro</w:t>
            </w:r>
          </w:p>
        </w:tc>
        <w:tc>
          <w:tcPr>
            <w:tcW w:w="220" w:type="dxa"/>
            <w:vAlign w:val="bottom"/>
          </w:tcPr>
          <w:p>
            <w:pPr>
              <w:spacing w:after="0"/>
              <w:rPr>
                <w:sz w:val="18"/>
                <w:szCs w:val="18"/>
                <w:color w:val="auto"/>
              </w:rPr>
            </w:pPr>
          </w:p>
        </w:tc>
        <w:tc>
          <w:tcPr>
            <w:tcW w:w="1340" w:type="dxa"/>
            <w:vAlign w:val="bottom"/>
            <w:vMerge w:val="restart"/>
          </w:tcPr>
          <w:p>
            <w:pPr>
              <w:ind w:left="108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vMerge w:val="restart"/>
          </w:tcPr>
          <w:p>
            <w:pPr>
              <w:jc w:val="center"/>
              <w:ind w:right="835"/>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4"/>
                <w:szCs w:val="14"/>
                <w:b w:val="1"/>
                <w:bCs w:val="1"/>
                <w:color w:val="auto"/>
                <w:w w:val="88"/>
              </w:rPr>
              <w:t>For</w:t>
            </w:r>
          </w:p>
        </w:tc>
        <w:tc>
          <w:tcPr>
            <w:tcW w:w="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Abstain</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3100" w:type="dxa"/>
            <w:vAlign w:val="bottom"/>
          </w:tcPr>
          <w:p>
            <w:pPr>
              <w:ind w:left="60"/>
              <w:spacing w:after="0"/>
              <w:rPr>
                <w:sz w:val="20"/>
                <w:szCs w:val="20"/>
                <w:color w:val="auto"/>
              </w:rPr>
            </w:pPr>
            <w:r>
              <w:rPr>
                <w:rFonts w:ascii="Arial" w:cs="Arial" w:eastAsia="Arial" w:hAnsi="Arial"/>
                <w:sz w:val="14"/>
                <w:szCs w:val="14"/>
                <w:color w:val="auto"/>
                <w:w w:val="95"/>
              </w:rPr>
              <w:t>To approve an amendment to the Company’s 2012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w w:val="81"/>
              </w:rPr>
              <w:t>☐</w:t>
            </w:r>
          </w:p>
        </w:tc>
        <w:tc>
          <w:tcPr>
            <w:tcW w:w="100" w:type="dxa"/>
            <w:vAlign w:val="bottom"/>
          </w:tcPr>
          <w:p>
            <w:pPr>
              <w:spacing w:after="0"/>
              <w:rPr>
                <w:sz w:val="21"/>
                <w:szCs w:val="21"/>
                <w:color w:val="auto"/>
              </w:rPr>
            </w:pP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20" w:type="dxa"/>
            <w:vAlign w:val="bottom"/>
            <w:gridSpan w:val="2"/>
            <w:vMerge w:val="restart"/>
          </w:tcPr>
          <w:p>
            <w:pPr>
              <w:jc w:val="center"/>
              <w:ind w:right="40"/>
              <w:spacing w:after="0" w:line="221" w:lineRule="exact"/>
              <w:rPr>
                <w:sz w:val="20"/>
                <w:szCs w:val="20"/>
                <w:color w:val="auto"/>
              </w:rPr>
            </w:pPr>
            <w:r>
              <w:rPr>
                <w:rFonts w:ascii="MS PGothic" w:cs="MS PGothic" w:eastAsia="MS PGothic" w:hAnsi="MS PGothic"/>
                <w:sz w:val="22"/>
                <w:szCs w:val="22"/>
                <w:color w:val="auto"/>
                <w:w w:val="90"/>
              </w:rPr>
              <w:t>☐</w:t>
            </w:r>
          </w:p>
        </w:tc>
        <w:tc>
          <w:tcPr>
            <w:tcW w:w="3180" w:type="dxa"/>
            <w:vAlign w:val="bottom"/>
            <w:gridSpan w:val="3"/>
          </w:tcPr>
          <w:p>
            <w:pPr>
              <w:ind w:left="20"/>
              <w:spacing w:after="0"/>
              <w:rPr>
                <w:sz w:val="20"/>
                <w:szCs w:val="20"/>
                <w:color w:val="auto"/>
              </w:rPr>
            </w:pPr>
            <w:r>
              <w:rPr>
                <w:rFonts w:ascii="Arial" w:cs="Arial" w:eastAsia="Arial" w:hAnsi="Arial"/>
                <w:sz w:val="14"/>
                <w:szCs w:val="14"/>
                <w:color w:val="auto"/>
                <w:w w:val="97"/>
              </w:rPr>
              <w:t>3.  Say on Pay - An advisory vote on the approval of</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3100" w:type="dxa"/>
            <w:vAlign w:val="bottom"/>
          </w:tcPr>
          <w:p>
            <w:pPr>
              <w:ind w:left="60"/>
              <w:spacing w:after="0"/>
              <w:rPr>
                <w:sz w:val="20"/>
                <w:szCs w:val="20"/>
                <w:color w:val="auto"/>
              </w:rPr>
            </w:pPr>
            <w:r>
              <w:rPr>
                <w:rFonts w:ascii="Arial" w:cs="Arial" w:eastAsia="Arial" w:hAnsi="Arial"/>
                <w:sz w:val="14"/>
                <w:szCs w:val="14"/>
                <w:color w:val="auto"/>
              </w:rPr>
              <w:t>Omnibus Incentive Plan.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gridSpan w:val="2"/>
          </w:tcPr>
          <w:p>
            <w:pPr>
              <w:ind w:left="20"/>
              <w:spacing w:after="0"/>
              <w:rPr>
                <w:sz w:val="20"/>
                <w:szCs w:val="20"/>
                <w:color w:val="auto"/>
              </w:rPr>
            </w:pPr>
            <w:r>
              <w:rPr>
                <w:rFonts w:ascii="Arial" w:cs="Arial" w:eastAsia="Arial" w:hAnsi="Arial"/>
                <w:sz w:val="14"/>
                <w:szCs w:val="14"/>
                <w:color w:val="auto"/>
              </w:rPr>
              <w:t>executive compensation.</w:t>
            </w:r>
          </w:p>
        </w:tc>
        <w:tc>
          <w:tcPr>
            <w:tcW w:w="0" w:type="dxa"/>
            <w:vAlign w:val="bottom"/>
          </w:tcPr>
          <w:p>
            <w:pPr>
              <w:spacing w:after="0"/>
              <w:rPr>
                <w:sz w:val="1"/>
                <w:szCs w:val="1"/>
                <w:color w:val="auto"/>
              </w:rPr>
            </w:pPr>
          </w:p>
        </w:tc>
      </w:tr>
      <w:tr>
        <w:trPr>
          <w:trHeight w:val="351"/>
        </w:trPr>
        <w:tc>
          <w:tcPr>
            <w:tcW w:w="18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3580" w:type="dxa"/>
            <w:vAlign w:val="bottom"/>
            <w:gridSpan w:val="3"/>
          </w:tcPr>
          <w:p>
            <w:pPr>
              <w:ind w:left="60"/>
              <w:spacing w:after="0"/>
              <w:rPr>
                <w:sz w:val="20"/>
                <w:szCs w:val="20"/>
                <w:color w:val="auto"/>
              </w:rPr>
            </w:pPr>
            <w:r>
              <w:rPr>
                <w:rFonts w:ascii="Arial" w:cs="Arial" w:eastAsia="Arial" w:hAnsi="Arial"/>
                <w:sz w:val="14"/>
                <w:szCs w:val="14"/>
                <w:color w:val="auto"/>
                <w:w w:val="97"/>
              </w:rPr>
              <w:t>To ratify the appointment of PricewaterhouseCoopers LLP</w:t>
            </w:r>
          </w:p>
        </w:tc>
        <w:tc>
          <w:tcPr>
            <w:tcW w:w="400" w:type="dxa"/>
            <w:vAlign w:val="bottom"/>
          </w:tcPr>
          <w:p>
            <w:pPr>
              <w:spacing w:after="0"/>
              <w:rPr>
                <w:sz w:val="24"/>
                <w:szCs w:val="24"/>
                <w:color w:val="auto"/>
              </w:rPr>
            </w:pPr>
          </w:p>
        </w:tc>
        <w:tc>
          <w:tcPr>
            <w:tcW w:w="260" w:type="dxa"/>
            <w:vAlign w:val="bottom"/>
            <w:vMerge w:val="restart"/>
          </w:tcPr>
          <w:p>
            <w:pPr>
              <w:ind w:left="60"/>
              <w:spacing w:after="0" w:line="221" w:lineRule="exact"/>
              <w:rPr>
                <w:sz w:val="20"/>
                <w:szCs w:val="20"/>
                <w:color w:val="auto"/>
              </w:rPr>
            </w:pPr>
            <w:r>
              <w:rPr>
                <w:rFonts w:ascii="MS PGothic" w:cs="MS PGothic" w:eastAsia="MS PGothic" w:hAnsi="MS PGothic"/>
                <w:sz w:val="22"/>
                <w:szCs w:val="22"/>
                <w:color w:val="auto"/>
                <w:w w:val="81"/>
              </w:rPr>
              <w:t>☐</w:t>
            </w:r>
          </w:p>
        </w:tc>
        <w:tc>
          <w:tcPr>
            <w:tcW w:w="100" w:type="dxa"/>
            <w:vAlign w:val="bottom"/>
          </w:tcPr>
          <w:p>
            <w:pPr>
              <w:spacing w:after="0"/>
              <w:rPr>
                <w:sz w:val="24"/>
                <w:szCs w:val="24"/>
                <w:color w:val="auto"/>
              </w:rPr>
            </w:pP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20" w:type="dxa"/>
            <w:vAlign w:val="bottom"/>
            <w:gridSpan w:val="2"/>
            <w:vMerge w:val="restart"/>
          </w:tcPr>
          <w:p>
            <w:pPr>
              <w:jc w:val="center"/>
              <w:ind w:right="40"/>
              <w:spacing w:after="0" w:line="221" w:lineRule="exact"/>
              <w:rPr>
                <w:sz w:val="20"/>
                <w:szCs w:val="20"/>
                <w:color w:val="auto"/>
              </w:rPr>
            </w:pPr>
            <w:r>
              <w:rPr>
                <w:rFonts w:ascii="MS PGothic" w:cs="MS PGothic" w:eastAsia="MS PGothic" w:hAnsi="MS PGothic"/>
                <w:sz w:val="22"/>
                <w:szCs w:val="22"/>
                <w:color w:val="auto"/>
                <w:w w:val="90"/>
              </w:rPr>
              <w:t>☐</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100" w:type="dxa"/>
            <w:vAlign w:val="bottom"/>
          </w:tcPr>
          <w:p>
            <w:pPr>
              <w:ind w:left="60"/>
              <w:spacing w:after="0" w:line="149" w:lineRule="exact"/>
              <w:rPr>
                <w:sz w:val="20"/>
                <w:szCs w:val="20"/>
                <w:color w:val="auto"/>
              </w:rPr>
            </w:pPr>
            <w:r>
              <w:rPr>
                <w:rFonts w:ascii="Arial" w:cs="Arial" w:eastAsia="Arial" w:hAnsi="Arial"/>
                <w:sz w:val="14"/>
                <w:szCs w:val="14"/>
                <w:color w:val="auto"/>
              </w:rPr>
              <w:t>as the Company’s independent registered public</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40"/>
        <w:spacing w:after="0" w:line="221" w:lineRule="auto"/>
        <w:rPr>
          <w:sz w:val="20"/>
          <w:szCs w:val="20"/>
          <w:color w:val="auto"/>
        </w:rPr>
      </w:pPr>
      <w:r>
        <w:rPr>
          <w:rFonts w:ascii="Arial" w:cs="Arial" w:eastAsia="Arial" w:hAnsi="Arial"/>
          <w:sz w:val="14"/>
          <w:szCs w:val="14"/>
          <w:color w:val="auto"/>
        </w:rPr>
        <w:t>accounting firm for the fiscal year ending December 31,</w:t>
      </w:r>
    </w:p>
    <w:p>
      <w:pPr>
        <w:ind w:left="240"/>
        <w:spacing w:after="0"/>
        <w:rPr>
          <w:sz w:val="20"/>
          <w:szCs w:val="20"/>
          <w:color w:val="auto"/>
        </w:rPr>
      </w:pPr>
      <w:r>
        <w:rPr>
          <w:rFonts w:ascii="Arial" w:cs="Arial" w:eastAsia="Arial" w:hAnsi="Arial"/>
          <w:sz w:val="14"/>
          <w:szCs w:val="14"/>
          <w:color w:val="auto"/>
        </w:rPr>
        <w:t>2014.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120"/>
        <w:spacing w:after="0"/>
        <w:rPr>
          <w:sz w:val="20"/>
          <w:szCs w:val="20"/>
          <w:color w:val="auto"/>
        </w:rPr>
      </w:pPr>
      <w:r>
        <w:rPr>
          <w:rFonts w:ascii="Arial" w:cs="Arial" w:eastAsia="Arial" w:hAnsi="Arial"/>
          <w:sz w:val="43"/>
          <w:szCs w:val="43"/>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60" w:val="left"/>
          <w:tab w:leader="none" w:pos="10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64" w:lineRule="exact"/>
        <w:rPr>
          <w:sz w:val="20"/>
          <w:szCs w:val="20"/>
          <w:color w:val="auto"/>
        </w:rPr>
      </w:pPr>
    </w:p>
    <w:p>
      <w:pPr>
        <w:spacing w:after="0" w:line="221" w:lineRule="exact"/>
        <w:tabs>
          <w:tab w:leader="none" w:pos="520" w:val="left"/>
          <w:tab w:leader="none" w:pos="12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133" w:lineRule="exact"/>
        <w:rPr>
          <w:sz w:val="20"/>
          <w:szCs w:val="20"/>
          <w:color w:val="auto"/>
        </w:rPr>
      </w:pPr>
    </w:p>
    <w:p>
      <w:pPr>
        <w:sectPr>
          <w:pgSz w:w="11900" w:h="16838" w:orient="portrait"/>
          <w:cols w:equalWidth="0" w:num="2">
            <w:col w:w="9060" w:space="620"/>
            <w:col w:w="1760"/>
          </w:cols>
          <w:pgMar w:left="240" w:top="459" w:right="219" w:bottom="1440" w:gutter="0" w:footer="0" w:header="0"/>
          <w:type w:val="continuous"/>
        </w:sectPr>
      </w:pPr>
    </w:p>
    <w:tbl>
      <w:tblPr>
        <w:tblLayout w:type="fixed"/>
        <w:tblInd w:w="10" w:type="dxa"/>
        <w:tblCellMar>
          <w:top w:w="0" w:type="dxa"/>
          <w:left w:w="0" w:type="dxa"/>
          <w:bottom w:w="0" w:type="dxa"/>
          <w:right w:w="0" w:type="dxa"/>
        </w:tblCellMar>
      </w:tblPr>
      <w:tr>
        <w:trPr>
          <w:trHeight w:val="207"/>
        </w:trPr>
        <w:tc>
          <w:tcPr>
            <w:tcW w:w="240" w:type="dxa"/>
            <w:vAlign w:val="bottom"/>
            <w:tcBorders>
              <w:left w:val="single" w:sz="8" w:color="auto"/>
            </w:tcBorders>
            <w:shd w:val="clear" w:color="auto" w:fill="000000"/>
          </w:tcPr>
          <w:p>
            <w:pPr>
              <w:ind w:left="60"/>
              <w:spacing w:after="0"/>
              <w:rPr>
                <w:sz w:val="20"/>
                <w:szCs w:val="20"/>
                <w:color w:val="auto"/>
              </w:rPr>
            </w:pPr>
            <w:r>
              <w:rPr>
                <w:rFonts w:ascii="Arial" w:cs="Arial" w:eastAsia="Arial" w:hAnsi="Arial"/>
                <w:sz w:val="18"/>
                <w:szCs w:val="18"/>
                <w:b w:val="1"/>
                <w:bCs w:val="1"/>
                <w:color w:val="FFFFFF"/>
              </w:rPr>
              <w:t>B</w:t>
            </w:r>
          </w:p>
        </w:tc>
        <w:tc>
          <w:tcPr>
            <w:tcW w:w="4640" w:type="dxa"/>
            <w:vAlign w:val="bottom"/>
            <w:gridSpan w:val="2"/>
          </w:tcPr>
          <w:p>
            <w:pPr>
              <w:ind w:left="220"/>
              <w:spacing w:after="0"/>
              <w:rPr>
                <w:sz w:val="20"/>
                <w:szCs w:val="20"/>
                <w:color w:val="auto"/>
              </w:rPr>
            </w:pPr>
            <w:r>
              <w:rPr>
                <w:rFonts w:ascii="Arial" w:cs="Arial" w:eastAsia="Arial" w:hAnsi="Arial"/>
                <w:sz w:val="18"/>
                <w:szCs w:val="18"/>
                <w:b w:val="1"/>
                <w:bCs w:val="1"/>
                <w:color w:val="auto"/>
              </w:rPr>
              <w:t>Non-Voting Items</w:t>
            </w:r>
          </w:p>
        </w:tc>
        <w:tc>
          <w:tcPr>
            <w:tcW w:w="3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Comments </w:t>
            </w:r>
            <w:r>
              <w:rPr>
                <w:rFonts w:ascii="Arial" w:cs="Arial" w:eastAsia="Arial" w:hAnsi="Arial"/>
                <w:sz w:val="14"/>
                <w:szCs w:val="14"/>
                <w:color w:val="auto"/>
              </w:rPr>
              <w:t>— Please print your comments below.</w:t>
            </w:r>
          </w:p>
        </w:tc>
        <w:tc>
          <w:tcPr>
            <w:tcW w:w="2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Meeting Attendance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p>
        </w:tc>
        <w:tc>
          <w:tcPr>
            <w:tcW w:w="376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760" w:type="dxa"/>
            <w:vAlign w:val="bottom"/>
            <w:vMerge w:val="restart"/>
          </w:tcPr>
          <w:p>
            <w:pPr>
              <w:ind w:left="46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29"/>
        </w:trPr>
        <w:tc>
          <w:tcPr>
            <w:tcW w:w="240" w:type="dxa"/>
            <w:vAlign w:val="bottom"/>
            <w:tcBorders>
              <w:top w:val="single" w:sz="8" w:color="auto"/>
              <w:left w:val="single" w:sz="8" w:color="auto"/>
            </w:tcBorders>
          </w:tcPr>
          <w:p>
            <w:pPr>
              <w:spacing w:after="0"/>
              <w:rPr>
                <w:sz w:val="11"/>
                <w:szCs w:val="11"/>
                <w:color w:val="auto"/>
              </w:rPr>
            </w:pPr>
          </w:p>
        </w:tc>
        <w:tc>
          <w:tcPr>
            <w:tcW w:w="4200" w:type="dxa"/>
            <w:vAlign w:val="bottom"/>
            <w:tcBorders>
              <w:top w:val="single" w:sz="8" w:color="auto"/>
              <w:right w:val="single" w:sz="8" w:color="auto"/>
            </w:tcBorders>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3760" w:type="dxa"/>
            <w:vAlign w:val="bottom"/>
            <w:tcBorders>
              <w:top w:val="single" w:sz="8" w:color="auto"/>
              <w:right w:val="single" w:sz="8" w:color="auto"/>
            </w:tcBorders>
          </w:tcPr>
          <w:p>
            <w:pPr>
              <w:spacing w:after="0"/>
              <w:rPr>
                <w:sz w:val="11"/>
                <w:szCs w:val="11"/>
                <w:color w:val="auto"/>
              </w:rPr>
            </w:pPr>
          </w:p>
        </w:tc>
        <w:tc>
          <w:tcPr>
            <w:tcW w:w="2020" w:type="dxa"/>
            <w:vAlign w:val="bottom"/>
          </w:tcPr>
          <w:p>
            <w:pPr>
              <w:ind w:left="100"/>
              <w:spacing w:after="0" w:line="129" w:lineRule="exact"/>
              <w:rPr>
                <w:sz w:val="20"/>
                <w:szCs w:val="20"/>
                <w:color w:val="auto"/>
              </w:rPr>
            </w:pPr>
            <w:r>
              <w:rPr>
                <w:rFonts w:ascii="Arial" w:cs="Arial" w:eastAsia="Arial" w:hAnsi="Arial"/>
                <w:sz w:val="14"/>
                <w:szCs w:val="14"/>
                <w:color w:val="auto"/>
              </w:rPr>
              <w:t>Mark the box to the right</w:t>
            </w: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if you plan to attend the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 w:type="dxa"/>
            <w:vAlign w:val="bottom"/>
            <w:tcBorders>
              <w:left w:val="single" w:sz="8" w:color="auto"/>
            </w:tcBorders>
          </w:tcPr>
          <w:p>
            <w:pPr>
              <w:spacing w:after="0"/>
              <w:rPr>
                <w:sz w:val="14"/>
                <w:szCs w:val="14"/>
                <w:color w:val="auto"/>
              </w:rPr>
            </w:pPr>
          </w:p>
        </w:tc>
        <w:tc>
          <w:tcPr>
            <w:tcW w:w="4200" w:type="dxa"/>
            <w:vAlign w:val="bottom"/>
            <w:tcBorders>
              <w:right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Annual Meeting.</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bottom w:val="single" w:sz="8" w:color="auto"/>
            </w:tcBorders>
          </w:tcPr>
          <w:p>
            <w:pPr>
              <w:spacing w:after="0"/>
              <w:rPr>
                <w:sz w:val="12"/>
                <w:szCs w:val="12"/>
                <w:color w:val="auto"/>
              </w:rPr>
            </w:pPr>
          </w:p>
        </w:tc>
        <w:tc>
          <w:tcPr>
            <w:tcW w:w="4200" w:type="dxa"/>
            <w:vAlign w:val="bottom"/>
            <w:tcBorders>
              <w:bottom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60" w:hanging="401"/>
        <w:spacing w:after="0"/>
        <w:tabs>
          <w:tab w:leader="none" w:pos="460" w:val="left"/>
        </w:tabs>
        <w:numPr>
          <w:ilvl w:val="0"/>
          <w:numId w:val="100"/>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ind w:right="260"/>
        <w:spacing w:after="0" w:line="23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color w:val="auto"/>
              </w:rPr>
              <w:t>Date (mm/dd/yyyy) — Please print date below.</w:t>
            </w:r>
          </w:p>
        </w:tc>
        <w:tc>
          <w:tcPr>
            <w:tcW w:w="4240" w:type="dxa"/>
            <w:vAlign w:val="bottom"/>
            <w:gridSpan w:val="3"/>
          </w:tcPr>
          <w:p>
            <w:pPr>
              <w:ind w:left="300"/>
              <w:spacing w:after="0"/>
              <w:rPr>
                <w:sz w:val="20"/>
                <w:szCs w:val="20"/>
                <w:color w:val="auto"/>
              </w:rPr>
            </w:pPr>
            <w:r>
              <w:rPr>
                <w:rFonts w:ascii="Arial" w:cs="Arial" w:eastAsia="Arial" w:hAnsi="Arial"/>
                <w:sz w:val="14"/>
                <w:szCs w:val="14"/>
                <w:color w:val="auto"/>
              </w:rPr>
              <w:t>Signature 1 — Please keep signature within the box.</w:t>
            </w:r>
          </w:p>
        </w:tc>
        <w:tc>
          <w:tcPr>
            <w:tcW w:w="3640" w:type="dxa"/>
            <w:vAlign w:val="bottom"/>
          </w:tcPr>
          <w:p>
            <w:pPr>
              <w:jc w:val="right"/>
              <w:ind w:right="378"/>
              <w:spacing w:after="0"/>
              <w:rPr>
                <w:sz w:val="20"/>
                <w:szCs w:val="20"/>
                <w:color w:val="auto"/>
              </w:rPr>
            </w:pPr>
            <w:r>
              <w:rPr>
                <w:rFonts w:ascii="Arial" w:cs="Arial" w:eastAsia="Arial" w:hAnsi="Arial"/>
                <w:sz w:val="14"/>
                <w:szCs w:val="14"/>
                <w:color w:val="auto"/>
                <w:w w:val="95"/>
              </w:rPr>
              <w:t>Signature 2 — Please keep signature within the box.</w:t>
            </w:r>
          </w:p>
        </w:tc>
        <w:tc>
          <w:tcPr>
            <w:tcW w:w="0" w:type="dxa"/>
            <w:vAlign w:val="bottom"/>
          </w:tcPr>
          <w:p>
            <w:pPr>
              <w:spacing w:after="0"/>
              <w:rPr>
                <w:sz w:val="1"/>
                <w:szCs w:val="1"/>
                <w:color w:val="auto"/>
              </w:rPr>
            </w:pPr>
          </w:p>
        </w:tc>
      </w:tr>
      <w:tr>
        <w:trPr>
          <w:trHeight w:val="372"/>
        </w:trPr>
        <w:tc>
          <w:tcPr>
            <w:tcW w:w="1840" w:type="dxa"/>
            <w:vAlign w:val="bottom"/>
            <w:tcBorders>
              <w:top w:val="single" w:sz="8" w:color="auto"/>
              <w:left w:val="single" w:sz="8" w:color="auto"/>
              <w:bottom w:val="single" w:sz="8" w:color="auto"/>
            </w:tcBorders>
          </w:tcPr>
          <w:p>
            <w:pPr>
              <w:jc w:val="right"/>
              <w:ind w:right="203"/>
              <w:spacing w:after="0"/>
              <w:rPr>
                <w:sz w:val="20"/>
                <w:szCs w:val="20"/>
                <w:color w:val="auto"/>
              </w:rPr>
            </w:pPr>
            <w:r>
              <w:rPr>
                <w:rFonts w:ascii="Arial" w:cs="Arial" w:eastAsia="Arial" w:hAnsi="Arial"/>
                <w:sz w:val="32"/>
                <w:szCs w:val="32"/>
                <w:color w:val="auto"/>
              </w:rPr>
              <w:t>/</w:t>
            </w:r>
          </w:p>
        </w:tc>
        <w:tc>
          <w:tcPr>
            <w:tcW w:w="1720" w:type="dxa"/>
            <w:vAlign w:val="bottom"/>
            <w:tcBorders>
              <w:top w:val="single" w:sz="8" w:color="auto"/>
              <w:bottom w:val="single" w:sz="8" w:color="auto"/>
              <w:right w:val="single" w:sz="8" w:color="auto"/>
            </w:tcBorders>
          </w:tcPr>
          <w:p>
            <w:pPr>
              <w:jc w:val="right"/>
              <w:ind w:right="1158"/>
              <w:spacing w:after="0"/>
              <w:rPr>
                <w:sz w:val="20"/>
                <w:szCs w:val="20"/>
                <w:color w:val="auto"/>
              </w:rPr>
            </w:pPr>
            <w:r>
              <w:rPr>
                <w:rFonts w:ascii="Arial" w:cs="Arial" w:eastAsia="Arial" w:hAnsi="Arial"/>
                <w:sz w:val="32"/>
                <w:szCs w:val="32"/>
                <w:color w:val="auto"/>
              </w:rPr>
              <w:t>/</w:t>
            </w:r>
          </w:p>
        </w:tc>
        <w:tc>
          <w:tcPr>
            <w:tcW w:w="36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840" w:type="dxa"/>
            <w:vAlign w:val="bottom"/>
          </w:tcPr>
          <w:p>
            <w:pPr>
              <w:spacing w:after="0"/>
              <w:rPr>
                <w:sz w:val="20"/>
                <w:szCs w:val="20"/>
                <w:color w:val="auto"/>
              </w:rPr>
            </w:pPr>
            <w:r>
              <w:rPr>
                <w:rFonts w:ascii="Arial" w:cs="Arial" w:eastAsia="Arial" w:hAnsi="Arial"/>
                <w:sz w:val="24"/>
                <w:szCs w:val="24"/>
                <w:color w:val="auto"/>
              </w:rPr>
              <w:t>¢</w:t>
            </w: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2"/>
            <w:vMerge w:val="restart"/>
          </w:tcPr>
          <w:p>
            <w:pPr>
              <w:ind w:left="1780"/>
              <w:spacing w:after="0"/>
              <w:rPr>
                <w:sz w:val="20"/>
                <w:szCs w:val="20"/>
                <w:color w:val="auto"/>
              </w:rPr>
            </w:pPr>
            <w:r>
              <w:rPr>
                <w:rFonts w:ascii="Arial" w:cs="Arial" w:eastAsia="Arial" w:hAnsi="Arial"/>
                <w:sz w:val="18"/>
                <w:szCs w:val="18"/>
                <w:color w:val="auto"/>
              </w:rPr>
              <w:t>1 UPX</w:t>
            </w:r>
          </w:p>
        </w:tc>
        <w:tc>
          <w:tcPr>
            <w:tcW w:w="3640" w:type="dxa"/>
            <w:vAlign w:val="bottom"/>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52"/>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80" w:type="dxa"/>
            <w:vAlign w:val="bottom"/>
            <w:gridSpan w:val="2"/>
            <w:vMerge w:val="continue"/>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01SNWB</w:t>
      </w:r>
    </w:p>
    <w:p>
      <w:pPr>
        <w:sectPr>
          <w:pgSz w:w="11900" w:h="16838" w:orient="portrait"/>
          <w:cols w:equalWidth="0" w:num="1">
            <w:col w:w="11440"/>
          </w:cols>
          <w:pgMar w:left="240" w:top="459" w:right="21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2014 Annual Meeting Admission Ticket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Annual Meeting of</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Friday, May 2, 2014, 11:00 a.m. Central Daylight Savings Time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550 West Van Buren Street, 17th Floor</w:t>
      </w:r>
    </w:p>
    <w:p>
      <w:pPr>
        <w:jc w:val="center"/>
        <w:ind w:right="-19"/>
        <w:spacing w:after="0"/>
        <w:rPr>
          <w:sz w:val="20"/>
          <w:szCs w:val="20"/>
          <w:color w:val="auto"/>
        </w:rPr>
      </w:pPr>
      <w:r>
        <w:rPr>
          <w:rFonts w:ascii="Arial" w:cs="Arial" w:eastAsia="Arial" w:hAnsi="Arial"/>
          <w:sz w:val="18"/>
          <w:szCs w:val="18"/>
          <w:b w:val="1"/>
          <w:bCs w:val="1"/>
          <w:color w:val="auto"/>
        </w:rPr>
        <w:t>Chicago, Illinois 60607</w:t>
      </w:r>
    </w:p>
    <w:p>
      <w:pPr>
        <w:spacing w:after="0" w:line="5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929005</wp:posOffset>
            </wp:positionV>
            <wp:extent cx="72466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2040890" cy="6089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 of 2014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550 West Van Buren Street, 17th Floor, Chicago, Illinois 60607</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Friday, May 2, 2014</w:t>
      </w:r>
    </w:p>
    <w:p>
      <w:pPr>
        <w:spacing w:after="0" w:line="16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2, 2014 or at any postponement or adjournment thereof.</w:t>
      </w:r>
    </w:p>
    <w:p>
      <w:pPr>
        <w:spacing w:after="0" w:line="13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and, FOR Proposals 2, 3 and 4.</w:t>
      </w:r>
    </w:p>
    <w:p>
      <w:pPr>
        <w:spacing w:after="0" w:line="112" w:lineRule="exact"/>
        <w:rPr>
          <w:sz w:val="20"/>
          <w:szCs w:val="20"/>
          <w:color w:val="auto"/>
        </w:rPr>
      </w:pPr>
    </w:p>
    <w:p>
      <w:pPr>
        <w:ind w:right="1220"/>
        <w:spacing w:after="0" w:line="452" w:lineRule="auto"/>
        <w:rPr>
          <w:sz w:val="20"/>
          <w:szCs w:val="20"/>
          <w:color w:val="auto"/>
        </w:rPr>
      </w:pPr>
      <w:r>
        <w:rPr>
          <w:rFonts w:ascii="Arial" w:cs="Arial" w:eastAsia="Arial" w:hAnsi="Arial"/>
          <w:sz w:val="18"/>
          <w:szCs w:val="18"/>
          <w:b w:val="1"/>
          <w:bCs w:val="1"/>
          <w:color w:val="auto"/>
        </w:rPr>
        <w:t xml:space="preserve">In their discretion, the Proxies are authorized to vote upon such other business as may properly come before the meeting. </w:t>
      </w:r>
      <w:r>
        <w:rPr>
          <w:rFonts w:ascii="Arial" w:cs="Arial" w:eastAsia="Arial" w:hAnsi="Arial"/>
          <w:sz w:val="18"/>
          <w:szCs w:val="18"/>
          <w:color w:val="auto"/>
        </w:rPr>
        <w:t>(Items to be voted appear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lvl w:ilvl="1">
      <w:lvlJc w:val="left"/>
      <w:lvlText w:val="(%2)"/>
      <w:numFmt w:val="decimal"/>
      <w:start w:val="1"/>
    </w:lvl>
  </w:abstractNum>
  <w:abstractNum w:abstractNumId="3">
    <w:nsid w:val="75C6C33A"/>
    <w:multiLevelType w:val="hybridMultilevel"/>
    <w:lvl w:ilvl="0">
      <w:lvlJc w:val="left"/>
      <w:lvlText w:val="(%1)"/>
      <w:numFmt w:val="decimal"/>
      <w:start w:val="2"/>
    </w:lvl>
  </w:abstractNum>
  <w:abstractNum w:abstractNumId="4">
    <w:nsid w:val="12E685FB"/>
    <w:multiLevelType w:val="hybridMultilevel"/>
    <w:lvl w:ilvl="0">
      <w:lvlJc w:val="left"/>
      <w:lvlText w:val="(%1)"/>
      <w:numFmt w:val="decimal"/>
      <w:start w:val="3"/>
    </w:lvl>
  </w:abstractNum>
  <w:abstractNum w:abstractNumId="5">
    <w:nsid w:val="70C6A529"/>
    <w:multiLevelType w:val="hybridMultilevel"/>
    <w:lvl w:ilvl="0">
      <w:lvlJc w:val="left"/>
      <w:lvlText w:val="(%1)"/>
      <w:numFmt w:val="decimal"/>
      <w:start w:val="4"/>
    </w:lvl>
  </w:abstractNum>
  <w:abstractNum w:abstractNumId="6">
    <w:nsid w:val="520EEDD1"/>
    <w:multiLevelType w:val="hybridMultilevel"/>
    <w:lvl w:ilvl="0">
      <w:lvlJc w:val="left"/>
      <w:lvlText w:val="(%1)"/>
      <w:numFmt w:val="decimal"/>
      <w:start w:val="5"/>
    </w:lvl>
  </w:abstractNum>
  <w:abstractNum w:abstractNumId="7">
    <w:nsid w:val="374A3FE6"/>
    <w:multiLevelType w:val="hybridMultilevel"/>
    <w:lvl w:ilvl="0">
      <w:lvlJc w:val="left"/>
      <w:lvlText w:val="☐"/>
      <w:numFmt w:val="bullet"/>
      <w:start w:val="1"/>
    </w:lvl>
    <w:lvl w:ilvl="1">
      <w:lvlJc w:val="left"/>
      <w:lvlText w:val="(%2)"/>
      <w:numFmt w:val="decimal"/>
      <w:start w:val="1"/>
    </w:lvl>
  </w:abstractNum>
  <w:abstractNum w:abstractNumId="8">
    <w:nsid w:val="4F4EF005"/>
    <w:multiLevelType w:val="hybridMultilevel"/>
    <w:lvl w:ilvl="0">
      <w:lvlJc w:val="left"/>
      <w:lvlText w:val="(%1)"/>
      <w:numFmt w:val="decimal"/>
      <w:start w:val="2"/>
    </w:lvl>
  </w:abstractNum>
  <w:abstractNum w:abstractNumId="9">
    <w:nsid w:val="23F9C13C"/>
    <w:multiLevelType w:val="hybridMultilevel"/>
    <w:lvl w:ilvl="0">
      <w:lvlJc w:val="left"/>
      <w:lvlText w:val="(%1)"/>
      <w:numFmt w:val="decimal"/>
      <w:start w:val="3"/>
    </w:lvl>
  </w:abstractNum>
  <w:abstractNum w:abstractNumId="10">
    <w:nsid w:val="649BB77C"/>
    <w:multiLevelType w:val="hybridMultilevel"/>
    <w:lvl w:ilvl="0">
      <w:lvlJc w:val="left"/>
      <w:lvlText w:val="(%1)"/>
      <w:numFmt w:val="decimal"/>
      <w:start w:val="4"/>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3"/>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0"/>
    </w:lvl>
  </w:abstractNum>
  <w:abstractNum w:abstractNumId="22">
    <w:nsid w:val="3F6AB60F"/>
    <w:multiLevelType w:val="hybridMultilevel"/>
    <w:lvl w:ilvl="0">
      <w:lvlJc w:val="left"/>
      <w:lvlText w:val="%1"/>
      <w:numFmt w:val="decimal"/>
      <w:start w:val="1"/>
    </w:lvl>
    <w:lvl w:ilvl="1">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2"/>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6"/>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2"/>
    </w:lvl>
  </w:abstractNum>
  <w:abstractNum w:abstractNumId="42">
    <w:nsid w:val="6B94764"/>
    <w:multiLevelType w:val="hybridMultilevel"/>
    <w:lvl w:ilvl="0">
      <w:lvlJc w:val="left"/>
      <w:lvlText w:val="(%1)"/>
      <w:numFmt w:val="decimal"/>
      <w:start w:val="3"/>
    </w:lvl>
  </w:abstractNum>
  <w:abstractNum w:abstractNumId="43">
    <w:nsid w:val="42C296BD"/>
    <w:multiLevelType w:val="hybridMultilevel"/>
    <w:lvl w:ilvl="0">
      <w:lvlJc w:val="left"/>
      <w:lvlText w:val="(%1)"/>
      <w:numFmt w:val="lowerLetter"/>
      <w:start w:val="3"/>
    </w:lvl>
  </w:abstractNum>
  <w:abstractNum w:abstractNumId="44">
    <w:nsid w:val="168E121F"/>
    <w:multiLevelType w:val="hybridMultilevel"/>
    <w:lvl w:ilvl="0">
      <w:lvlJc w:val="left"/>
      <w:lvlText w:val="(%1)"/>
      <w:numFmt w:val="lowerLetter"/>
      <w:start w:val="3"/>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2">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63">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6"/>
    </w:lvl>
  </w:abstractNum>
  <w:abstractNum w:abstractNumId="64">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9"/>
    </w:lvl>
  </w:abstractNum>
  <w:abstractNum w:abstractNumId="65">
    <w:nsid w:val="1A27709E"/>
    <w:multiLevelType w:val="hybridMultilevel"/>
    <w:lvl w:ilvl="0">
      <w:lvlJc w:val="left"/>
      <w:lvlText w:val="(%1)"/>
      <w:numFmt w:val="lowerLetter"/>
      <w:start w:val="8"/>
    </w:lvl>
  </w:abstractNum>
  <w:abstractNum w:abstractNumId="66">
    <w:nsid w:val="71EA1109"/>
    <w:multiLevelType w:val="hybridMultilevel"/>
    <w:lvl w:ilvl="0">
      <w:lvlJc w:val="left"/>
      <w:lvlText w:val="(%1)"/>
      <w:numFmt w:val="lowerLetter"/>
      <w:start w:val="10"/>
    </w:lvl>
    <w:lvl w:ilvl="1">
      <w:lvlJc w:val="left"/>
      <w:lvlText w:val="(%2)"/>
      <w:numFmt w:val="lowerRoman"/>
      <w:start w:val="1"/>
    </w:lvl>
  </w:abstractNum>
  <w:abstractNum w:abstractNumId="67">
    <w:nsid w:val="100F59DC"/>
    <w:multiLevelType w:val="hybridMultilevel"/>
    <w:lvl w:ilvl="0">
      <w:lvlJc w:val="left"/>
      <w:lvlText w:val="(%1)"/>
      <w:numFmt w:val="lowerLetter"/>
      <w:start w:val="11"/>
    </w:lvl>
    <w:lvl w:ilvl="1">
      <w:lvlJc w:val="left"/>
      <w:lvlText w:val="(%2)"/>
      <w:numFmt w:val="lowerRoman"/>
      <w:start w:val="1"/>
    </w:lvl>
  </w:abstractNum>
  <w:abstractNum w:abstractNumId="68">
    <w:nsid w:val="7FB7E0AA"/>
    <w:multiLevelType w:val="hybridMultilevel"/>
    <w:lvl w:ilvl="0">
      <w:lvlJc w:val="left"/>
      <w:lvlText w:val="%1"/>
      <w:numFmt w:val="lowerLetter"/>
      <w:start w:val="1"/>
    </w:lvl>
    <w:lvl w:ilvl="1">
      <w:lvlJc w:val="left"/>
      <w:lvlText w:val="(%2)"/>
      <w:numFmt w:val="lowerRoman"/>
      <w:start w:val="4"/>
    </w:lvl>
  </w:abstractNum>
  <w:abstractNum w:abstractNumId="69">
    <w:nsid w:val="6EB5BD4"/>
    <w:multiLevelType w:val="hybridMultilevel"/>
    <w:lvl w:ilvl="0">
      <w:lvlJc w:val="left"/>
      <w:lvlText w:val="(%1)"/>
      <w:numFmt w:val="lowerLetter"/>
      <w:start w:val="21"/>
    </w:lvl>
    <w:lvl w:ilvl="1">
      <w:lvlJc w:val="left"/>
      <w:lvlText w:val="(%2)"/>
      <w:numFmt w:val="lowerRoman"/>
      <w:start w:val="1"/>
    </w:lvl>
  </w:abstractNum>
  <w:abstractNum w:abstractNumId="70">
    <w:nsid w:val="6F6DD9AC"/>
    <w:multiLevelType w:val="hybridMultilevel"/>
    <w:lvl w:ilvl="0">
      <w:lvlJc w:val="left"/>
      <w:lvlText w:val="(%1)"/>
      <w:numFmt w:val="lowerLetter"/>
      <w:start w:val="22"/>
    </w:lvl>
  </w:abstractNum>
  <w:abstractNum w:abstractNumId="71">
    <w:nsid w:val="94211F2"/>
    <w:multiLevelType w:val="hybridMultilevel"/>
    <w:lvl w:ilvl="0">
      <w:lvlJc w:val="left"/>
      <w:lvlText w:val="(%1)"/>
      <w:numFmt w:val="lowerLetter"/>
      <w:start w:val="27"/>
    </w:lvl>
  </w:abstractNum>
  <w:abstractNum w:abstractNumId="72">
    <w:nsid w:val="885E1B"/>
    <w:multiLevelType w:val="hybridMultilevel"/>
    <w:lvl w:ilvl="0">
      <w:lvlJc w:val="left"/>
      <w:lvlText w:val="%1"/>
      <w:numFmt w:val="decimal"/>
      <w:start w:val="1"/>
    </w:lvl>
    <w:lvl w:ilvl="1">
      <w:lvlJc w:val="left"/>
      <w:lvlText w:val="(%2)"/>
      <w:numFmt w:val="lowerLetter"/>
      <w:start w:val="29"/>
    </w:lvl>
  </w:abstractNum>
  <w:abstractNum w:abstractNumId="73">
    <w:nsid w:val="76272110"/>
    <w:multiLevelType w:val="hybridMultilevel"/>
    <w:lvl w:ilvl="0">
      <w:lvlJc w:val="left"/>
      <w:lvlText w:val="%1."/>
      <w:numFmt w:val="decimal"/>
      <w:start w:val="3"/>
    </w:lvl>
    <w:lvl w:ilvl="1">
      <w:lvlJc w:val="left"/>
      <w:lvlText w:val="(%2)"/>
      <w:numFmt w:val="lowerLetter"/>
      <w:start w:val="1"/>
    </w:lvl>
  </w:abstractNum>
  <w:abstractNum w:abstractNumId="74">
    <w:nsid w:val="4C04A8AF"/>
    <w:multiLevelType w:val="hybridMultilevel"/>
    <w:lvl w:ilvl="0">
      <w:lvlJc w:val="left"/>
      <w:lvlText w:val="(%1)"/>
      <w:numFmt w:val="lowerRoman"/>
      <w:start w:val="1"/>
    </w:lvl>
  </w:abstractNum>
  <w:abstractNum w:abstractNumId="75">
    <w:nsid w:val="1716703B"/>
    <w:multiLevelType w:val="hybridMultilevel"/>
    <w:lvl w:ilvl="0">
      <w:lvlJc w:val="left"/>
      <w:lvlText w:val="(%1)"/>
      <w:numFmt w:val="lowerLetter"/>
      <w:start w:val="4"/>
    </w:lvl>
    <w:lvl w:ilvl="1">
      <w:lvlJc w:val="left"/>
      <w:lvlText w:val="(%2)"/>
      <w:numFmt w:val="lowerRoman"/>
      <w:start w:val="1"/>
    </w:lvl>
  </w:abstractNum>
  <w:abstractNum w:abstractNumId="76">
    <w:nsid w:val="14E17E33"/>
    <w:multiLevelType w:val="hybridMultilevel"/>
    <w:lvl w:ilvl="0">
      <w:lvlJc w:val="left"/>
      <w:lvlText w:val="%1."/>
      <w:numFmt w:val="decimal"/>
      <w:start w:val="5"/>
    </w:lvl>
    <w:lvl w:ilvl="1">
      <w:lvlJc w:val="left"/>
      <w:lvlText w:val="(%2)"/>
      <w:numFmt w:val="lowerLetter"/>
      <w:start w:val="1"/>
    </w:lvl>
  </w:abstractNum>
  <w:abstractNum w:abstractNumId="77">
    <w:nsid w:val="3222E7CD"/>
    <w:multiLevelType w:val="hybridMultilevel"/>
    <w:lvl w:ilvl="0">
      <w:lvlJc w:val="left"/>
      <w:lvlText w:val="(%1)"/>
      <w:numFmt w:val="lowerLetter"/>
      <w:start w:val="2"/>
    </w:lvl>
  </w:abstractNum>
  <w:abstractNum w:abstractNumId="78">
    <w:nsid w:val="74DE0EE3"/>
    <w:multiLevelType w:val="hybridMultilevel"/>
    <w:lvl w:ilvl="0">
      <w:lvlJc w:val="left"/>
      <w:lvlText w:val="%1."/>
      <w:numFmt w:val="decimal"/>
      <w:start w:val="6"/>
    </w:lvl>
    <w:lvl w:ilvl="1">
      <w:lvlJc w:val="left"/>
      <w:lvlText w:val="(%2)"/>
      <w:numFmt w:val="lowerLetter"/>
      <w:start w:val="1"/>
    </w:lvl>
  </w:abstractNum>
  <w:abstractNum w:abstractNumId="79">
    <w:nsid w:val="68EBC550"/>
    <w:multiLevelType w:val="hybridMultilevel"/>
    <w:lvl w:ilvl="0">
      <w:lvlJc w:val="left"/>
      <w:lvlText w:val="(%1)"/>
      <w:numFmt w:val="lowerLetter"/>
      <w:start w:val="5"/>
    </w:lvl>
    <w:lvl w:ilvl="1">
      <w:lvlJc w:val="left"/>
      <w:lvlText w:val="(%2)"/>
      <w:numFmt w:val="lowerRoman"/>
      <w:start w:val="1"/>
    </w:lvl>
  </w:abstractNum>
  <w:abstractNum w:abstractNumId="80">
    <w:nsid w:val="2DF6D64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abstractNum>
  <w:abstractNum w:abstractNumId="81">
    <w:nsid w:val="46B7D447"/>
    <w:multiLevelType w:val="hybridMultilevel"/>
    <w:lvl w:ilvl="0">
      <w:lvlJc w:val="left"/>
      <w:lvlText w:val="(%1)"/>
      <w:numFmt w:val="lowerLetter"/>
      <w:start w:val="7"/>
    </w:lvl>
    <w:lvl w:ilvl="1">
      <w:lvlJc w:val="left"/>
      <w:lvlText w:val="(%2)"/>
      <w:numFmt w:val="lowerLetter"/>
      <w:start w:val="9"/>
    </w:lvl>
    <w:lvl w:ilvl="2">
      <w:lvlJc w:val="left"/>
      <w:lvlText w:val="(%3)"/>
      <w:numFmt w:val="lowerLetter"/>
      <w:start w:val="9"/>
    </w:lvl>
  </w:abstractNum>
  <w:abstractNum w:abstractNumId="82">
    <w:nsid w:val="4A2AC315"/>
    <w:multiLevelType w:val="hybridMultilevel"/>
    <w:lvl w:ilvl="0">
      <w:lvlJc w:val="left"/>
      <w:lvlText w:val="(%1)"/>
      <w:numFmt w:val="lowerRoman"/>
      <w:start w:val="2"/>
    </w:lvl>
  </w:abstractNum>
  <w:abstractNum w:abstractNumId="83">
    <w:nsid w:val="39EE015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84">
    <w:nsid w:val="57FC4FBB"/>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85">
    <w:nsid w:val="CC1016F"/>
    <w:multiLevelType w:val="hybridMultilevel"/>
    <w:lvl w:ilvl="0">
      <w:lvlJc w:val="left"/>
      <w:lvlText w:val="%1"/>
      <w:numFmt w:val="decimal"/>
      <w:start w:val="1"/>
    </w:lvl>
    <w:lvl w:ilvl="1">
      <w:lvlJc w:val="left"/>
      <w:lvlText w:val="(%2)"/>
      <w:numFmt w:val="lowerLetter"/>
      <w:start w:val="10"/>
    </w:lvl>
  </w:abstractNum>
  <w:abstractNum w:abstractNumId="86">
    <w:nsid w:val="43F18422"/>
    <w:multiLevelType w:val="hybridMultilevel"/>
    <w:lvl w:ilvl="0">
      <w:lvlJc w:val="left"/>
      <w:lvlText w:val="%1."/>
      <w:numFmt w:val="decimal"/>
      <w:start w:val="8"/>
    </w:lvl>
    <w:lvl w:ilvl="1">
      <w:lvlJc w:val="left"/>
      <w:lvlText w:val="(%2)"/>
      <w:numFmt w:val="lowerLetter"/>
      <w:start w:val="1"/>
    </w:lvl>
  </w:abstractNum>
  <w:abstractNum w:abstractNumId="87">
    <w:nsid w:val="60EF0119"/>
    <w:multiLevelType w:val="hybridMultilevel"/>
    <w:lvl w:ilvl="0">
      <w:lvlJc w:val="left"/>
      <w:lvlText w:val="(%1)"/>
      <w:numFmt w:val="lowerLetter"/>
      <w:start w:val="3"/>
    </w:lvl>
    <w:lvl w:ilvl="1">
      <w:lvlJc w:val="left"/>
      <w:lvlText w:val="(%2)"/>
      <w:numFmt w:val="lowerRoman"/>
      <w:start w:val="1"/>
    </w:lvl>
  </w:abstractNum>
  <w:abstractNum w:abstractNumId="88">
    <w:nsid w:val="26F324BA"/>
    <w:multiLevelType w:val="hybridMultilevel"/>
    <w:lvl w:ilvl="0">
      <w:lvlJc w:val="left"/>
      <w:lvlText w:val="%1"/>
      <w:numFmt w:val="decimal"/>
      <w:start w:val="1"/>
    </w:lvl>
    <w:lvl w:ilvl="1">
      <w:lvlJc w:val="left"/>
      <w:lvlText w:val="(%2)"/>
      <w:numFmt w:val="lowerLetter"/>
      <w:start w:val="5"/>
    </w:lvl>
  </w:abstractNum>
  <w:abstractNum w:abstractNumId="89">
    <w:nsid w:val="7F01579B"/>
    <w:multiLevelType w:val="hybridMultilevel"/>
    <w:lvl w:ilvl="0">
      <w:lvlJc w:val="left"/>
      <w:lvlText w:val="%1."/>
      <w:numFmt w:val="decimal"/>
      <w:start w:val="9"/>
    </w:lvl>
    <w:lvl w:ilvl="1">
      <w:lvlJc w:val="left"/>
      <w:lvlText w:val="(%2)"/>
      <w:numFmt w:val="lowerLetter"/>
      <w:start w:val="1"/>
    </w:lvl>
  </w:abstractNum>
  <w:abstractNum w:abstractNumId="90">
    <w:nsid w:val="49DA307D"/>
    <w:multiLevelType w:val="hybridMultilevel"/>
    <w:lvl w:ilvl="0">
      <w:lvlJc w:val="left"/>
      <w:lvlText w:val="%1."/>
      <w:numFmt w:val="decimal"/>
      <w:start w:val="10"/>
    </w:lvl>
    <w:lvl w:ilvl="1">
      <w:lvlJc w:val="left"/>
      <w:lvlText w:val="(%2)"/>
      <w:numFmt w:val="lowerLetter"/>
      <w:start w:val="1"/>
    </w:lvl>
  </w:abstractNum>
  <w:abstractNum w:abstractNumId="91">
    <w:nsid w:val="7055A5F5"/>
    <w:multiLevelType w:val="hybridMultilevel"/>
    <w:lvl w:ilvl="0">
      <w:lvlJc w:val="left"/>
      <w:lvlText w:val="%1"/>
      <w:numFmt w:val="decimal"/>
      <w:start w:val="1"/>
    </w:lvl>
    <w:lvl w:ilvl="1">
      <w:lvlJc w:val="left"/>
      <w:lvlText w:val="(%2)"/>
      <w:numFmt w:val="lowerLetter"/>
      <w:start w:val="2"/>
    </w:lvl>
  </w:abstractNum>
  <w:abstractNum w:abstractNumId="92">
    <w:nsid w:val="5FB8370B"/>
    <w:multiLevelType w:val="hybridMultilevel"/>
    <w:lvl w:ilvl="0">
      <w:lvlJc w:val="left"/>
      <w:lvlText w:val="%1."/>
      <w:numFmt w:val="decimal"/>
      <w:start w:val="13"/>
    </w:lvl>
    <w:lvl w:ilvl="1">
      <w:lvlJc w:val="left"/>
      <w:lvlText w:val="(%2)"/>
      <w:numFmt w:val="lowerLetter"/>
      <w:start w:val="1"/>
    </w:lvl>
  </w:abstractNum>
  <w:abstractNum w:abstractNumId="93">
    <w:nsid w:val="50801EE1"/>
    <w:multiLevelType w:val="hybridMultilevel"/>
    <w:lvl w:ilvl="0">
      <w:lvlJc w:val="left"/>
      <w:lvlText w:val="%1."/>
      <w:numFmt w:val="decimal"/>
      <w:start w:val="15"/>
    </w:lvl>
    <w:lvl w:ilvl="1">
      <w:lvlJc w:val="left"/>
      <w:lvlText w:val="(%2)"/>
      <w:numFmt w:val="lowerLetter"/>
      <w:start w:val="1"/>
    </w:lvl>
  </w:abstractNum>
  <w:abstractNum w:abstractNumId="94">
    <w:nsid w:val="488AC1A"/>
    <w:multiLevelType w:val="hybridMultilevel"/>
    <w:lvl w:ilvl="0">
      <w:lvlJc w:val="left"/>
      <w:lvlText w:val="%1"/>
      <w:numFmt w:val="decimal"/>
      <w:start w:val="1"/>
    </w:lvl>
    <w:lvl w:ilvl="1">
      <w:lvlJc w:val="left"/>
      <w:lvlText w:val="(%2)"/>
      <w:numFmt w:val="lowerLetter"/>
      <w:start w:val="2"/>
    </w:lvl>
  </w:abstractNum>
  <w:abstractNum w:abstractNumId="95">
    <w:nsid w:val="5FB8011C"/>
    <w:multiLevelType w:val="hybridMultilevel"/>
    <w:lvl w:ilvl="0">
      <w:lvlJc w:val="left"/>
      <w:lvlText w:val="%1."/>
      <w:numFmt w:val="decimal"/>
      <w:start w:val="18"/>
    </w:lvl>
    <w:lvl w:ilvl="1">
      <w:lvlJc w:val="left"/>
      <w:lvlText w:val="(%2)"/>
      <w:numFmt w:val="lowerLetter"/>
      <w:start w:val="1"/>
    </w:lvl>
  </w:abstractNum>
  <w:abstractNum w:abstractNumId="96">
    <w:nsid w:val="6AA78F7F"/>
    <w:multiLevelType w:val="hybridMultilevel"/>
    <w:lvl w:ilvl="0">
      <w:lvlJc w:val="left"/>
      <w:lvlText w:val="%1"/>
      <w:numFmt w:val="decimal"/>
      <w:start w:val="1"/>
    </w:lvl>
    <w:lvl w:ilvl="1">
      <w:lvlJc w:val="left"/>
      <w:lvlText w:val="(%2)"/>
      <w:numFmt w:val="lowerLetter"/>
      <w:start w:val="6"/>
    </w:lvl>
  </w:abstractNum>
  <w:abstractNum w:abstractNumId="97">
    <w:nsid w:val="7672BD23"/>
    <w:multiLevelType w:val="hybridMultilevel"/>
    <w:lvl w:ilvl="0">
      <w:lvlJc w:val="left"/>
      <w:lvlText w:val="%1."/>
      <w:numFmt w:val="decimal"/>
      <w:start w:val="19"/>
    </w:lvl>
    <w:lvl w:ilvl="1">
      <w:lvlJc w:val="left"/>
      <w:lvlText w:val="%2"/>
      <w:numFmt w:val="lowerLetter"/>
      <w:start w:val="1"/>
    </w:lvl>
  </w:abstractNum>
  <w:abstractNum w:abstractNumId="98">
    <w:nsid w:val="6FC75AF8"/>
    <w:multiLevelType w:val="hybridMultilevel"/>
    <w:lvl w:ilvl="0">
      <w:lvlJc w:val="left"/>
      <w:lvlText w:val="A"/>
      <w:numFmt w:val="bullet"/>
      <w:start w:val="1"/>
    </w:lvl>
  </w:abstractNum>
  <w:abstractNum w:abstractNumId="99">
    <w:nsid w:val="6A5F702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2019-12-07T07:23:28Z</dcterms:created>
  <dcterms:modified xsi:type="dcterms:W3CDTF">2019-12-07T07:23:28Z</dcterms:modified>
</cp:coreProperties>
</file>