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4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133350</wp:posOffset>
            </wp:positionV>
            <wp:extent cx="12947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11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20"/>
        <w:spacing w:after="0" w:line="171" w:lineRule="exact"/>
        <w:rPr>
          <w:sz w:val="20"/>
          <w:szCs w:val="20"/>
          <w:color w:val="auto"/>
        </w:rPr>
      </w:pP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For the quarterly period ended March 31, 2026</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OR</w:t>
      </w:r>
    </w:p>
    <w:p>
      <w:pPr>
        <w:spacing w:after="0" w:line="113" w:lineRule="exact"/>
        <w:rPr>
          <w:sz w:val="24"/>
          <w:szCs w:val="24"/>
          <w:color w:val="auto"/>
        </w:rPr>
      </w:pPr>
    </w:p>
    <w:p>
      <w:pPr>
        <w:ind w:left="2760" w:right="700" w:hanging="2757"/>
        <w:spacing w:after="0" w:line="40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000-50976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2089785</wp:posOffset>
            </wp:positionH>
            <wp:positionV relativeFrom="paragraph">
              <wp:posOffset>13335</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940" w:space="380"/>
            <w:col w:w="9920"/>
          </w:cols>
          <w:pgMar w:left="320" w:top="229" w:right="339" w:bottom="1440" w:gutter="0" w:footer="0" w:header="0"/>
          <w:type w:val="continuous"/>
        </w:sectPr>
      </w:pPr>
    </w:p>
    <w:p>
      <w:pPr>
        <w:jc w:val="center"/>
        <w:ind w:right="-19"/>
        <w:spacing w:after="0"/>
        <w:rPr>
          <w:sz w:val="20"/>
          <w:szCs w:val="20"/>
          <w:color w:val="auto"/>
        </w:rPr>
      </w:pPr>
      <w:r>
        <w:rPr>
          <w:rFonts w:ascii="Arial" w:cs="Arial" w:eastAsia="Arial" w:hAnsi="Arial"/>
          <w:sz w:val="25"/>
          <w:szCs w:val="25"/>
          <w:b w:val="1"/>
          <w:bCs w:val="1"/>
          <w:color w:val="auto"/>
        </w:rPr>
        <w:t>HURON CONSULTING GROUP INC.</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109220</wp:posOffset>
            </wp:positionV>
            <wp:extent cx="1294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tbl>
      <w:tblPr>
        <w:tblLayout w:type="fixed"/>
        <w:tblInd w:w="10" w:type="dxa"/>
        <w:tblCellMar>
          <w:top w:w="0" w:type="dxa"/>
          <w:left w:w="0" w:type="dxa"/>
          <w:bottom w:w="0" w:type="dxa"/>
          <w:right w:w="0" w:type="dxa"/>
        </w:tblCellMar>
      </w:tblPr>
      <w:tr>
        <w:trPr>
          <w:trHeight w:val="239"/>
        </w:trPr>
        <w:tc>
          <w:tcPr>
            <w:tcW w:w="3780" w:type="dxa"/>
            <w:vAlign w:val="bottom"/>
          </w:tcPr>
          <w:p>
            <w:pPr>
              <w:jc w:val="center"/>
              <w:ind w:left="1318"/>
              <w:spacing w:after="0"/>
              <w:rPr>
                <w:sz w:val="20"/>
                <w:szCs w:val="20"/>
                <w:color w:val="auto"/>
              </w:rPr>
            </w:pPr>
            <w:r>
              <w:rPr>
                <w:rFonts w:ascii="Arial" w:cs="Arial" w:eastAsia="Arial" w:hAnsi="Arial"/>
                <w:sz w:val="18"/>
                <w:szCs w:val="18"/>
                <w:b w:val="1"/>
                <w:bCs w:val="1"/>
                <w:color w:val="auto"/>
                <w:w w:val="98"/>
              </w:rPr>
              <w:t>Delaware</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01-0666114</w:t>
            </w:r>
          </w:p>
        </w:tc>
      </w:tr>
      <w:tr>
        <w:trPr>
          <w:trHeight w:val="148"/>
        </w:trPr>
        <w:tc>
          <w:tcPr>
            <w:tcW w:w="3780" w:type="dxa"/>
            <w:vAlign w:val="bottom"/>
          </w:tcPr>
          <w:p>
            <w:pPr>
              <w:jc w:val="center"/>
              <w:ind w:left="1318"/>
              <w:spacing w:after="0" w:line="149" w:lineRule="exact"/>
              <w:rPr>
                <w:sz w:val="20"/>
                <w:szCs w:val="20"/>
                <w:color w:val="auto"/>
              </w:rPr>
            </w:pPr>
            <w:r>
              <w:rPr>
                <w:rFonts w:ascii="Arial" w:cs="Arial" w:eastAsia="Arial" w:hAnsi="Arial"/>
                <w:sz w:val="14"/>
                <w:szCs w:val="14"/>
                <w:b w:val="1"/>
                <w:bCs w:val="1"/>
                <w:color w:val="auto"/>
              </w:rPr>
              <w:t>(State or other jurisdiction of</w:t>
            </w: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9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3780" w:type="dxa"/>
            <w:vAlign w:val="bottom"/>
          </w:tcPr>
          <w:p>
            <w:pPr>
              <w:jc w:val="center"/>
              <w:ind w:left="1318"/>
              <w:spacing w:after="0"/>
              <w:rPr>
                <w:sz w:val="20"/>
                <w:szCs w:val="20"/>
                <w:color w:val="auto"/>
              </w:rPr>
            </w:pPr>
            <w:r>
              <w:rPr>
                <w:rFonts w:ascii="Arial" w:cs="Arial" w:eastAsia="Arial" w:hAnsi="Arial"/>
                <w:sz w:val="14"/>
                <w:szCs w:val="14"/>
                <w:b w:val="1"/>
                <w:bCs w:val="1"/>
                <w:color w:val="auto"/>
              </w:rPr>
              <w:t>incorporation or organization)</w:t>
            </w: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Pr>
          <w:p>
            <w:pPr>
              <w:jc w:val="center"/>
              <w:ind w:right="1879"/>
              <w:spacing w:after="0"/>
              <w:rPr>
                <w:sz w:val="20"/>
                <w:szCs w:val="20"/>
                <w:color w:val="auto"/>
              </w:rPr>
            </w:pPr>
            <w:r>
              <w:rPr>
                <w:rFonts w:ascii="Arial" w:cs="Arial" w:eastAsia="Arial" w:hAnsi="Arial"/>
                <w:sz w:val="14"/>
                <w:szCs w:val="14"/>
                <w:b w:val="1"/>
                <w:bCs w:val="1"/>
                <w:color w:val="auto"/>
              </w:rPr>
              <w:t>Identification Number)</w:t>
            </w:r>
          </w:p>
        </w:tc>
      </w:tr>
      <w:tr>
        <w:trPr>
          <w:trHeight w:val="280"/>
        </w:trPr>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9"/>
              </w:rPr>
              <w:t>550 West Van Buren Street</w:t>
            </w:r>
          </w:p>
        </w:tc>
        <w:tc>
          <w:tcPr>
            <w:tcW w:w="392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Chicago, Illinois</w:t>
            </w:r>
          </w:p>
        </w:tc>
        <w:tc>
          <w:tcPr>
            <w:tcW w:w="3920" w:type="dxa"/>
            <w:vAlign w:val="bottom"/>
          </w:tcPr>
          <w:p>
            <w:pPr>
              <w:spacing w:after="0"/>
              <w:rPr>
                <w:sz w:val="18"/>
                <w:szCs w:val="18"/>
                <w:color w:val="auto"/>
              </w:rPr>
            </w:pPr>
          </w:p>
        </w:tc>
      </w:tr>
      <w:tr>
        <w:trPr>
          <w:trHeight w:val="226"/>
        </w:trPr>
        <w:tc>
          <w:tcPr>
            <w:tcW w:w="3780" w:type="dxa"/>
            <w:vAlign w:val="bottom"/>
          </w:tcPr>
          <w:p>
            <w:pPr>
              <w:spacing w:after="0"/>
              <w:rPr>
                <w:sz w:val="19"/>
                <w:szCs w:val="19"/>
                <w:color w:val="auto"/>
              </w:rPr>
            </w:pPr>
          </w:p>
        </w:tc>
        <w:tc>
          <w:tcPr>
            <w:tcW w:w="2860" w:type="dxa"/>
            <w:vAlign w:val="bottom"/>
            <w:gridSpan w:val="3"/>
          </w:tcPr>
          <w:p>
            <w:pPr>
              <w:jc w:val="right"/>
              <w:ind w:right="677"/>
              <w:spacing w:after="0"/>
              <w:rPr>
                <w:sz w:val="20"/>
                <w:szCs w:val="20"/>
                <w:color w:val="auto"/>
              </w:rPr>
            </w:pPr>
            <w:r>
              <w:rPr>
                <w:rFonts w:ascii="Arial" w:cs="Arial" w:eastAsia="Arial" w:hAnsi="Arial"/>
                <w:sz w:val="18"/>
                <w:szCs w:val="18"/>
                <w:b w:val="1"/>
                <w:bCs w:val="1"/>
                <w:color w:val="auto"/>
              </w:rPr>
              <w:t>60607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175"/>
        </w:trPr>
        <w:tc>
          <w:tcPr>
            <w:tcW w:w="3780" w:type="dxa"/>
            <w:vAlign w:val="bottom"/>
          </w:tcPr>
          <w:p>
            <w:pPr>
              <w:spacing w:after="0"/>
              <w:rPr>
                <w:sz w:val="15"/>
                <w:szCs w:val="15"/>
                <w:color w:val="auto"/>
              </w:rPr>
            </w:pPr>
          </w:p>
        </w:tc>
        <w:tc>
          <w:tcPr>
            <w:tcW w:w="3240" w:type="dxa"/>
            <w:vAlign w:val="bottom"/>
            <w:gridSpan w:val="5"/>
          </w:tcPr>
          <w:p>
            <w:pPr>
              <w:jc w:val="center"/>
              <w:ind w:left="359"/>
              <w:spacing w:after="0"/>
              <w:rPr>
                <w:sz w:val="20"/>
                <w:szCs w:val="20"/>
                <w:color w:val="auto"/>
              </w:rPr>
            </w:pPr>
            <w:r>
              <w:rPr>
                <w:rFonts w:ascii="Arial" w:cs="Arial" w:eastAsia="Arial" w:hAnsi="Arial"/>
                <w:sz w:val="14"/>
                <w:szCs w:val="14"/>
                <w:b w:val="1"/>
                <w:bCs w:val="1"/>
                <w:color w:val="auto"/>
              </w:rPr>
              <w:t>(Address of principal executive offices)</w:t>
            </w:r>
          </w:p>
        </w:tc>
        <w:tc>
          <w:tcPr>
            <w:tcW w:w="3920" w:type="dxa"/>
            <w:vAlign w:val="bottom"/>
          </w:tcPr>
          <w:p>
            <w:pPr>
              <w:spacing w:after="0"/>
              <w:rPr>
                <w:sz w:val="15"/>
                <w:szCs w:val="15"/>
                <w:color w:val="auto"/>
              </w:rPr>
            </w:pPr>
          </w:p>
        </w:tc>
      </w:tr>
      <w:tr>
        <w:trPr>
          <w:trHeight w:val="196"/>
        </w:trPr>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(Zip Code)</w:t>
            </w:r>
          </w:p>
        </w:tc>
        <w:tc>
          <w:tcPr>
            <w:tcW w:w="3920" w:type="dxa"/>
            <w:vAlign w:val="bottom"/>
          </w:tcPr>
          <w:p>
            <w:pPr>
              <w:spacing w:after="0"/>
              <w:rPr>
                <w:sz w:val="17"/>
                <w:szCs w:val="17"/>
                <w:color w:val="auto"/>
              </w:rPr>
            </w:pPr>
          </w:p>
        </w:tc>
      </w:tr>
      <w:tr>
        <w:trPr>
          <w:trHeight w:val="303"/>
        </w:trPr>
        <w:tc>
          <w:tcPr>
            <w:tcW w:w="3780" w:type="dxa"/>
            <w:vAlign w:val="bottom"/>
          </w:tcPr>
          <w:p>
            <w:pPr>
              <w:spacing w:after="0"/>
              <w:rPr>
                <w:sz w:val="24"/>
                <w:szCs w:val="24"/>
                <w:color w:val="auto"/>
              </w:rPr>
            </w:pPr>
          </w:p>
        </w:tc>
        <w:tc>
          <w:tcPr>
            <w:tcW w:w="2860" w:type="dxa"/>
            <w:vAlign w:val="bottom"/>
            <w:gridSpan w:val="3"/>
          </w:tcPr>
          <w:p>
            <w:pPr>
              <w:jc w:val="right"/>
              <w:ind w:right="317"/>
              <w:spacing w:after="0"/>
              <w:rPr>
                <w:sz w:val="20"/>
                <w:szCs w:val="20"/>
                <w:color w:val="auto"/>
              </w:rPr>
            </w:pPr>
            <w:r>
              <w:rPr>
                <w:rFonts w:ascii="Arial" w:cs="Arial" w:eastAsia="Arial" w:hAnsi="Arial"/>
                <w:sz w:val="18"/>
                <w:szCs w:val="18"/>
                <w:b w:val="1"/>
                <w:bCs w:val="1"/>
                <w:color w:val="auto"/>
              </w:rPr>
              <w:t>(312) 583-8700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196"/>
        </w:trPr>
        <w:tc>
          <w:tcPr>
            <w:tcW w:w="3780" w:type="dxa"/>
            <w:vAlign w:val="bottom"/>
          </w:tcPr>
          <w:p>
            <w:pPr>
              <w:spacing w:after="0"/>
              <w:rPr>
                <w:sz w:val="17"/>
                <w:szCs w:val="17"/>
                <w:color w:val="auto"/>
              </w:rPr>
            </w:pPr>
          </w:p>
        </w:tc>
        <w:tc>
          <w:tcPr>
            <w:tcW w:w="7160" w:type="dxa"/>
            <w:vAlign w:val="bottom"/>
            <w:gridSpan w:val="6"/>
          </w:tcPr>
          <w:p>
            <w:pPr>
              <w:jc w:val="center"/>
              <w:ind w:right="3399"/>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50"/>
        </w:trPr>
        <w:tc>
          <w:tcPr>
            <w:tcW w:w="4320" w:type="dxa"/>
            <w:vAlign w:val="bottom"/>
            <w:gridSpan w:val="2"/>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920" w:type="dxa"/>
            <w:vAlign w:val="bottom"/>
          </w:tcPr>
          <w:p>
            <w:pPr>
              <w:spacing w:after="0"/>
              <w:rPr>
                <w:sz w:val="13"/>
                <w:szCs w:val="13"/>
                <w:color w:val="auto"/>
              </w:rPr>
            </w:pPr>
          </w:p>
        </w:tc>
      </w:tr>
      <w:tr>
        <w:trPr>
          <w:trHeight w:val="290"/>
        </w:trPr>
        <w:tc>
          <w:tcPr>
            <w:tcW w:w="7020" w:type="dxa"/>
            <w:vAlign w:val="bottom"/>
            <w:gridSpan w:val="6"/>
          </w:tcPr>
          <w:p>
            <w:pPr>
              <w:jc w:val="center"/>
              <w:ind w:right="2680"/>
              <w:spacing w:after="0"/>
              <w:rPr>
                <w:sz w:val="20"/>
                <w:szCs w:val="20"/>
                <w:color w:val="auto"/>
              </w:rPr>
            </w:pPr>
            <w:r>
              <w:rPr>
                <w:rFonts w:ascii="Arial" w:cs="Arial" w:eastAsia="Arial" w:hAnsi="Arial"/>
                <w:sz w:val="17"/>
                <w:szCs w:val="17"/>
                <w:color w:val="auto"/>
              </w:rPr>
              <w:t>Securities registered pursuant to Section 12(b) of the Act:</w:t>
            </w:r>
          </w:p>
        </w:tc>
        <w:tc>
          <w:tcPr>
            <w:tcW w:w="3920" w:type="dxa"/>
            <w:vAlign w:val="bottom"/>
          </w:tcPr>
          <w:p>
            <w:pPr>
              <w:spacing w:after="0"/>
              <w:rPr>
                <w:sz w:val="24"/>
                <w:szCs w:val="24"/>
                <w:color w:val="auto"/>
              </w:rPr>
            </w:pPr>
          </w:p>
        </w:tc>
      </w:tr>
      <w:tr>
        <w:trPr>
          <w:trHeight w:val="108"/>
        </w:trPr>
        <w:tc>
          <w:tcPr>
            <w:tcW w:w="3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920" w:type="dxa"/>
            <w:vAlign w:val="bottom"/>
            <w:tcBorders>
              <w:bottom w:val="single" w:sz="8" w:color="auto"/>
            </w:tcBorders>
          </w:tcPr>
          <w:p>
            <w:pPr>
              <w:spacing w:after="0"/>
              <w:rPr>
                <w:sz w:val="9"/>
                <w:szCs w:val="9"/>
                <w:color w:val="auto"/>
              </w:rPr>
            </w:pPr>
          </w:p>
        </w:tc>
      </w:tr>
      <w:tr>
        <w:trPr>
          <w:trHeight w:val="223"/>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b w:val="1"/>
                <w:bCs w:val="1"/>
                <w:color w:val="auto"/>
              </w:rPr>
              <w:t>Title of each class</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9"/>
              </w:rPr>
              <w:t>Trading Symbol</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59"/>
              <w:spacing w:after="0"/>
              <w:rPr>
                <w:sz w:val="20"/>
                <w:szCs w:val="20"/>
                <w:color w:val="auto"/>
              </w:rPr>
            </w:pPr>
            <w:r>
              <w:rPr>
                <w:rFonts w:ascii="Arial" w:cs="Arial" w:eastAsia="Arial" w:hAnsi="Arial"/>
                <w:sz w:val="17"/>
                <w:szCs w:val="17"/>
                <w:b w:val="1"/>
                <w:bCs w:val="1"/>
                <w:color w:val="auto"/>
              </w:rPr>
              <w:t>Name of each exchange on which registered</w:t>
            </w:r>
          </w:p>
        </w:tc>
      </w:tr>
      <w:tr>
        <w:trPr>
          <w:trHeight w:val="221"/>
        </w:trPr>
        <w:tc>
          <w:tcPr>
            <w:tcW w:w="3780" w:type="dxa"/>
            <w:vAlign w:val="bottom"/>
            <w:tcBorders>
              <w:left w:val="single" w:sz="8" w:color="auto"/>
              <w:bottom w:val="single" w:sz="8" w:color="auto"/>
            </w:tcBorders>
          </w:tcPr>
          <w:p>
            <w:pPr>
              <w:jc w:val="center"/>
              <w:ind w:left="458"/>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7"/>
                <w:szCs w:val="17"/>
                <w:color w:val="auto"/>
              </w:rPr>
              <w:t>HURN</w:t>
            </w:r>
          </w:p>
        </w:tc>
        <w:tc>
          <w:tcPr>
            <w:tcW w:w="200" w:type="dxa"/>
            <w:vAlign w:val="bottom"/>
            <w:tcBorders>
              <w:bottom w:val="single" w:sz="8" w:color="auto"/>
            </w:tcBorders>
          </w:tcPr>
          <w:p>
            <w:pPr>
              <w:spacing w:after="0"/>
              <w:rPr>
                <w:sz w:val="19"/>
                <w:szCs w:val="19"/>
                <w:color w:val="auto"/>
              </w:rPr>
            </w:pPr>
          </w:p>
        </w:tc>
        <w:tc>
          <w:tcPr>
            <w:tcW w:w="3920" w:type="dxa"/>
            <w:vAlign w:val="bottom"/>
            <w:tcBorders>
              <w:bottom w:val="single" w:sz="8" w:color="auto"/>
              <w:right w:val="single" w:sz="8" w:color="auto"/>
            </w:tcBorders>
          </w:tcPr>
          <w:p>
            <w:pPr>
              <w:jc w:val="center"/>
              <w:ind w:right="139"/>
              <w:spacing w:after="0"/>
              <w:rPr>
                <w:sz w:val="20"/>
                <w:szCs w:val="20"/>
                <w:color w:val="auto"/>
              </w:rPr>
            </w:pPr>
            <w:r>
              <w:rPr>
                <w:rFonts w:ascii="Arial" w:cs="Arial" w:eastAsia="Arial" w:hAnsi="Arial"/>
                <w:sz w:val="17"/>
                <w:szCs w:val="17"/>
                <w:color w:val="auto"/>
              </w:rPr>
              <w:t>Nasdaq Global Select Market</w:t>
            </w:r>
          </w:p>
        </w:tc>
      </w:tr>
    </w:tbl>
    <w:p>
      <w:pPr>
        <w:spacing w:after="0" w:line="72" w:lineRule="exact"/>
        <w:rPr>
          <w:sz w:val="24"/>
          <w:szCs w:val="24"/>
          <w:color w:val="auto"/>
        </w:rPr>
      </w:pPr>
    </w:p>
    <w:p>
      <w:pPr>
        <w:jc w:val="both"/>
        <w:ind w:right="300"/>
        <w:spacing w:after="0" w:line="22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8" w:lineRule="exact"/>
        <w:rPr>
          <w:sz w:val="24"/>
          <w:szCs w:val="24"/>
          <w:color w:val="auto"/>
        </w:rPr>
      </w:pPr>
    </w:p>
    <w:p>
      <w:pPr>
        <w:ind w:right="80"/>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23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7"/>
                <w:szCs w:val="17"/>
                <w:color w:val="auto"/>
              </w:rPr>
              <w:t>☒</w:t>
            </w:r>
          </w:p>
        </w:tc>
        <w:tc>
          <w:tcPr>
            <w:tcW w:w="1660" w:type="dxa"/>
            <w:vAlign w:val="bottom"/>
            <w:vMerge w:val="restart"/>
          </w:tcPr>
          <w:p>
            <w:pPr>
              <w:ind w:left="200"/>
              <w:spacing w:after="0"/>
              <w:rPr>
                <w:sz w:val="20"/>
                <w:szCs w:val="20"/>
                <w:color w:val="auto"/>
              </w:rPr>
            </w:pPr>
            <w:r>
              <w:rPr>
                <w:rFonts w:ascii="Arial" w:cs="Arial" w:eastAsia="Arial" w:hAnsi="Arial"/>
                <w:sz w:val="17"/>
                <w:szCs w:val="17"/>
                <w:color w:val="auto"/>
              </w:rPr>
              <w:t>Accelerated Filer</w:t>
            </w:r>
          </w:p>
        </w:tc>
        <w:tc>
          <w:tcPr>
            <w:tcW w:w="2800" w:type="dxa"/>
            <w:vAlign w:val="bottom"/>
            <w:vMerge w:val="restart"/>
          </w:tcPr>
          <w:p>
            <w:pPr>
              <w:ind w:left="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p>
        </w:tc>
        <w:tc>
          <w:tcPr>
            <w:tcW w:w="1740" w:type="dxa"/>
            <w:vAlign w:val="bottom"/>
          </w:tcPr>
          <w:p>
            <w:pPr>
              <w:jc w:val="center"/>
              <w:spacing w:after="0"/>
              <w:rPr>
                <w:sz w:val="20"/>
                <w:szCs w:val="20"/>
                <w:color w:val="auto"/>
              </w:rPr>
            </w:pPr>
            <w:r>
              <w:rPr>
                <w:rFonts w:ascii="Arial" w:cs="Arial" w:eastAsia="Arial" w:hAnsi="Arial"/>
                <w:sz w:val="17"/>
                <w:szCs w:val="17"/>
                <w:color w:val="auto"/>
              </w:rPr>
              <w:t>Smaller Reporting</w:t>
            </w:r>
          </w:p>
        </w:tc>
        <w:tc>
          <w:tcPr>
            <w:tcW w:w="5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1720" w:type="dxa"/>
            <w:vAlign w:val="bottom"/>
          </w:tcPr>
          <w:p>
            <w:pPr>
              <w:jc w:val="center"/>
              <w:spacing w:after="0"/>
              <w:rPr>
                <w:sz w:val="20"/>
                <w:szCs w:val="20"/>
                <w:color w:val="auto"/>
              </w:rPr>
            </w:pPr>
            <w:r>
              <w:rPr>
                <w:rFonts w:ascii="Arial" w:cs="Arial" w:eastAsia="Arial" w:hAnsi="Arial"/>
                <w:sz w:val="17"/>
                <w:szCs w:val="17"/>
                <w:color w:val="auto"/>
                <w:w w:val="99"/>
              </w:rPr>
              <w:t>Emerging Growth</w:t>
            </w:r>
          </w:p>
        </w:tc>
        <w:tc>
          <w:tcPr>
            <w:tcW w:w="340" w:type="dxa"/>
            <w:vAlign w:val="bottom"/>
            <w:vMerge w:val="restart"/>
          </w:tcPr>
          <w:p>
            <w:pPr>
              <w:ind w:left="18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5"/>
        </w:trPr>
        <w:tc>
          <w:tcPr>
            <w:tcW w:w="232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280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540" w:type="dxa"/>
            <w:vAlign w:val="bottom"/>
            <w:vMerge w:val="continue"/>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Company</w:t>
            </w: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jc w:val="both"/>
        <w:ind w:right="80"/>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320"/>
        <w:spacing w:after="0" w:line="265"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59" w:lineRule="exact"/>
        <w:rPr>
          <w:sz w:val="24"/>
          <w:szCs w:val="24"/>
          <w:color w:val="auto"/>
        </w:rPr>
      </w:pPr>
    </w:p>
    <w:p>
      <w:pPr>
        <w:spacing w:after="0"/>
        <w:rPr>
          <w:sz w:val="20"/>
          <w:szCs w:val="20"/>
          <w:color w:val="auto"/>
        </w:rPr>
      </w:pPr>
      <w:r>
        <w:rPr>
          <w:rFonts w:ascii="Arial" w:cs="Arial" w:eastAsia="Arial" w:hAnsi="Arial"/>
          <w:sz w:val="17"/>
          <w:szCs w:val="17"/>
          <w:color w:val="auto"/>
        </w:rPr>
        <w:t>As of April 28, 2026, 16,211,829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734695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17780</wp:posOffset>
            </wp:positionV>
            <wp:extent cx="67633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3385" cy="825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 w:type="dxa"/>
            <w:vAlign w:val="bottom"/>
          </w:tcPr>
          <w:p>
            <w:pPr>
              <w:spacing w:after="0"/>
              <w:rPr>
                <w:sz w:val="17"/>
                <w:szCs w:val="17"/>
                <w:color w:val="auto"/>
              </w:rPr>
            </w:pPr>
          </w:p>
        </w:tc>
        <w:tc>
          <w:tcPr>
            <w:tcW w:w="9820" w:type="dxa"/>
            <w:vAlign w:val="bottom"/>
            <w:gridSpan w:val="2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1100" w:type="dxa"/>
            <w:vAlign w:val="bottom"/>
            <w:gridSpan w:val="5"/>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9820" w:type="dxa"/>
            <w:vAlign w:val="bottom"/>
            <w:gridSpan w:val="20"/>
            <w:vMerge w:val="continue"/>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Consolidated Financial Statements (Unaudited)</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w w:val="99"/>
              </w:rPr>
              <w:t>Consolidated Balance Sheets</w:t>
            </w:r>
          </w:p>
        </w:tc>
        <w:tc>
          <w:tcPr>
            <w:tcW w:w="1400" w:type="dxa"/>
            <w:vAlign w:val="bottom"/>
            <w:tcBorders>
              <w:top w:val="single" w:sz="8" w:color="0000FF"/>
            </w:tcBorders>
            <w:gridSpan w:val="4"/>
          </w:tcPr>
          <w:p>
            <w:pPr>
              <w:spacing w:after="0"/>
              <w:rPr>
                <w:sz w:val="18"/>
                <w:szCs w:val="18"/>
                <w:color w:val="auto"/>
              </w:rPr>
            </w:pPr>
          </w:p>
        </w:tc>
        <w:tc>
          <w:tcPr>
            <w:tcW w:w="4820" w:type="dxa"/>
            <w:vAlign w:val="bottom"/>
            <w:gridSpan w:val="6"/>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w w:val="99"/>
              </w:rPr>
              <w:t>Consolidated Statements of Operations and Other Comprehensive Income</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940" w:type="dxa"/>
            <w:vAlign w:val="bottom"/>
            <w:gridSpan w:val="16"/>
          </w:tcPr>
          <w:p>
            <w:pPr>
              <w:spacing w:after="0"/>
              <w:rPr>
                <w:sz w:val="20"/>
                <w:szCs w:val="20"/>
                <w:color w:val="auto"/>
              </w:rPr>
            </w:pPr>
            <w:r>
              <w:rPr>
                <w:rFonts w:ascii="Arial" w:cs="Arial" w:eastAsia="Arial" w:hAnsi="Arial"/>
                <w:sz w:val="18"/>
                <w:szCs w:val="18"/>
                <w:color w:val="0000FF"/>
              </w:rPr>
              <w:t>Consolidated Statements of Stockholders’ Equity</w:t>
            </w:r>
          </w:p>
        </w:tc>
        <w:tc>
          <w:tcPr>
            <w:tcW w:w="2640" w:type="dxa"/>
            <w:vAlign w:val="bottom"/>
            <w:gridSpan w:val="2"/>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0" w:type="dxa"/>
            <w:vAlign w:val="bottom"/>
            <w:gridSpan w:val="10"/>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4700" w:type="dxa"/>
            <w:vAlign w:val="bottom"/>
            <w:gridSpan w:val="5"/>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00" w:type="dxa"/>
            <w:vAlign w:val="bottom"/>
            <w:gridSpan w:val="11"/>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5080" w:type="dxa"/>
            <w:vAlign w:val="bottom"/>
            <w:gridSpan w:val="7"/>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7080" w:type="dxa"/>
            <w:vAlign w:val="bottom"/>
            <w:gridSpan w:val="17"/>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23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708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4700" w:type="dxa"/>
            <w:vAlign w:val="bottom"/>
            <w:gridSpan w:val="14"/>
          </w:tcPr>
          <w:p>
            <w:pPr>
              <w:spacing w:after="0"/>
              <w:rPr>
                <w:sz w:val="20"/>
                <w:szCs w:val="20"/>
                <w:color w:val="auto"/>
              </w:rPr>
            </w:pPr>
            <w:r>
              <w:rPr>
                <w:rFonts w:ascii="Arial" w:cs="Arial" w:eastAsia="Arial" w:hAnsi="Arial"/>
                <w:sz w:val="18"/>
                <w:szCs w:val="18"/>
                <w:color w:val="0000FF"/>
              </w:rPr>
              <w:t>Controls and Procedures</w:t>
            </w:r>
          </w:p>
        </w:tc>
        <w:tc>
          <w:tcPr>
            <w:tcW w:w="3880" w:type="dxa"/>
            <w:vAlign w:val="bottom"/>
            <w:gridSpan w:val="4"/>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2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9"/>
              </w:rPr>
              <w:t>Part II – Other Information</w:t>
            </w:r>
          </w:p>
        </w:tc>
        <w:tc>
          <w:tcPr>
            <w:tcW w:w="7600" w:type="dxa"/>
            <w:vAlign w:val="bottom"/>
            <w:gridSpan w:val="16"/>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w:t>
            </w:r>
          </w:p>
        </w:tc>
        <w:tc>
          <w:tcPr>
            <w:tcW w:w="858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1A.</w:t>
            </w:r>
          </w:p>
        </w:tc>
        <w:tc>
          <w:tcPr>
            <w:tcW w:w="1000" w:type="dxa"/>
            <w:vAlign w:val="bottom"/>
            <w:gridSpan w:val="3"/>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gridSpan w:val="3"/>
          </w:tcPr>
          <w:p>
            <w:pPr>
              <w:spacing w:after="0"/>
              <w:rPr>
                <w:sz w:val="22"/>
                <w:szCs w:val="22"/>
                <w:color w:val="auto"/>
              </w:rPr>
            </w:pPr>
          </w:p>
        </w:tc>
        <w:tc>
          <w:tcPr>
            <w:tcW w:w="7100" w:type="dxa"/>
            <w:vAlign w:val="bottom"/>
            <w:gridSpan w:val="12"/>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2.</w:t>
            </w:r>
          </w:p>
        </w:tc>
        <w:tc>
          <w:tcPr>
            <w:tcW w:w="8580" w:type="dxa"/>
            <w:vAlign w:val="bottom"/>
            <w:gridSpan w:val="18"/>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40</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3.</w:t>
            </w:r>
          </w:p>
        </w:tc>
        <w:tc>
          <w:tcPr>
            <w:tcW w:w="4840" w:type="dxa"/>
            <w:vAlign w:val="bottom"/>
            <w:gridSpan w:val="15"/>
          </w:tcPr>
          <w:p>
            <w:pPr>
              <w:spacing w:after="0"/>
              <w:rPr>
                <w:sz w:val="20"/>
                <w:szCs w:val="20"/>
                <w:color w:val="auto"/>
              </w:rPr>
            </w:pPr>
            <w:r>
              <w:rPr>
                <w:rFonts w:ascii="Arial" w:cs="Arial" w:eastAsia="Arial" w:hAnsi="Arial"/>
                <w:sz w:val="18"/>
                <w:szCs w:val="18"/>
                <w:color w:val="0000FF"/>
              </w:rPr>
              <w:t>Defaults Upon Senior Securities</w:t>
            </w:r>
          </w:p>
        </w:tc>
        <w:tc>
          <w:tcPr>
            <w:tcW w:w="3740" w:type="dxa"/>
            <w:vAlign w:val="bottom"/>
            <w:gridSpan w:val="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sz w:val="20"/>
                <w:szCs w:val="20"/>
                <w:color w:val="auto"/>
              </w:rPr>
            </w:pPr>
            <w:r>
              <w:rPr>
                <w:rFonts w:ascii="Arial" w:cs="Arial" w:eastAsia="Arial" w:hAnsi="Arial"/>
                <w:sz w:val="18"/>
                <w:szCs w:val="18"/>
                <w:color w:val="0000FF"/>
              </w:rPr>
              <w:t>Mine Safety Disclosures</w:t>
            </w:r>
          </w:p>
        </w:tc>
        <w:tc>
          <w:tcPr>
            <w:tcW w:w="6040" w:type="dxa"/>
            <w:vAlign w:val="bottom"/>
            <w:gridSpan w:val="9"/>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5.</w:t>
            </w:r>
          </w:p>
        </w:tc>
        <w:tc>
          <w:tcPr>
            <w:tcW w:w="1400" w:type="dxa"/>
            <w:vAlign w:val="bottom"/>
            <w:gridSpan w:val="5"/>
          </w:tcPr>
          <w:p>
            <w:pPr>
              <w:spacing w:after="0"/>
              <w:rPr>
                <w:sz w:val="20"/>
                <w:szCs w:val="20"/>
                <w:color w:val="auto"/>
              </w:rPr>
            </w:pPr>
            <w:r>
              <w:rPr>
                <w:rFonts w:ascii="Arial" w:cs="Arial" w:eastAsia="Arial" w:hAnsi="Arial"/>
                <w:sz w:val="18"/>
                <w:szCs w:val="18"/>
                <w:color w:val="0000FF"/>
                <w:w w:val="98"/>
              </w:rPr>
              <w:t>Other Information</w:t>
            </w:r>
          </w:p>
        </w:tc>
        <w:tc>
          <w:tcPr>
            <w:tcW w:w="520" w:type="dxa"/>
            <w:vAlign w:val="bottom"/>
            <w:gridSpan w:val="2"/>
          </w:tcPr>
          <w:p>
            <w:pPr>
              <w:spacing w:after="0"/>
              <w:rPr>
                <w:sz w:val="22"/>
                <w:szCs w:val="22"/>
                <w:color w:val="auto"/>
              </w:rPr>
            </w:pPr>
          </w:p>
        </w:tc>
        <w:tc>
          <w:tcPr>
            <w:tcW w:w="6660" w:type="dxa"/>
            <w:vAlign w:val="bottom"/>
            <w:gridSpan w:val="11"/>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180" w:type="dxa"/>
            <w:vAlign w:val="bottom"/>
            <w:gridSpan w:val="1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Item 6.</w:t>
            </w:r>
          </w:p>
        </w:tc>
        <w:tc>
          <w:tcPr>
            <w:tcW w:w="1400" w:type="dxa"/>
            <w:vAlign w:val="bottom"/>
            <w:gridSpan w:val="5"/>
          </w:tcPr>
          <w:p>
            <w:pPr>
              <w:spacing w:after="0"/>
              <w:rPr>
                <w:sz w:val="20"/>
                <w:szCs w:val="20"/>
                <w:color w:val="auto"/>
              </w:rPr>
            </w:pPr>
            <w:r>
              <w:rPr>
                <w:rFonts w:ascii="Arial" w:cs="Arial" w:eastAsia="Arial" w:hAnsi="Arial"/>
                <w:sz w:val="18"/>
                <w:szCs w:val="18"/>
                <w:color w:val="0000FF"/>
              </w:rPr>
              <w:t>Exhibits</w:t>
            </w:r>
          </w:p>
        </w:tc>
        <w:tc>
          <w:tcPr>
            <w:tcW w:w="7180" w:type="dxa"/>
            <w:vAlign w:val="bottom"/>
            <w:gridSpan w:val="13"/>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0000FF"/>
              </w:rPr>
              <w:t>43</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6"/>
        </w:trPr>
        <w:tc>
          <w:tcPr>
            <w:tcW w:w="320" w:type="dxa"/>
            <w:vAlign w:val="bottom"/>
            <w:tcBorders>
              <w:bottom w:val="single" w:sz="8" w:color="9A9A9A"/>
            </w:tcBorders>
          </w:tcPr>
          <w:p>
            <w:pPr>
              <w:spacing w:after="0"/>
              <w:rPr>
                <w:sz w:val="24"/>
                <w:szCs w:val="24"/>
                <w:color w:val="auto"/>
              </w:rPr>
            </w:pPr>
          </w:p>
        </w:tc>
        <w:tc>
          <w:tcPr>
            <w:tcW w:w="82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2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1400" w:type="dxa"/>
            <w:vAlign w:val="bottom"/>
            <w:tcBorders>
              <w:top w:val="single" w:sz="8" w:color="0000FF"/>
            </w:tcBorders>
          </w:tcPr>
          <w:p>
            <w:pPr>
              <w:spacing w:after="0"/>
              <w:rPr>
                <w:sz w:val="24"/>
                <w:szCs w:val="24"/>
                <w:color w:val="auto"/>
              </w:rPr>
            </w:pPr>
          </w:p>
        </w:tc>
        <w:tc>
          <w:tcPr>
            <w:tcW w:w="6820" w:type="dxa"/>
            <w:vAlign w:val="bottom"/>
          </w:tcPr>
          <w:p>
            <w:pPr>
              <w:jc w:val="center"/>
              <w:ind w:left="1550"/>
              <w:spacing w:after="0"/>
              <w:rPr>
                <w:sz w:val="20"/>
                <w:szCs w:val="20"/>
                <w:color w:val="auto"/>
              </w:rPr>
            </w:pPr>
            <w:r>
              <w:rPr>
                <w:rFonts w:ascii="Arial" w:cs="Arial" w:eastAsia="Arial" w:hAnsi="Arial"/>
                <w:sz w:val="18"/>
                <w:szCs w:val="18"/>
                <w:b w:val="1"/>
                <w:bCs w:val="1"/>
                <w:color w:val="auto"/>
                <w:w w:val="99"/>
              </w:rPr>
              <w:t>PART I - FINANCIAL INFORMATION</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8"/>
              </w:rPr>
              <w:t>ITEM 1. CONSOLIDATED FINANCIAL STATEMENTS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8"/>
        </w:trPr>
        <w:tc>
          <w:tcPr>
            <w:tcW w:w="1400" w:type="dxa"/>
            <w:vAlign w:val="bottom"/>
          </w:tcPr>
          <w:p>
            <w:pPr>
              <w:spacing w:after="0"/>
              <w:rPr>
                <w:sz w:val="24"/>
                <w:szCs w:val="24"/>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HURON CONSULTING GROUP INC.</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6820" w:type="dxa"/>
            <w:vAlign w:val="bottom"/>
          </w:tcPr>
          <w:p>
            <w:pPr>
              <w:jc w:val="center"/>
              <w:ind w:left="153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2"/>
                <w:szCs w:val="22"/>
                <w:color w:val="auto"/>
              </w:rPr>
            </w:pPr>
          </w:p>
        </w:tc>
        <w:tc>
          <w:tcPr>
            <w:tcW w:w="6820" w:type="dxa"/>
            <w:vAlign w:val="bottom"/>
          </w:tcPr>
          <w:p>
            <w:pPr>
              <w:ind w:left="3700"/>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14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w:t>
            </w:r>
          </w:p>
        </w:tc>
        <w:tc>
          <w:tcPr>
            <w:tcW w:w="120" w:type="dxa"/>
            <w:vAlign w:val="bottom"/>
          </w:tcPr>
          <w:p>
            <w:pPr>
              <w:spacing w:after="0"/>
              <w:rPr>
                <w:sz w:val="24"/>
                <w:szCs w:val="24"/>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1400" w:type="dxa"/>
            <w:vAlign w:val="bottom"/>
            <w:tcBorders>
              <w:bottom w:val="single" w:sz="8" w:color="CCEEFF"/>
            </w:tcBorders>
          </w:tcPr>
          <w:p>
            <w:pPr>
              <w:spacing w:after="0"/>
              <w:rPr>
                <w:sz w:val="21"/>
                <w:szCs w:val="21"/>
                <w:color w:val="auto"/>
              </w:rPr>
            </w:pPr>
          </w:p>
        </w:tc>
        <w:tc>
          <w:tcPr>
            <w:tcW w:w="6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24,508</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Receivables from clients, net of allowances of $9,897 and $10,519, respectively</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209,060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186,506</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Unbilled services, net of allowances of $2,919 and $3,384,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195,464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33,676</w:t>
            </w:r>
          </w:p>
        </w:tc>
        <w:tc>
          <w:tcPr>
            <w:tcW w:w="0" w:type="dxa"/>
            <w:vAlign w:val="bottom"/>
          </w:tcPr>
          <w:p>
            <w:pPr>
              <w:spacing w:after="0"/>
              <w:rPr>
                <w:sz w:val="1"/>
                <w:szCs w:val="1"/>
                <w:color w:val="auto"/>
              </w:rPr>
            </w:pPr>
          </w:p>
        </w:tc>
      </w:tr>
      <w:tr>
        <w:trPr>
          <w:trHeight w:val="223"/>
        </w:trPr>
        <w:tc>
          <w:tcPr>
            <w:tcW w:w="8220" w:type="dxa"/>
            <w:vAlign w:val="bottom"/>
            <w:gridSpan w:val="2"/>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514,742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448,584</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23,472</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investments, net of allowances of $10,382 and $10,382,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36,433</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19,846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20,027</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134,781</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68,975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72,927</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786,949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786,896</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1,526,683</w:t>
            </w: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30"/>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38,117</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266,950</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maturities of operating lease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revenues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31,569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31,708</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383,433</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and other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63,316</w:t>
            </w:r>
          </w:p>
        </w:tc>
        <w:tc>
          <w:tcPr>
            <w:tcW w:w="0" w:type="dxa"/>
            <w:vAlign w:val="bottom"/>
          </w:tcPr>
          <w:p>
            <w:pPr>
              <w:spacing w:after="0"/>
              <w:rPr>
                <w:sz w:val="1"/>
                <w:szCs w:val="1"/>
                <w:color w:val="auto"/>
              </w:rPr>
            </w:pPr>
          </w:p>
        </w:tc>
      </w:tr>
      <w:tr>
        <w:trPr>
          <w:trHeight w:val="229"/>
        </w:trPr>
        <w:tc>
          <w:tcPr>
            <w:tcW w:w="8220" w:type="dxa"/>
            <w:vAlign w:val="bottom"/>
            <w:gridSpan w:val="2"/>
          </w:tcPr>
          <w:p>
            <w:pPr>
              <w:ind w:left="36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834,739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489,665</w:t>
            </w: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24,371</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39,775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37,269</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non-current liabilities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614,621</w:t>
            </w:r>
          </w:p>
        </w:tc>
        <w:tc>
          <w:tcPr>
            <w:tcW w:w="0" w:type="dxa"/>
            <w:vAlign w:val="bottom"/>
          </w:tcPr>
          <w:p>
            <w:pPr>
              <w:spacing w:after="0"/>
              <w:rPr>
                <w:sz w:val="1"/>
                <w:szCs w:val="1"/>
                <w:color w:val="auto"/>
              </w:rPr>
            </w:pPr>
          </w:p>
        </w:tc>
      </w:tr>
      <w:tr>
        <w:trPr>
          <w:trHeight w:val="230"/>
        </w:trPr>
        <w:tc>
          <w:tcPr>
            <w:tcW w:w="82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$0.01 par value; 500,000,000 shares authorized; 19,798,449 and 20,465,234 shares</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issued, respectively</w:t>
            </w:r>
          </w:p>
        </w:tc>
        <w:tc>
          <w:tcPr>
            <w:tcW w:w="2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Treasury stock, at cost, 3,407,494 and 3,269,301 shares, respectively</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(189,989)</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87,885</w:t>
            </w:r>
          </w:p>
        </w:tc>
        <w:tc>
          <w:tcPr>
            <w:tcW w:w="0" w:type="dxa"/>
            <w:vAlign w:val="bottom"/>
          </w:tcPr>
          <w:p>
            <w:pPr>
              <w:spacing w:after="0"/>
              <w:rPr>
                <w:sz w:val="1"/>
                <w:szCs w:val="1"/>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608,280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636,693</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528,629</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1,589,125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1,526,683</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37" w:lineRule="exact"/>
        <w:rPr>
          <w:sz w:val="20"/>
          <w:szCs w:val="20"/>
          <w:color w:val="auto"/>
        </w:rPr>
      </w:pPr>
    </w:p>
    <w:p>
      <w:pPr>
        <w:jc w:val="center"/>
        <w:ind w:left="6720"/>
        <w:spacing w:after="0"/>
        <w:rPr>
          <w:sz w:val="20"/>
          <w:szCs w:val="20"/>
          <w:color w:val="auto"/>
        </w:rPr>
      </w:pPr>
      <w:r>
        <w:rPr>
          <w:rFonts w:ascii="Arial" w:cs="Arial" w:eastAsia="Arial" w:hAnsi="Arial"/>
          <w:sz w:val="17"/>
          <w:szCs w:val="17"/>
          <w:b w:val="1"/>
          <w:bCs w:val="1"/>
          <w:color w:val="auto"/>
        </w:rPr>
        <w:t>Three Months Ended</w:t>
      </w:r>
    </w:p>
    <w:p>
      <w:pPr>
        <w:jc w:val="center"/>
        <w:ind w:left="6720"/>
        <w:spacing w:after="0"/>
        <w:rPr>
          <w:sz w:val="20"/>
          <w:szCs w:val="20"/>
          <w:color w:val="auto"/>
        </w:rPr>
      </w:pPr>
      <w:r>
        <w:rPr>
          <w:rFonts w:ascii="Arial" w:cs="Arial" w:eastAsia="Arial" w:hAnsi="Arial"/>
          <w:sz w:val="17"/>
          <w:szCs w:val="17"/>
          <w:b w:val="1"/>
          <w:bCs w:val="1"/>
          <w:color w:val="auto"/>
        </w:rPr>
        <w:t>March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Borders>
              <w:bottom w:val="single" w:sz="8" w:color="CCEEFF"/>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2026</w:t>
            </w:r>
          </w:p>
        </w:tc>
        <w:tc>
          <w:tcPr>
            <w:tcW w:w="8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835"/>
              <w:spacing w:after="0"/>
              <w:rPr>
                <w:sz w:val="20"/>
                <w:szCs w:val="20"/>
                <w:color w:val="auto"/>
              </w:rPr>
            </w:pPr>
            <w:r>
              <w:rPr>
                <w:rFonts w:ascii="Arial" w:cs="Arial" w:eastAsia="Arial" w:hAnsi="Arial"/>
                <w:sz w:val="17"/>
                <w:szCs w:val="17"/>
                <w:b w:val="1"/>
                <w:bCs w:val="1"/>
                <w:color w:val="auto"/>
              </w:rPr>
              <w:t>2025</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Revenues before reimbursable expenses</w:t>
            </w:r>
          </w:p>
        </w:tc>
        <w:tc>
          <w:tcPr>
            <w:tcW w:w="1400" w:type="dxa"/>
            <w:vAlign w:val="bottom"/>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443,712</w:t>
            </w:r>
          </w:p>
        </w:tc>
        <w:tc>
          <w:tcPr>
            <w:tcW w:w="10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395,690</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1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8,055</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8,451</w:t>
            </w:r>
          </w:p>
        </w:tc>
      </w:tr>
      <w:tr>
        <w:trPr>
          <w:trHeight w:val="221"/>
        </w:trPr>
        <w:tc>
          <w:tcPr>
            <w:tcW w:w="674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451,767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404,141</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Direct costs (exclusive of depreciation and amortization included below)</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308,194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278,043</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Reimbursable expenses</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8,445</w:t>
            </w: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84,711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76,634</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losses</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Restructuring charges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1,338</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1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9,721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6,949</w:t>
            </w:r>
          </w:p>
        </w:tc>
      </w:tr>
      <w:tr>
        <w:trPr>
          <w:trHeight w:val="221"/>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Total operating expenses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415,184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371,409</w:t>
            </w:r>
          </w:p>
        </w:tc>
      </w:tr>
      <w:tr>
        <w:trPr>
          <w:trHeight w:val="225"/>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36,583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32,732</w:t>
            </w:r>
          </w:p>
        </w:tc>
      </w:tr>
      <w:tr>
        <w:trPr>
          <w:trHeight w:val="230"/>
        </w:trPr>
        <w:tc>
          <w:tcPr>
            <w:tcW w:w="674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 net:</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 net of interest income</w:t>
            </w:r>
          </w:p>
        </w:tc>
        <w:tc>
          <w:tcPr>
            <w:tcW w:w="1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(5,647)</w:t>
            </w:r>
          </w:p>
        </w:tc>
      </w:tr>
      <w:tr>
        <w:trPr>
          <w:trHeight w:val="22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(626)</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(5,633)</w:t>
            </w:r>
          </w:p>
        </w:tc>
      </w:tr>
      <w:tr>
        <w:trPr>
          <w:trHeight w:val="225"/>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other expense, net</w:t>
            </w:r>
          </w:p>
        </w:tc>
        <w:tc>
          <w:tcPr>
            <w:tcW w:w="1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(9,517)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(11,280)</w:t>
            </w:r>
          </w:p>
        </w:tc>
      </w:tr>
      <w:tr>
        <w:trPr>
          <w:trHeight w:val="221"/>
        </w:trPr>
        <w:tc>
          <w:tcPr>
            <w:tcW w:w="6740" w:type="dxa"/>
            <w:vAlign w:val="bottom"/>
          </w:tcPr>
          <w:p>
            <w:pPr>
              <w:ind w:left="20"/>
              <w:spacing w:after="0"/>
              <w:rPr>
                <w:sz w:val="20"/>
                <w:szCs w:val="20"/>
                <w:color w:val="auto"/>
              </w:rPr>
            </w:pPr>
            <w:r>
              <w:rPr>
                <w:rFonts w:ascii="Arial" w:cs="Arial" w:eastAsia="Arial" w:hAnsi="Arial"/>
                <w:sz w:val="17"/>
                <w:szCs w:val="17"/>
                <w:color w:val="auto"/>
              </w:rPr>
              <w:t>Income before taxes</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27,066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21,452</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3,819</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w:t>
            </w:r>
          </w:p>
        </w:tc>
      </w:tr>
      <w:tr>
        <w:trPr>
          <w:trHeight w:val="196"/>
        </w:trPr>
        <w:tc>
          <w:tcPr>
            <w:tcW w:w="67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0" w:type="dxa"/>
            <w:vAlign w:val="bottom"/>
            <w:tcBorders>
              <w:bottom w:val="single" w:sz="8" w:color="auto"/>
            </w:tcBorders>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23,247</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24,536</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share:</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Net income per basic share</w:t>
            </w:r>
          </w:p>
        </w:tc>
        <w:tc>
          <w:tcPr>
            <w:tcW w:w="1400" w:type="dxa"/>
            <w:vAlign w:val="bottom"/>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1.38</w:t>
            </w:r>
          </w:p>
        </w:tc>
      </w:tr>
      <w:tr>
        <w:trPr>
          <w:trHeight w:val="232"/>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Net income per diluted share</w:t>
            </w:r>
          </w:p>
        </w:tc>
        <w:tc>
          <w:tcPr>
            <w:tcW w:w="1400" w:type="dxa"/>
            <w:vAlign w:val="bottom"/>
            <w:shd w:val="clear" w:color="auto" w:fill="CCEEFF"/>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Weighted average shares used in calculating earnings per share:</w:t>
            </w:r>
          </w:p>
        </w:tc>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2"/>
        </w:trPr>
        <w:tc>
          <w:tcPr>
            <w:tcW w:w="67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Basic</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16,984</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17,821</w:t>
            </w:r>
          </w:p>
        </w:tc>
      </w:tr>
      <w:tr>
        <w:trPr>
          <w:trHeight w:val="227"/>
        </w:trPr>
        <w:tc>
          <w:tcPr>
            <w:tcW w:w="6740" w:type="dxa"/>
            <w:vAlign w:val="bottom"/>
          </w:tcPr>
          <w:p>
            <w:pPr>
              <w:ind w:left="360"/>
              <w:spacing w:after="0"/>
              <w:rPr>
                <w:sz w:val="20"/>
                <w:szCs w:val="20"/>
                <w:color w:val="auto"/>
              </w:rPr>
            </w:pPr>
            <w:r>
              <w:rPr>
                <w:rFonts w:ascii="Arial" w:cs="Arial" w:eastAsia="Arial" w:hAnsi="Arial"/>
                <w:sz w:val="17"/>
                <w:szCs w:val="17"/>
                <w:color w:val="auto"/>
              </w:rPr>
              <w:t>Diluted</w:t>
            </w:r>
          </w:p>
        </w:tc>
        <w:tc>
          <w:tcPr>
            <w:tcW w:w="1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17,406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18,475</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400" w:type="dxa"/>
            <w:vAlign w:val="bottom"/>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23,247</w:t>
            </w:r>
          </w:p>
        </w:tc>
        <w:tc>
          <w:tcPr>
            <w:tcW w:w="10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24,536</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translation adjustments, net of tax</w:t>
            </w:r>
          </w:p>
        </w:tc>
        <w:tc>
          <w:tcPr>
            <w:tcW w:w="14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r>
      <w:tr>
        <w:trPr>
          <w:trHeight w:val="227"/>
        </w:trPr>
        <w:tc>
          <w:tcPr>
            <w:tcW w:w="6740" w:type="dxa"/>
            <w:vAlign w:val="bottom"/>
          </w:tcPr>
          <w:p>
            <w:pPr>
              <w:ind w:left="20"/>
              <w:spacing w:after="0"/>
              <w:rPr>
                <w:sz w:val="20"/>
                <w:szCs w:val="20"/>
                <w:color w:val="auto"/>
              </w:rPr>
            </w:pPr>
            <w:r>
              <w:rPr>
                <w:rFonts w:ascii="Arial" w:cs="Arial" w:eastAsia="Arial" w:hAnsi="Arial"/>
                <w:sz w:val="17"/>
                <w:szCs w:val="17"/>
                <w:color w:val="auto"/>
              </w:rPr>
              <w:t>Unrealized loss on investment, net of tax</w:t>
            </w:r>
          </w:p>
        </w:tc>
        <w:tc>
          <w:tcPr>
            <w:tcW w:w="14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(10,517)</w:t>
            </w:r>
          </w:p>
        </w:tc>
      </w:tr>
      <w:tr>
        <w:trPr>
          <w:trHeight w:val="232"/>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 on cash flow hedging instruments, net of tax</w:t>
            </w:r>
          </w:p>
        </w:tc>
        <w:tc>
          <w:tcPr>
            <w:tcW w:w="1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(2,233)</w:t>
            </w:r>
          </w:p>
        </w:tc>
      </w:tr>
      <w:tr>
        <w:trPr>
          <w:trHeight w:val="22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w:t>
            </w:r>
          </w:p>
        </w:tc>
        <w:tc>
          <w:tcPr>
            <w:tcW w:w="1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(12,215)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400" w:type="dxa"/>
            <w:vAlign w:val="bottom"/>
            <w:tcBorders>
              <w:bottom w:val="single" w:sz="8" w:color="auto"/>
            </w:tcBorders>
            <w:shd w:val="clear" w:color="auto" w:fill="CCEEFF"/>
          </w:tcPr>
          <w:p>
            <w:pPr>
              <w:jc w:val="right"/>
              <w:ind w:right="119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22,346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12,321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Three Months Ended March 31,</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40" w:right="200"/>
        <w:spacing w:after="0" w:line="311" w:lineRule="auto"/>
        <w:rPr>
          <w:sz w:val="20"/>
          <w:szCs w:val="20"/>
          <w:color w:val="auto"/>
        </w:rPr>
      </w:pPr>
      <w:r>
        <w:rPr>
          <w:rFonts w:ascii="Arial" w:cs="Arial" w:eastAsia="Arial" w:hAnsi="Arial"/>
          <w:sz w:val="14"/>
          <w:szCs w:val="14"/>
          <w:b w:val="1"/>
          <w:bCs w:val="1"/>
          <w:color w:val="auto"/>
        </w:rPr>
        <w:t xml:space="preserve">Balance at December 31, 2025 </w:t>
      </w:r>
      <w:r>
        <w:rPr>
          <w:rFonts w:ascii="Arial" w:cs="Arial" w:eastAsia="Arial" w:hAnsi="Arial"/>
          <w:sz w:val="14"/>
          <w:szCs w:val="14"/>
          <w:color w:val="auto"/>
        </w:rPr>
        <w:t>Comprehensive income (loss)</w:t>
      </w:r>
    </w:p>
    <w:p>
      <w:pPr>
        <w:spacing w:after="0" w:line="1" w:lineRule="exact"/>
        <w:rPr>
          <w:sz w:val="20"/>
          <w:szCs w:val="20"/>
          <w:color w:val="auto"/>
        </w:rPr>
      </w:pPr>
    </w:p>
    <w:p>
      <w:pPr>
        <w:ind w:left="40" w:right="400"/>
        <w:spacing w:after="0" w:line="252" w:lineRule="auto"/>
        <w:rPr>
          <w:sz w:val="20"/>
          <w:szCs w:val="20"/>
          <w:color w:val="auto"/>
        </w:rPr>
      </w:pPr>
      <w:r>
        <w:rPr>
          <w:rFonts w:ascii="Arial" w:cs="Arial" w:eastAsia="Arial" w:hAnsi="Arial"/>
          <w:sz w:val="14"/>
          <w:szCs w:val="14"/>
          <w:color w:val="auto"/>
        </w:rPr>
        <w:t>Issuance of common stock in connection with:</w:t>
      </w:r>
    </w:p>
    <w:p>
      <w:pPr>
        <w:spacing w:after="0" w:line="1" w:lineRule="exact"/>
        <w:rPr>
          <w:sz w:val="20"/>
          <w:szCs w:val="20"/>
          <w:color w:val="auto"/>
        </w:rPr>
      </w:pPr>
    </w:p>
    <w:p>
      <w:pPr>
        <w:ind w:left="380" w:right="120"/>
        <w:spacing w:after="0" w:line="251" w:lineRule="auto"/>
        <w:rPr>
          <w:sz w:val="20"/>
          <w:szCs w:val="20"/>
          <w:color w:val="auto"/>
        </w:rPr>
      </w:pPr>
      <w:r>
        <w:rPr>
          <w:rFonts w:ascii="Arial" w:cs="Arial" w:eastAsia="Arial" w:hAnsi="Arial"/>
          <w:sz w:val="14"/>
          <w:szCs w:val="14"/>
          <w:color w:val="auto"/>
        </w:rPr>
        <w:t>Restricted stock awards, net of cancellations</w:t>
      </w:r>
    </w:p>
    <w:p>
      <w:pPr>
        <w:spacing w:after="0" w:line="1" w:lineRule="exact"/>
        <w:rPr>
          <w:sz w:val="20"/>
          <w:szCs w:val="20"/>
          <w:color w:val="auto"/>
        </w:rPr>
      </w:pPr>
    </w:p>
    <w:p>
      <w:pPr>
        <w:ind w:left="40" w:right="340" w:firstLine="324"/>
        <w:spacing w:after="0" w:line="300" w:lineRule="auto"/>
        <w:rPr>
          <w:sz w:val="20"/>
          <w:szCs w:val="20"/>
          <w:color w:val="auto"/>
        </w:rPr>
      </w:pPr>
      <w:r>
        <w:rPr>
          <w:rFonts w:ascii="Arial" w:cs="Arial" w:eastAsia="Arial" w:hAnsi="Arial"/>
          <w:sz w:val="14"/>
          <w:szCs w:val="14"/>
          <w:color w:val="auto"/>
        </w:rPr>
        <w:t>Exercise of stock options Share-based compensation</w:t>
      </w:r>
    </w:p>
    <w:p>
      <w:pPr>
        <w:spacing w:after="0" w:line="1" w:lineRule="exact"/>
        <w:rPr>
          <w:sz w:val="20"/>
          <w:szCs w:val="20"/>
          <w:color w:val="auto"/>
        </w:rPr>
      </w:pPr>
    </w:p>
    <w:p>
      <w:pPr>
        <w:ind w:left="40"/>
        <w:spacing w:after="0" w:line="252" w:lineRule="auto"/>
        <w:rPr>
          <w:sz w:val="20"/>
          <w:szCs w:val="20"/>
          <w:color w:val="auto"/>
        </w:rPr>
      </w:pPr>
      <w:r>
        <w:rPr>
          <w:rFonts w:ascii="Arial" w:cs="Arial" w:eastAsia="Arial" w:hAnsi="Arial"/>
          <w:sz w:val="14"/>
          <w:szCs w:val="14"/>
          <w:color w:val="auto"/>
        </w:rPr>
        <w:t>Shares redeemed for employee tax withholdings</w:t>
      </w:r>
    </w:p>
    <w:p>
      <w:pPr>
        <w:spacing w:after="0" w:line="1" w:lineRule="exact"/>
        <w:rPr>
          <w:sz w:val="20"/>
          <w:szCs w:val="20"/>
          <w:color w:val="auto"/>
        </w:rPr>
      </w:pPr>
    </w:p>
    <w:p>
      <w:pPr>
        <w:ind w:left="40" w:right="480"/>
        <w:spacing w:after="0" w:line="352" w:lineRule="auto"/>
        <w:rPr>
          <w:sz w:val="20"/>
          <w:szCs w:val="20"/>
          <w:color w:val="auto"/>
        </w:rPr>
      </w:pPr>
      <w:r>
        <w:rPr>
          <w:rFonts w:ascii="Arial" w:cs="Arial" w:eastAsia="Arial" w:hAnsi="Arial"/>
          <w:sz w:val="14"/>
          <w:szCs w:val="14"/>
          <w:color w:val="auto"/>
        </w:rPr>
        <w:t xml:space="preserve">Share repurchases </w:t>
      </w:r>
      <w:r>
        <w:rPr>
          <w:rFonts w:ascii="Arial" w:cs="Arial" w:eastAsia="Arial" w:hAnsi="Arial"/>
          <w:sz w:val="14"/>
          <w:szCs w:val="14"/>
          <w:b w:val="1"/>
          <w:bCs w:val="1"/>
          <w:color w:val="auto"/>
        </w:rPr>
        <w:t>Balance at March 31, 2026</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top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2080" w:type="dxa"/>
            <w:vAlign w:val="bottom"/>
            <w:tcBorders>
              <w:top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jc w:val="center"/>
              <w:ind w:right="280"/>
              <w:spacing w:after="0" w:line="122"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92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380" w:type="dxa"/>
            <w:vAlign w:val="bottom"/>
            <w:gridSpan w:val="2"/>
            <w:vMerge w:val="restart"/>
          </w:tcPr>
          <w:p>
            <w:pPr>
              <w:jc w:val="center"/>
              <w:ind w:right="260"/>
              <w:spacing w:after="0" w:line="122" w:lineRule="exact"/>
              <w:rPr>
                <w:sz w:val="20"/>
                <w:szCs w:val="20"/>
                <w:color w:val="auto"/>
              </w:rPr>
            </w:pPr>
            <w:r>
              <w:rPr>
                <w:rFonts w:ascii="Arial" w:cs="Arial" w:eastAsia="Arial" w:hAnsi="Arial"/>
                <w:sz w:val="14"/>
                <w:szCs w:val="14"/>
                <w:b w:val="1"/>
                <w:bCs w:val="1"/>
                <w:color w:val="auto"/>
              </w:rPr>
              <w:t>Comprehensive</w:t>
            </w:r>
          </w:p>
        </w:tc>
        <w:tc>
          <w:tcPr>
            <w:tcW w:w="1120" w:type="dxa"/>
            <w:vAlign w:val="bottom"/>
            <w:gridSpan w:val="2"/>
            <w:vMerge w:val="restart"/>
          </w:tcPr>
          <w:p>
            <w:pPr>
              <w:jc w:val="right"/>
              <w:ind w:right="28"/>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4"/>
                <w:szCs w:val="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200" w:type="dxa"/>
            <w:vAlign w:val="bottom"/>
          </w:tcPr>
          <w:p>
            <w:pPr>
              <w:spacing w:after="0"/>
              <w:rPr>
                <w:sz w:val="16"/>
                <w:szCs w:val="16"/>
                <w:color w:val="auto"/>
              </w:rPr>
            </w:pP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8"/>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20,460,526</w:t>
            </w: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(3,271,442)</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(189,989)</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87,885</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636,693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(6,165)</w:t>
            </w:r>
          </w:p>
        </w:tc>
        <w:tc>
          <w:tcPr>
            <w:tcW w:w="12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528,629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23,247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22,346</w:t>
            </w:r>
          </w:p>
        </w:tc>
        <w:tc>
          <w:tcPr>
            <w:tcW w:w="0" w:type="dxa"/>
            <w:vAlign w:val="bottom"/>
          </w:tcPr>
          <w:p>
            <w:pPr>
              <w:spacing w:after="0"/>
              <w:rPr>
                <w:sz w:val="1"/>
                <w:szCs w:val="1"/>
                <w:color w:val="auto"/>
              </w:rPr>
            </w:pPr>
          </w:p>
        </w:tc>
      </w:tr>
      <w:tr>
        <w:trPr>
          <w:trHeight w:val="675"/>
        </w:trPr>
        <w:tc>
          <w:tcPr>
            <w:tcW w:w="920" w:type="dxa"/>
            <w:vAlign w:val="bottom"/>
          </w:tcPr>
          <w:p>
            <w:pPr>
              <w:jc w:val="right"/>
              <w:spacing w:after="0"/>
              <w:rPr>
                <w:sz w:val="20"/>
                <w:szCs w:val="20"/>
                <w:color w:val="auto"/>
              </w:rPr>
            </w:pPr>
            <w:r>
              <w:rPr>
                <w:rFonts w:ascii="Arial" w:cs="Arial" w:eastAsia="Arial" w:hAnsi="Arial"/>
                <w:sz w:val="14"/>
                <w:szCs w:val="14"/>
                <w:color w:val="auto"/>
              </w:rPr>
              <w:t>414,967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4,782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920" w:type="dxa"/>
            <w:vAlign w:val="bottom"/>
          </w:tcPr>
          <w:p>
            <w:pPr>
              <w:jc w:val="right"/>
              <w:spacing w:after="0"/>
              <w:rPr>
                <w:sz w:val="20"/>
                <w:szCs w:val="20"/>
                <w:color w:val="auto"/>
              </w:rPr>
            </w:pPr>
            <w:r>
              <w:rPr>
                <w:rFonts w:ascii="Arial" w:cs="Arial" w:eastAsia="Arial" w:hAnsi="Arial"/>
                <w:sz w:val="14"/>
                <w:szCs w:val="14"/>
                <w:color w:val="auto"/>
              </w:rPr>
              <w:t>8,985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21,815</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(142,975)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(20,530)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(20,530)</w:t>
            </w:r>
          </w:p>
        </w:tc>
        <w:tc>
          <w:tcPr>
            <w:tcW w:w="0" w:type="dxa"/>
            <w:vAlign w:val="bottom"/>
          </w:tcPr>
          <w:p>
            <w:pPr>
              <w:spacing w:after="0"/>
              <w:rPr>
                <w:sz w:val="1"/>
                <w:szCs w:val="1"/>
                <w:color w:val="auto"/>
              </w:rPr>
            </w:pPr>
          </w:p>
        </w:tc>
      </w:tr>
      <w:tr>
        <w:trPr>
          <w:trHeight w:val="207"/>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(1,114,806)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(103,857)</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(51,660)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(155,528)</w:t>
            </w:r>
          </w:p>
        </w:tc>
        <w:tc>
          <w:tcPr>
            <w:tcW w:w="0" w:type="dxa"/>
            <w:vAlign w:val="bottom"/>
          </w:tcPr>
          <w:p>
            <w:pPr>
              <w:spacing w:after="0"/>
              <w:rPr>
                <w:sz w:val="1"/>
                <w:szCs w:val="1"/>
                <w:color w:val="auto"/>
              </w:rPr>
            </w:pPr>
          </w:p>
        </w:tc>
      </w:tr>
      <w:tr>
        <w:trPr>
          <w:trHeight w:val="196"/>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19,769,672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(3,409,635)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(210,294)</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608,280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397,440</w:t>
            </w:r>
          </w:p>
        </w:tc>
        <w:tc>
          <w:tcPr>
            <w:tcW w:w="0" w:type="dxa"/>
            <w:vAlign w:val="bottom"/>
          </w:tcPr>
          <w:p>
            <w:pPr>
              <w:spacing w:after="0"/>
              <w:rPr>
                <w:sz w:val="1"/>
                <w:szCs w:val="1"/>
                <w:color w:val="auto"/>
              </w:rPr>
            </w:pPr>
          </w:p>
        </w:tc>
      </w:tr>
      <w:tr>
        <w:trPr>
          <w:trHeight w:val="25"/>
        </w:trPr>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-1475740</wp:posOffset>
            </wp:positionH>
            <wp:positionV relativeFrom="paragraph">
              <wp:posOffset>-1464945</wp:posOffset>
            </wp:positionV>
            <wp:extent cx="710628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-1199515</wp:posOffset>
            </wp:positionV>
            <wp:extent cx="7106285"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-770890</wp:posOffset>
            </wp:positionV>
            <wp:extent cx="710628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-513715</wp:posOffset>
            </wp:positionV>
            <wp:extent cx="710628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214630"/>
                    </a:xfrm>
                    <a:prstGeom prst="rect">
                      <a:avLst/>
                    </a:prstGeom>
                    <a:noFill/>
                  </pic:spPr>
                </pic:pic>
              </a:graphicData>
            </a:graphic>
          </wp:anchor>
        </w:drawing>
        <w:drawing>
          <wp:anchor simplePos="0" relativeHeight="251657728" behindDoc="1" locked="0" layoutInCell="0" allowOverlap="1">
            <wp:simplePos x="0" y="0"/>
            <wp:positionH relativeFrom="column">
              <wp:posOffset>-1475740</wp:posOffset>
            </wp:positionH>
            <wp:positionV relativeFrom="paragraph">
              <wp:posOffset>-170815</wp:posOffset>
            </wp:positionV>
            <wp:extent cx="710628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2300" w:space="60"/>
            <w:col w:w="8860"/>
          </w:cols>
          <w:pgMar w:left="320" w:top="122" w:right="359" w:bottom="1440" w:gutter="0" w:footer="0" w:header="0"/>
          <w:type w:val="continuous"/>
        </w:sectPr>
      </w:pPr>
    </w:p>
    <w:tbl>
      <w:tblPr>
        <w:tblLayout w:type="fixed"/>
        <w:tblInd w:w="40" w:type="dxa"/>
        <w:tblCellMar>
          <w:top w:w="0" w:type="dxa"/>
          <w:left w:w="0" w:type="dxa"/>
          <w:bottom w:w="0" w:type="dxa"/>
          <w:right w:w="0" w:type="dxa"/>
        </w:tblCellMar>
      </w:tblP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2024</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20,762,327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(3,117,675)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(160,093)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177,673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531,653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561,327</w:t>
            </w:r>
          </w:p>
        </w:tc>
        <w:tc>
          <w:tcPr>
            <w:tcW w:w="0" w:type="dxa"/>
            <w:vAlign w:val="bottom"/>
          </w:tcPr>
          <w:p>
            <w:pPr>
              <w:spacing w:after="0"/>
              <w:rPr>
                <w:sz w:val="1"/>
                <w:szCs w:val="1"/>
                <w:color w:val="auto"/>
              </w:rPr>
            </w:pPr>
          </w:p>
        </w:tc>
      </w:tr>
      <w:tr>
        <w:trPr>
          <w:trHeight w:val="198"/>
        </w:trPr>
        <w:tc>
          <w:tcPr>
            <w:tcW w:w="2320" w:type="dxa"/>
            <w:vAlign w:val="bottom"/>
          </w:tcPr>
          <w:p>
            <w:pPr>
              <w:spacing w:after="0"/>
              <w:rPr>
                <w:sz w:val="20"/>
                <w:szCs w:val="20"/>
                <w:color w:val="auto"/>
              </w:rPr>
            </w:pPr>
            <w:r>
              <w:rPr>
                <w:rFonts w:ascii="Arial" w:cs="Arial" w:eastAsia="Arial" w:hAnsi="Arial"/>
                <w:sz w:val="14"/>
                <w:szCs w:val="14"/>
                <w:color w:val="auto"/>
              </w:rPr>
              <w:t>Comprehensive income (loss)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24,536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(12,215)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12,321</w:t>
            </w:r>
          </w:p>
        </w:tc>
        <w:tc>
          <w:tcPr>
            <w:tcW w:w="0" w:type="dxa"/>
            <w:vAlign w:val="bottom"/>
          </w:tcPr>
          <w:p>
            <w:pPr>
              <w:spacing w:after="0"/>
              <w:rPr>
                <w:sz w:val="1"/>
                <w:szCs w:val="1"/>
                <w:color w:val="auto"/>
              </w:rPr>
            </w:pPr>
          </w:p>
        </w:tc>
      </w:tr>
      <w:tr>
        <w:trPr>
          <w:trHeight w:val="157"/>
        </w:trPr>
        <w:tc>
          <w:tcPr>
            <w:tcW w:w="23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Issuance of common stock in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connection with:</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340"/>
              <w:spacing w:after="0" w:line="153" w:lineRule="exact"/>
              <w:rPr>
                <w:sz w:val="20"/>
                <w:szCs w:val="20"/>
                <w:color w:val="auto"/>
              </w:rPr>
            </w:pPr>
            <w:r>
              <w:rPr>
                <w:rFonts w:ascii="Arial" w:cs="Arial" w:eastAsia="Arial" w:hAnsi="Arial"/>
                <w:sz w:val="14"/>
                <w:szCs w:val="14"/>
                <w:color w:val="auto"/>
              </w:rPr>
              <w:t>Restricted stock awards, net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532,575</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56,231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2,995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320" w:type="dxa"/>
            <w:vAlign w:val="bottom"/>
          </w:tcPr>
          <w:p>
            <w:pPr>
              <w:ind w:left="340"/>
              <w:spacing w:after="0"/>
              <w:rPr>
                <w:sz w:val="20"/>
                <w:szCs w:val="20"/>
                <w:color w:val="auto"/>
              </w:rPr>
            </w:pPr>
            <w:r>
              <w:rPr>
                <w:rFonts w:ascii="Arial" w:cs="Arial" w:eastAsia="Arial" w:hAnsi="Arial"/>
                <w:sz w:val="14"/>
                <w:szCs w:val="14"/>
                <w:color w:val="auto"/>
              </w:rPr>
              <w:t>of cancellations</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w:t>
            </w:r>
          </w:p>
        </w:tc>
        <w:tc>
          <w:tcPr>
            <w:tcW w:w="0" w:type="dxa"/>
            <w:vAlign w:val="bottom"/>
          </w:tcPr>
          <w:p>
            <w:pPr>
              <w:spacing w:after="0"/>
              <w:rPr>
                <w:sz w:val="1"/>
                <w:szCs w:val="1"/>
                <w:color w:val="auto"/>
              </w:rPr>
            </w:pPr>
          </w:p>
        </w:tc>
      </w:tr>
      <w:tr>
        <w:trPr>
          <w:trHeight w:val="198"/>
        </w:trPr>
        <w:tc>
          <w:tcPr>
            <w:tcW w:w="2320" w:type="dxa"/>
            <w:vAlign w:val="bottom"/>
          </w:tcPr>
          <w:p>
            <w:pPr>
              <w:ind w:left="340"/>
              <w:spacing w:after="0"/>
              <w:rPr>
                <w:sz w:val="20"/>
                <w:szCs w:val="20"/>
                <w:color w:val="auto"/>
              </w:rPr>
            </w:pPr>
            <w:r>
              <w:rPr>
                <w:rFonts w:ascii="Arial" w:cs="Arial" w:eastAsia="Arial" w:hAnsi="Arial"/>
                <w:sz w:val="14"/>
                <w:szCs w:val="14"/>
                <w:color w:val="auto"/>
              </w:rPr>
              <w:t>Purchase of business</w:t>
            </w:r>
          </w:p>
        </w:tc>
        <w:tc>
          <w:tcPr>
            <w:tcW w:w="920" w:type="dxa"/>
            <w:vAlign w:val="bottom"/>
          </w:tcPr>
          <w:p>
            <w:pPr>
              <w:jc w:val="right"/>
              <w:spacing w:after="0"/>
              <w:rPr>
                <w:sz w:val="20"/>
                <w:szCs w:val="20"/>
                <w:color w:val="auto"/>
              </w:rPr>
            </w:pPr>
            <w:r>
              <w:rPr>
                <w:rFonts w:ascii="Arial" w:cs="Arial" w:eastAsia="Arial" w:hAnsi="Arial"/>
                <w:sz w:val="14"/>
                <w:szCs w:val="14"/>
                <w:color w:val="auto"/>
              </w:rPr>
              <w:t>15,378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2,344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2,344</w:t>
            </w:r>
          </w:p>
        </w:tc>
        <w:tc>
          <w:tcPr>
            <w:tcW w:w="0" w:type="dxa"/>
            <w:vAlign w:val="bottom"/>
          </w:tcPr>
          <w:p>
            <w:pPr>
              <w:spacing w:after="0"/>
              <w:rPr>
                <w:sz w:val="1"/>
                <w:szCs w:val="1"/>
                <w:color w:val="auto"/>
              </w:rPr>
            </w:pPr>
          </w:p>
        </w:tc>
      </w:tr>
      <w:tr>
        <w:trPr>
          <w:trHeight w:val="207"/>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20,814</w:t>
            </w:r>
          </w:p>
        </w:tc>
        <w:tc>
          <w:tcPr>
            <w:tcW w:w="0" w:type="dxa"/>
            <w:vAlign w:val="bottom"/>
          </w:tcPr>
          <w:p>
            <w:pPr>
              <w:spacing w:after="0"/>
              <w:rPr>
                <w:sz w:val="1"/>
                <w:szCs w:val="1"/>
                <w:color w:val="auto"/>
              </w:rPr>
            </w:pPr>
          </w:p>
        </w:tc>
      </w:tr>
      <w:tr>
        <w:trPr>
          <w:trHeight w:val="153"/>
        </w:trPr>
        <w:tc>
          <w:tcPr>
            <w:tcW w:w="2320" w:type="dxa"/>
            <w:vAlign w:val="bottom"/>
          </w:tcPr>
          <w:p>
            <w:pPr>
              <w:spacing w:after="0" w:line="153" w:lineRule="exact"/>
              <w:rPr>
                <w:sz w:val="20"/>
                <w:szCs w:val="20"/>
                <w:color w:val="auto"/>
              </w:rPr>
            </w:pPr>
            <w:r>
              <w:rPr>
                <w:rFonts w:ascii="Arial" w:cs="Arial" w:eastAsia="Arial" w:hAnsi="Arial"/>
                <w:sz w:val="14"/>
                <w:szCs w:val="14"/>
                <w:color w:val="auto"/>
              </w:rPr>
              <w:t>Shares redeemed for employee tax</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(212,740)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(32,181)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(32,181)</w:t>
            </w:r>
          </w:p>
        </w:tc>
        <w:tc>
          <w:tcPr>
            <w:tcW w:w="0" w:type="dxa"/>
            <w:vAlign w:val="bottom"/>
          </w:tcPr>
          <w:p>
            <w:pPr>
              <w:spacing w:after="0"/>
              <w:rPr>
                <w:sz w:val="1"/>
                <w:szCs w:val="1"/>
                <w:color w:val="auto"/>
              </w:rPr>
            </w:pPr>
          </w:p>
        </w:tc>
      </w:tr>
      <w:tr>
        <w:trPr>
          <w:trHeight w:val="185"/>
        </w:trPr>
        <w:tc>
          <w:tcPr>
            <w:tcW w:w="2320" w:type="dxa"/>
            <w:vAlign w:val="bottom"/>
          </w:tcPr>
          <w:p>
            <w:pPr>
              <w:spacing w:after="0"/>
              <w:rPr>
                <w:sz w:val="20"/>
                <w:szCs w:val="20"/>
                <w:color w:val="auto"/>
              </w:rPr>
            </w:pPr>
            <w:r>
              <w:rPr>
                <w:rFonts w:ascii="Arial" w:cs="Arial" w:eastAsia="Arial" w:hAnsi="Arial"/>
                <w:sz w:val="14"/>
                <w:szCs w:val="14"/>
                <w:color w:val="auto"/>
              </w:rPr>
              <w:t>withholdings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(508,611)</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(72,863)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(72,868)</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20"/>
                <w:szCs w:val="20"/>
                <w:color w:val="auto"/>
              </w:rPr>
            </w:pPr>
            <w:r>
              <w:rPr>
                <w:rFonts w:ascii="Arial" w:cs="Arial" w:eastAsia="Arial" w:hAnsi="Arial"/>
                <w:sz w:val="14"/>
                <w:szCs w:val="14"/>
                <w:b w:val="1"/>
                <w:bCs w:val="1"/>
                <w:color w:val="auto"/>
              </w:rPr>
              <w:t>Balance at March 31, 2025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20,844,871</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(3,274,184)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(189,279)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127,495</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556,189</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494,284</w:t>
            </w:r>
          </w:p>
        </w:tc>
        <w:tc>
          <w:tcPr>
            <w:tcW w:w="0" w:type="dxa"/>
            <w:vAlign w:val="bottom"/>
          </w:tcPr>
          <w:p>
            <w:pPr>
              <w:spacing w:after="0"/>
              <w:rPr>
                <w:sz w:val="1"/>
                <w:szCs w:val="1"/>
                <w:color w:val="auto"/>
              </w:rPr>
            </w:pPr>
          </w:p>
        </w:tc>
      </w:tr>
      <w:tr>
        <w:trPr>
          <w:trHeight w:val="25"/>
        </w:trPr>
        <w:tc>
          <w:tcPr>
            <w:tcW w:w="23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Three Months Ended</w:t>
      </w:r>
    </w:p>
    <w:p>
      <w:pPr>
        <w:jc w:val="center"/>
        <w:ind w:left="82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2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23,247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24,536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cash flows from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lease expense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Lease-related impairment charges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lease modification</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15,358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Allowances for doubtful accounts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Change in fair value of equity investment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4,210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receivables from clients,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(2,879)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unbilled services, net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(20,617)</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current income tax receivable / payable,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(5,668)</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other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Increase (decrease) in accounts payable and other liabilities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Increase (decrease) in accrued payroll and related benefits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(132,731)</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Increase (decrease) in deferred revenues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(162,168)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(106,827)</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Investments in life insurance policies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(1,722)</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(5,190)</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divestiture of business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(15,287)</w:t>
            </w:r>
          </w:p>
        </w:tc>
        <w:tc>
          <w:tcPr>
            <w:tcW w:w="0" w:type="dxa"/>
            <w:vAlign w:val="bottom"/>
          </w:tcPr>
          <w:p>
            <w:pPr>
              <w:spacing w:after="0"/>
              <w:rPr>
                <w:sz w:val="1"/>
                <w:szCs w:val="1"/>
                <w:color w:val="auto"/>
              </w:rPr>
            </w:pPr>
          </w:p>
        </w:tc>
      </w:tr>
      <w:tr>
        <w:trPr>
          <w:trHeight w:val="196"/>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(20,530)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(32,181)</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(65,310)</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Proceeds from bank borrowings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413,000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328,000</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Repayments of bank borrowings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(109,438)</w:t>
            </w:r>
          </w:p>
        </w:tc>
        <w:tc>
          <w:tcPr>
            <w:tcW w:w="0" w:type="dxa"/>
            <w:vAlign w:val="bottom"/>
          </w:tcPr>
          <w:p>
            <w:pPr>
              <w:spacing w:after="0"/>
              <w:rPr>
                <w:sz w:val="1"/>
                <w:szCs w:val="1"/>
                <w:color w:val="auto"/>
              </w:rPr>
            </w:pPr>
          </w:p>
        </w:tc>
      </w:tr>
      <w:tr>
        <w:trPr>
          <w:trHeight w:val="215"/>
        </w:trPr>
        <w:tc>
          <w:tcPr>
            <w:tcW w:w="8220" w:type="dxa"/>
            <w:vAlign w:val="bottom"/>
          </w:tcPr>
          <w:p>
            <w:pPr>
              <w:ind w:left="20"/>
              <w:spacing w:after="0"/>
              <w:rPr>
                <w:sz w:val="20"/>
                <w:szCs w:val="20"/>
                <w:color w:val="auto"/>
              </w:rPr>
            </w:pPr>
            <w:r>
              <w:rPr>
                <w:rFonts w:ascii="Arial" w:cs="Arial" w:eastAsia="Arial" w:hAnsi="Arial"/>
                <w:sz w:val="16"/>
                <w:szCs w:val="16"/>
                <w:color w:val="auto"/>
              </w:rPr>
              <w:t>Deferred payments for business acquisitions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0"/>
        </w:trPr>
        <w:tc>
          <w:tcPr>
            <w:tcW w:w="822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172,048</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123,562</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15"/>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21,911</w:t>
            </w:r>
          </w:p>
        </w:tc>
        <w:tc>
          <w:tcPr>
            <w:tcW w:w="0" w:type="dxa"/>
            <w:vAlign w:val="bottom"/>
          </w:tcPr>
          <w:p>
            <w:pPr>
              <w:spacing w:after="0"/>
              <w:rPr>
                <w:sz w:val="1"/>
                <w:szCs w:val="1"/>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26,459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23,378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Property and equipment expenditures and capitalized software included in 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2,673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3,446</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Common stock issued related to purchase of business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2,344</w:t>
            </w:r>
          </w:p>
        </w:tc>
        <w:tc>
          <w:tcPr>
            <w:tcW w:w="0" w:type="dxa"/>
            <w:vAlign w:val="bottom"/>
          </w:tcPr>
          <w:p>
            <w:pPr>
              <w:spacing w:after="0"/>
              <w:rPr>
                <w:sz w:val="1"/>
                <w:szCs w:val="1"/>
                <w:color w:val="auto"/>
              </w:rPr>
            </w:pPr>
          </w:p>
        </w:tc>
      </w:tr>
      <w:tr>
        <w:trPr>
          <w:trHeight w:val="217"/>
        </w:trPr>
        <w:tc>
          <w:tcPr>
            <w:tcW w:w="8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 repurchases included in current liabilities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8,121</w:t>
            </w:r>
          </w:p>
        </w:tc>
        <w:tc>
          <w:tcPr>
            <w:tcW w:w="0" w:type="dxa"/>
            <w:vAlign w:val="bottom"/>
          </w:tcPr>
          <w:p>
            <w:pPr>
              <w:spacing w:after="0"/>
              <w:rPr>
                <w:sz w:val="1"/>
                <w:szCs w:val="1"/>
                <w:color w:val="auto"/>
              </w:rPr>
            </w:pPr>
          </w:p>
        </w:tc>
      </w:tr>
      <w:tr>
        <w:trPr>
          <w:trHeight w:val="215"/>
        </w:trPr>
        <w:tc>
          <w:tcPr>
            <w:tcW w:w="8220" w:type="dxa"/>
            <w:vAlign w:val="bottom"/>
          </w:tcPr>
          <w:p>
            <w:pPr>
              <w:ind w:left="360"/>
              <w:spacing w:after="0"/>
              <w:rPr>
                <w:sz w:val="20"/>
                <w:szCs w:val="20"/>
                <w:color w:val="auto"/>
              </w:rPr>
            </w:pPr>
            <w:r>
              <w:rPr>
                <w:rFonts w:ascii="Arial" w:cs="Arial" w:eastAsia="Arial" w:hAnsi="Arial"/>
                <w:sz w:val="16"/>
                <w:szCs w:val="16"/>
                <w:color w:val="auto"/>
              </w:rPr>
              <w:t>Excise tax on net share repurchases included in non-current liabilities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Huron is a global professional services firm that collaborates with organizations to help solve their most complex challenges and achieve their most ambitious goals. Working across the private and public sectors, we partner closely with clients to improve performance, accelerate transformation, and unlock new opportunities for growth.</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clients choose us because of our deep industry and technical expertise and proven track record of turning sound strategies into action. By combining practical experience, innovative thinking, and advanced analytics and technology, Huron helps organizations translate today’s ideas into tangible results and long-term value.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See Note 15 “Segment Information” for a discussion of our three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consolidated financial statements reflect the financial position, results of operations, and cash flows as of and for the three months ended March 31, 2026 and 2025.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2025. Our results for any interim period are not necessarily indicative of results for a full year or any other interim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New 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69" w:lineRule="exact"/>
        <w:rPr>
          <w:sz w:val="20"/>
          <w:szCs w:val="20"/>
          <w:color w:val="auto"/>
        </w:rPr>
      </w:pPr>
    </w:p>
    <w:p>
      <w:pPr>
        <w:spacing w:after="0" w:line="222" w:lineRule="exact"/>
        <w:rPr>
          <w:sz w:val="20"/>
          <w:szCs w:val="20"/>
          <w:color w:val="auto"/>
        </w:rPr>
      </w:pPr>
      <w:r>
        <w:rPr>
          <w:rFonts w:ascii="Arial" w:cs="Arial" w:eastAsia="Arial" w:hAnsi="Arial"/>
          <w:sz w:val="18"/>
          <w:szCs w:val="18"/>
          <w:color w:val="auto"/>
        </w:rPr>
        <w:t xml:space="preserve">On July 30, 2025, the Financial Accounting Standards Board (“FASB”) issued Accounting Standards Update (“ASU”) 2025-05,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(Topic 326): Measurement of Credit Losses for Accounts Receivable and Contract Assets For Private Companies and Certain Not-For-Profit Entities (PCC), </w:t>
      </w:r>
      <w:r>
        <w:rPr>
          <w:rFonts w:ascii="Arial" w:cs="Arial" w:eastAsia="Arial" w:hAnsi="Arial"/>
          <w:sz w:val="18"/>
          <w:szCs w:val="18"/>
          <w:color w:val="auto"/>
        </w:rPr>
        <w:t>which provides a practical expedient for public business entities to simplify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credit losses for certain receivables and contract assets in which entities may elect to assume that the economic conditions at the time of a sale are reflective of future economic conditions, such that an entity does not need to consider future economic changes in its determination of its allowance for credit losses. We adopted ASU 2025-05 as of January 1, 2026 on a prospective basis. Upon adoption, we elected the practical expedient for current accounts receivable and current contract assets, and no other changes were made to our credit</w:t>
      </w:r>
      <w:r>
        <w:rPr>
          <w:rFonts w:ascii="MS PGothic" w:cs="MS PGothic" w:eastAsia="MS PGothic" w:hAnsi="MS PGothic"/>
          <w:sz w:val="18"/>
          <w:szCs w:val="18"/>
          <w:color w:val="auto"/>
        </w:rPr>
        <w:t>‑</w:t>
      </w:r>
      <w:r>
        <w:rPr>
          <w:rFonts w:ascii="Arial" w:cs="Arial" w:eastAsia="Arial" w:hAnsi="Arial"/>
          <w:sz w:val="18"/>
          <w:szCs w:val="18"/>
          <w:color w:val="auto"/>
        </w:rPr>
        <w:t>loss estimation methodologies. The adoption did not have an impact on our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1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November 4,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which is intended to enhance transparency of the nature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spacing w:after="0" w:line="12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On September 18, 2025, the FASB issued ASU 2025-06, </w:t>
      </w:r>
      <w:r>
        <w:rPr>
          <w:rFonts w:ascii="Arial" w:cs="Arial" w:eastAsia="Arial" w:hAnsi="Arial"/>
          <w:sz w:val="18"/>
          <w:szCs w:val="18"/>
          <w:i w:val="1"/>
          <w:iCs w:val="1"/>
          <w:color w:val="auto"/>
        </w:rPr>
        <w:t>Intangibles - Goodwill and Other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Improvements to the Accounting for Internal-Use Software, </w:t>
      </w:r>
      <w:r>
        <w:rPr>
          <w:rFonts w:ascii="Arial" w:cs="Arial" w:eastAsia="Arial" w:hAnsi="Arial"/>
          <w:sz w:val="18"/>
          <w:szCs w:val="18"/>
          <w:color w:val="auto"/>
        </w:rPr>
        <w:t>which amends the guidance in ASC 350-40, Intangibles-Goodwill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Other-Internal-Use Software. The amendments modernize the recognition and disclosure framework for internal-use software costs, removing the previous “development stage” model and introducing a more judgment-based approach. ASU 2025-06 will be effective for our annual</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reporting periods beginning with the fiscal year ending December 31, 2028, with early adoption permitted, and may be applied prospectively, retrospectively, or via a modified prospective transition method. We are currently evaluating the impact this guidance will have on our consolidated financial statements.</w:t>
      </w:r>
    </w:p>
    <w:p>
      <w:pPr>
        <w:spacing w:after="0" w:line="117"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 xml:space="preserve">On November 25, 2025, the FASB issued ASU 2025-09, </w:t>
      </w:r>
      <w:r>
        <w:rPr>
          <w:rFonts w:ascii="Arial" w:cs="Arial" w:eastAsia="Arial" w:hAnsi="Arial"/>
          <w:sz w:val="18"/>
          <w:szCs w:val="18"/>
          <w:i w:val="1"/>
          <w:iCs w:val="1"/>
          <w:color w:val="auto"/>
        </w:rPr>
        <w:t>Derivatives and Hedging (Topic 815): Hedge Accounting Improvements</w:t>
      </w:r>
      <w:r>
        <w:rPr>
          <w:rFonts w:ascii="Arial" w:cs="Arial" w:eastAsia="Arial" w:hAnsi="Arial"/>
          <w:sz w:val="18"/>
          <w:szCs w:val="18"/>
          <w:color w:val="auto"/>
        </w:rPr>
        <w:t>, which includes amendments to more closely align hedge accounting with the economics of an entity’s risk management activities. ASU 2025-09 will be effective for our annual reporting periods beginning with the fiscal year ending December 31, 2028, with early adoption permitted. We are currently evaluating the impact this guidance will have on our consolidated financial statements.</w:t>
      </w:r>
    </w:p>
    <w:p>
      <w:pPr>
        <w:spacing w:after="0" w:line="12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December 8, 2025, the FASB issued ASU 2025-11, </w:t>
      </w:r>
      <w:r>
        <w:rPr>
          <w:rFonts w:ascii="Arial" w:cs="Arial" w:eastAsia="Arial" w:hAnsi="Arial"/>
          <w:sz w:val="18"/>
          <w:szCs w:val="18"/>
          <w:i w:val="1"/>
          <w:iCs w:val="1"/>
          <w:color w:val="auto"/>
        </w:rPr>
        <w:t>Interim Reporting (Topic 270): Narrow-Scope Improvements</w:t>
      </w:r>
      <w:r>
        <w:rPr>
          <w:rFonts w:ascii="Arial" w:cs="Arial" w:eastAsia="Arial" w:hAnsi="Arial"/>
          <w:sz w:val="18"/>
          <w:szCs w:val="18"/>
          <w:color w:val="auto"/>
        </w:rPr>
        <w:t>, which clarifies the guidance in Topic 270 to improve the consistency of interim financial reporting. ASU 2025-11 provides a comprehensive list of required interim disclosures and introduces a disclosure principle requiring entities to disclose events since the end of the last annual reporting period that have a material impact on the entity. ASU 2025-11 will be effective for our annual reporting periods beginning with the fiscal year ending December 31, 2028, including interim periods within those fiscal years, with early adoption permitted. We are currently evaluating the impact this guidance will have on our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Acquisitions</w:t>
      </w:r>
    </w:p>
    <w:p>
      <w:pPr>
        <w:spacing w:after="0" w:line="16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2025, we completed the following six acquisitions: Advancement Resources in March 2025, Halpin Partnership Limited (“Halpin”) in March 2025, Eclipse Insights LLC (“Eclipse Insights”) in June 2025, TVG-Treliant Holdings, LLC (“Treliant”) in July 2025, Wilson Perumal and Company, Inc. (“WP&amp;C”) in September 2025, and AXIOM Systems Consulting Services, Inc. (“AXIOM”) in November 2025.</w:t>
      </w:r>
    </w:p>
    <w:p>
      <w:pPr>
        <w:spacing w:after="0" w:line="1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finalized the measurements of assets acquired and liabilities assumed related to the Advancement Resources, Halpin, Eclipse Insights, WP&amp;C and AXIOM acquisitions during 2025. In the first quarter of 2026, we finalized the measurements of assets acquired and liabilities assumed related to the Treliant acquisition.</w:t>
      </w:r>
    </w:p>
    <w:p>
      <w:pPr>
        <w:spacing w:after="0" w:line="117" w:lineRule="exact"/>
        <w:rPr>
          <w:sz w:val="20"/>
          <w:szCs w:val="20"/>
          <w:color w:val="auto"/>
        </w:rPr>
      </w:pPr>
    </w:p>
    <w:p>
      <w:pPr>
        <w:jc w:val="both"/>
        <w:ind w:right="840"/>
        <w:spacing w:after="0" w:line="268" w:lineRule="auto"/>
        <w:rPr>
          <w:sz w:val="20"/>
          <w:szCs w:val="20"/>
          <w:color w:val="auto"/>
        </w:rPr>
      </w:pPr>
      <w:r>
        <w:rPr>
          <w:rFonts w:ascii="Arial" w:cs="Arial" w:eastAsia="Arial" w:hAnsi="Arial"/>
          <w:sz w:val="18"/>
          <w:szCs w:val="18"/>
          <w:color w:val="auto"/>
        </w:rPr>
        <w:t>The aggregate fair value of consideration transferred for all acquisitions completed in 2025 was $159.7 million, which consisted of $110.2 million in cash (inclusive of net working capital and other proceeds adjustments), $29.2 million in Huron common stock, and $20.3 million in the acquisition date fair value of contingent consideration liabilities.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goodwill related to our 2025 acquisitions of $108.1 million, of which $53.8 million related to the acquisition of Eclipse Insights within our Healthcare segment; $27.4 million related to the acquisition of Treliant within our Commercial segment; $16.5 million related to the acquisition of WP&amp;C within our Commercial segment; and $10.4 million related to the remaining acquisitions completed in 2025. Goodwill is recognized for the excess of purchase price over the net fair value of assets acquired and liabilities assumed, and largely reflects the expanded market opportunities expected from combining the service offerings of Huron and the businesses acquired, as well as the assembled workforces of businesses acquired. Of the $108.1 million of goodwill recorded related to our 2025 acquisitions, $98.7 million is expected to be tax deductible.</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Additionally, we acquired intangible assets related to our 2025 acquisitions of $58.1 million. Of the $58.1 million of intangible assets acquired, $27.6 million relates to our acquisition of Eclipse Insights and includes $25.5 million for customer relationships and $2.1 million for technology and software. The acquired customer relationships and technology and software intangible assets have an estimated useful life of 10 years and 5 years, respectively. Also included in the $58.1 million of intangible assets acquired in 2025 is $19.1 million for the Treliant customer relationships intangible asset, which has an estimated useful life of 10 years.</w:t>
      </w:r>
    </w:p>
    <w:p>
      <w:pPr>
        <w:spacing w:after="0" w:line="1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For the three months ended March 31, 2025, we recognized total revenues of $0.7 million in the aggregate, from our acquisitions completed in 2025. We determined that it is impractical to determine the amount of earnings generated by the acquisitions, individually or in the aggregate, due to the integration of operations after the acquisition date.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carrying value of goodwill by reportable segment for the three months ended March 31, 2026.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Healthcare</w:t>
            </w: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Education</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34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701,624</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152,431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388,733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1,242,788</w:t>
            </w: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impairment losses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(190,024)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(455,892)</w:t>
            </w:r>
          </w:p>
        </w:tc>
      </w:tr>
      <w:tr>
        <w:trPr>
          <w:trHeight w:val="223"/>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Goodwill, net as of December 31,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511,600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151,014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786,896</w:t>
            </w: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Goodwill recorded in connection with business acquisition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March 31, 2026</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786,949</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300" w:hanging="412"/>
        <w:spacing w:after="0" w:line="268" w:lineRule="auto"/>
        <w:tabs>
          <w:tab w:leader="none" w:pos="43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$0.2 million of goodwill recorded for the three months ended March 31, 2026 in connection with a business acquisition relates to the finalized measurements of assets acquired and liabilities assumed in the acquisition of Treliant. See Note 4 "Acquisitions" for additional information on our business combinations completed in 2025.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March 31, 2026 and December 31, 2025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As of March 31, 2026</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As of December 31, 2025</w:t>
            </w: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126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9"/>
              </w:rPr>
              <w:t>Useful Life</w:t>
            </w:r>
          </w:p>
        </w:tc>
        <w:tc>
          <w:tcPr>
            <w:tcW w:w="240" w:type="dxa"/>
            <w:vAlign w:val="bottom"/>
          </w:tcPr>
          <w:p>
            <w:pPr>
              <w:spacing w:after="0"/>
              <w:rPr>
                <w:sz w:val="15"/>
                <w:szCs w:val="15"/>
                <w:color w:val="auto"/>
              </w:rPr>
            </w:pPr>
          </w:p>
        </w:tc>
        <w:tc>
          <w:tcPr>
            <w:tcW w:w="1300" w:type="dxa"/>
            <w:vAlign w:val="bottom"/>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4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220" w:type="dxa"/>
            <w:vAlign w:val="bottom"/>
          </w:tcPr>
          <w:p>
            <w:pPr>
              <w:spacing w:after="0"/>
              <w:rPr>
                <w:sz w:val="15"/>
                <w:szCs w:val="15"/>
                <w:color w:val="auto"/>
              </w:rPr>
            </w:pPr>
          </w:p>
        </w:tc>
        <w:tc>
          <w:tcPr>
            <w:tcW w:w="132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5"/>
                <w:szCs w:val="15"/>
                <w:color w:val="auto"/>
              </w:rPr>
            </w:pPr>
          </w:p>
        </w:tc>
        <w:tc>
          <w:tcPr>
            <w:tcW w:w="1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Accumulated</w:t>
            </w:r>
          </w:p>
        </w:tc>
        <w:tc>
          <w:tcPr>
            <w:tcW w:w="0" w:type="dxa"/>
            <w:vAlign w:val="bottom"/>
          </w:tcPr>
          <w:p>
            <w:pPr>
              <w:spacing w:after="0"/>
              <w:rPr>
                <w:sz w:val="1"/>
                <w:szCs w:val="1"/>
                <w:color w:val="auto"/>
              </w:rPr>
            </w:pPr>
          </w:p>
        </w:tc>
      </w:tr>
      <w:tr>
        <w:trPr>
          <w:trHeight w:val="181"/>
        </w:trPr>
        <w:tc>
          <w:tcPr>
            <w:tcW w:w="39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center"/>
              <w:ind w:right="340"/>
              <w:spacing w:after="0" w:line="181" w:lineRule="exact"/>
              <w:rPr>
                <w:sz w:val="20"/>
                <w:szCs w:val="20"/>
                <w:color w:val="auto"/>
              </w:rPr>
            </w:pPr>
            <w:r>
              <w:rPr>
                <w:rFonts w:ascii="Arial" w:cs="Arial" w:eastAsia="Arial" w:hAnsi="Arial"/>
                <w:sz w:val="18"/>
                <w:szCs w:val="18"/>
                <w:b w:val="1"/>
                <w:bCs w:val="1"/>
                <w:color w:val="auto"/>
                <w:w w:val="99"/>
              </w:rPr>
              <w:t>Carrying</w:t>
            </w:r>
          </w:p>
        </w:tc>
        <w:tc>
          <w:tcPr>
            <w:tcW w:w="14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(in years)</w:t>
            </w:r>
          </w:p>
        </w:tc>
        <w:tc>
          <w:tcPr>
            <w:tcW w:w="2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Amount</w:t>
            </w:r>
          </w:p>
        </w:tc>
        <w:tc>
          <w:tcPr>
            <w:tcW w:w="14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4 to 10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8"/>
                <w:szCs w:val="18"/>
                <w:color w:val="auto"/>
              </w:rPr>
              <w:t>Technology and software</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14,591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Arial" w:cs="Arial" w:eastAsia="Arial" w:hAnsi="Arial"/>
                <w:sz w:val="18"/>
                <w:szCs w:val="18"/>
                <w:color w:val="auto"/>
              </w:rPr>
              <w:t>Customer contracts</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2 to 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Non-competition agreements</w:t>
            </w: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2 to 5</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3900" w:type="dxa"/>
            <w:vAlign w:val="bottom"/>
          </w:tcPr>
          <w:p>
            <w:pPr>
              <w:ind w:left="36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37,981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112,996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40,069</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with finite lives are amortized over their estimated useful lives using either an accelerated or straight-line basis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correspond to the cash flows expected to be derived from the assets. Intangible asset amortization expense was $3.9 million and $2.0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three months ended March 31, 2026 and 2025, respectively. During the three months ended March 31, 2026, we wrote-off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 million of fully amortized intangible assets related to technology and software, customer relationships, and non-competition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 longer in use. We did not write-off any intangible assets during the three months ended March 31,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estimated annual amortization expense for the intangible assets recorded as of March 31, 2026.</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60" w:type="dxa"/>
            <w:vAlign w:val="bottom"/>
            <w:gridSpan w:val="2"/>
            <w:vMerge w:val="restart"/>
          </w:tcPr>
          <w:p>
            <w:pPr>
              <w:ind w:left="3240"/>
              <w:spacing w:after="0"/>
              <w:rPr>
                <w:sz w:val="20"/>
                <w:szCs w:val="20"/>
                <w:color w:val="auto"/>
              </w:rPr>
            </w:pPr>
            <w:r>
              <w:rPr>
                <w:rFonts w:ascii="Arial" w:cs="Arial" w:eastAsia="Arial" w:hAnsi="Arial"/>
                <w:sz w:val="18"/>
                <w:szCs w:val="18"/>
                <w:b w:val="1"/>
                <w:bCs w:val="1"/>
                <w:color w:val="auto"/>
              </w:rPr>
              <w:t>Year Ending December 31,</w:t>
            </w:r>
          </w:p>
        </w:tc>
        <w:tc>
          <w:tcPr>
            <w:tcW w:w="140" w:type="dxa"/>
            <w:vAlign w:val="bottom"/>
          </w:tcPr>
          <w:p>
            <w:pPr>
              <w:spacing w:after="0"/>
              <w:rPr>
                <w:sz w:val="18"/>
                <w:szCs w:val="18"/>
                <w:color w:val="auto"/>
              </w:rPr>
            </w:pPr>
          </w:p>
        </w:tc>
        <w:tc>
          <w:tcPr>
            <w:tcW w:w="2240" w:type="dxa"/>
            <w:vAlign w:val="bottom"/>
          </w:tcPr>
          <w:p>
            <w:pPr>
              <w:jc w:val="right"/>
              <w:ind w:right="90"/>
              <w:spacing w:after="0"/>
              <w:rPr>
                <w:sz w:val="20"/>
                <w:szCs w:val="20"/>
                <w:color w:val="auto"/>
              </w:rPr>
            </w:pPr>
            <w:r>
              <w:rPr>
                <w:rFonts w:ascii="Arial" w:cs="Arial" w:eastAsia="Arial" w:hAnsi="Arial"/>
                <w:sz w:val="18"/>
                <w:szCs w:val="18"/>
                <w:b w:val="1"/>
                <w:bCs w:val="1"/>
                <w:color w:val="auto"/>
              </w:rPr>
              <w:t>Estimated Amortization</w:t>
            </w:r>
          </w:p>
        </w:tc>
        <w:tc>
          <w:tcPr>
            <w:tcW w:w="0" w:type="dxa"/>
            <w:vAlign w:val="bottom"/>
          </w:tcPr>
          <w:p>
            <w:pPr>
              <w:spacing w:after="0"/>
              <w:rPr>
                <w:sz w:val="1"/>
                <w:szCs w:val="1"/>
                <w:color w:val="auto"/>
              </w:rPr>
            </w:pPr>
          </w:p>
        </w:tc>
      </w:tr>
      <w:tr>
        <w:trPr>
          <w:trHeight w:val="243"/>
        </w:trPr>
        <w:tc>
          <w:tcPr>
            <w:tcW w:w="886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240" w:type="dxa"/>
            <w:vAlign w:val="bottom"/>
          </w:tcPr>
          <w:p>
            <w:pPr>
              <w:jc w:val="right"/>
              <w:ind w:right="730"/>
              <w:spacing w:after="0"/>
              <w:rPr>
                <w:sz w:val="20"/>
                <w:szCs w:val="20"/>
                <w:color w:val="auto"/>
              </w:rPr>
            </w:pPr>
            <w:r>
              <w:rPr>
                <w:rFonts w:ascii="Arial" w:cs="Arial" w:eastAsia="Arial" w:hAnsi="Arial"/>
                <w:sz w:val="18"/>
                <w:szCs w:val="18"/>
                <w:b w:val="1"/>
                <w:bCs w:val="1"/>
                <w:color w:val="auto"/>
              </w:rPr>
              <w:t>Expense</w:t>
            </w:r>
          </w:p>
        </w:tc>
        <w:tc>
          <w:tcPr>
            <w:tcW w:w="0" w:type="dxa"/>
            <w:vAlign w:val="bottom"/>
          </w:tcPr>
          <w:p>
            <w:pPr>
              <w:spacing w:after="0"/>
              <w:rPr>
                <w:sz w:val="1"/>
                <w:szCs w:val="1"/>
                <w:color w:val="auto"/>
              </w:rPr>
            </w:pPr>
          </w:p>
        </w:tc>
      </w:tr>
      <w:tr>
        <w:trPr>
          <w:trHeight w:val="223"/>
        </w:trPr>
        <w:tc>
          <w:tcPr>
            <w:tcW w:w="8740" w:type="dxa"/>
            <w:vAlign w:val="bottom"/>
            <w:tcBorders>
              <w:top w:val="single" w:sz="8" w:color="auto"/>
            </w:tcBorders>
            <w:shd w:val="clear" w:color="auto" w:fill="CCEEFF"/>
          </w:tcPr>
          <w:p>
            <w:pPr>
              <w:jc w:val="right"/>
              <w:ind w:right="8230"/>
              <w:spacing w:after="0"/>
              <w:rPr>
                <w:sz w:val="20"/>
                <w:szCs w:val="20"/>
                <w:color w:val="auto"/>
              </w:rPr>
            </w:pPr>
            <w:r>
              <w:rPr>
                <w:rFonts w:ascii="Arial" w:cs="Arial" w:eastAsia="Arial" w:hAnsi="Arial"/>
                <w:sz w:val="18"/>
                <w:szCs w:val="18"/>
                <w:color w:val="auto"/>
                <w:w w:val="99"/>
              </w:rPr>
              <w:t>2026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15,557</w:t>
            </w:r>
          </w:p>
        </w:tc>
        <w:tc>
          <w:tcPr>
            <w:tcW w:w="0" w:type="dxa"/>
            <w:vAlign w:val="bottom"/>
          </w:tcPr>
          <w:p>
            <w:pPr>
              <w:spacing w:after="0"/>
              <w:rPr>
                <w:sz w:val="1"/>
                <w:szCs w:val="1"/>
                <w:color w:val="auto"/>
              </w:rPr>
            </w:pPr>
          </w:p>
        </w:tc>
      </w:tr>
      <w:tr>
        <w:trPr>
          <w:trHeight w:val="230"/>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13,494</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11,846</w:t>
            </w:r>
          </w:p>
        </w:tc>
        <w:tc>
          <w:tcPr>
            <w:tcW w:w="0" w:type="dxa"/>
            <w:vAlign w:val="bottom"/>
          </w:tcPr>
          <w:p>
            <w:pPr>
              <w:spacing w:after="0"/>
              <w:rPr>
                <w:sz w:val="1"/>
                <w:szCs w:val="1"/>
                <w:color w:val="auto"/>
              </w:rPr>
            </w:pPr>
          </w:p>
        </w:tc>
      </w:tr>
      <w:tr>
        <w:trPr>
          <w:trHeight w:val="229"/>
        </w:trPr>
        <w:tc>
          <w:tcPr>
            <w:tcW w:w="8740" w:type="dxa"/>
            <w:vAlign w:val="bottom"/>
          </w:tcPr>
          <w:p>
            <w:pPr>
              <w:jc w:val="right"/>
              <w:ind w:right="8230"/>
              <w:spacing w:after="0"/>
              <w:rPr>
                <w:sz w:val="20"/>
                <w:szCs w:val="20"/>
                <w:color w:val="auto"/>
              </w:rPr>
            </w:pPr>
            <w:r>
              <w:rPr>
                <w:rFonts w:ascii="Arial" w:cs="Arial" w:eastAsia="Arial" w:hAnsi="Arial"/>
                <w:sz w:val="18"/>
                <w:szCs w:val="18"/>
                <w:color w:val="auto"/>
                <w:w w:val="99"/>
              </w:rPr>
              <w:t>2029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9,290</w:t>
            </w:r>
          </w:p>
        </w:tc>
        <w:tc>
          <w:tcPr>
            <w:tcW w:w="0" w:type="dxa"/>
            <w:vAlign w:val="bottom"/>
          </w:tcPr>
          <w:p>
            <w:pPr>
              <w:spacing w:after="0"/>
              <w:rPr>
                <w:sz w:val="1"/>
                <w:szCs w:val="1"/>
                <w:color w:val="auto"/>
              </w:rPr>
            </w:pPr>
          </w:p>
        </w:tc>
      </w:tr>
      <w:tr>
        <w:trPr>
          <w:trHeight w:val="230"/>
        </w:trPr>
        <w:tc>
          <w:tcPr>
            <w:tcW w:w="8740" w:type="dxa"/>
            <w:vAlign w:val="bottom"/>
            <w:shd w:val="clear" w:color="auto" w:fill="CCEEFF"/>
          </w:tcPr>
          <w:p>
            <w:pPr>
              <w:jc w:val="right"/>
              <w:ind w:right="8230"/>
              <w:spacing w:after="0"/>
              <w:rPr>
                <w:sz w:val="20"/>
                <w:szCs w:val="20"/>
                <w:color w:val="auto"/>
              </w:rPr>
            </w:pPr>
            <w:r>
              <w:rPr>
                <w:rFonts w:ascii="Arial" w:cs="Arial" w:eastAsia="Arial" w:hAnsi="Arial"/>
                <w:sz w:val="18"/>
                <w:szCs w:val="18"/>
                <w:color w:val="auto"/>
                <w:w w:val="99"/>
              </w:rPr>
              <w:t>2030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For the three months ended March 31, 2026 and 2025, we recognized total revenues of $451.8 million and $404.1 million, respectively. Of the $451.8 million total revenues recognized in the first quarter of 2026, we recognized $14.0 million from obligations satisfied, or partially satisfied, in prior periods, of which $12.3 million was primarily due to changes in the estimates of our variable consideration under performance-based billing arrangements and $1.7 million was primarily due to the release of allowances on receivables from clients and unbilled services. Of the $404.1 million total revenues recognized in the first quarter of 2025, we recognized $12.4 million from obligations satisfied, or partially satisfied, in prior periods, of which $10.8 million was primarily due to changes in the estimates of our variable consideration under performance-based billing arrangements and $1.6 million was primarily due to the release of allowances on receivables from clients and unbilled services.</w:t>
      </w:r>
    </w:p>
    <w:p>
      <w:pPr>
        <w:spacing w:after="0" w:line="1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of March 31, 2026, we had $275.2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$275.2 million of performance obligations, we expect to recognize $86.2 million as revenue in 2026, $75.0 million in 2027, and the remaining $114.0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6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March 31, 2026 and December 31, 2025 was $106.1 million and $91.7 million, respectively. The $14.4 million increase primarily reflects timing differences between the completion of our performance obligations and the amounts billed or billable to clients in accordance with their contractual billing terms.</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accounting policy. Our deferred revenues balance as of March 31, 2026 and December 31, 2025 was $31.6 million and $31.7 million, respectively. The $ 0.1 million decrease reflects timing differences between client payments in accordance with their contract terms and the completion of our performance obligations. For the three months ended March 31, 2026, $22.8 million of revenues recognized were included in the deferred revenue balance as of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under the basic and diluted computations are as follows:</w:t>
      </w:r>
    </w:p>
    <w:p>
      <w:pPr>
        <w:spacing w:after="0" w:line="198"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Three Months Ended</w:t>
      </w:r>
    </w:p>
    <w:p>
      <w:pPr>
        <w:jc w:val="center"/>
        <w:ind w:left="65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20" w:type="dxa"/>
            <w:vAlign w:val="bottom"/>
            <w:tcBorders>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2026</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24,536</w:t>
            </w:r>
          </w:p>
        </w:tc>
      </w:tr>
      <w:tr>
        <w:trPr>
          <w:trHeight w:val="216"/>
        </w:trPr>
        <w:tc>
          <w:tcPr>
            <w:tcW w:w="6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17,821</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stock equivalents</w:t>
            </w:r>
          </w:p>
        </w:tc>
        <w:tc>
          <w:tcPr>
            <w:tcW w:w="15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5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basic share</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Net income per diluted share</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3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number of anti-dilutive securities excluded from the computation of the weighted average common stock equivalents presented above was less than 0.1 million shares for the three months ended March 31, 2026 and was 0.1 million shares for the three months ended March 31, 2025. These shares related to unvested restricted stock and outstanding common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2026, we repurchased and retired 1,114,806 shares for $155.5 million, which includes a</w:t>
      </w:r>
    </w:p>
    <w:p>
      <w:pPr>
        <w:spacing w:after="0" w:line="27" w:lineRule="exact"/>
        <w:rPr>
          <w:sz w:val="20"/>
          <w:szCs w:val="20"/>
          <w:color w:val="auto"/>
        </w:rPr>
      </w:pPr>
    </w:p>
    <w:p>
      <w:pPr>
        <w:ind w:right="520"/>
        <w:spacing w:after="0" w:line="266" w:lineRule="auto"/>
        <w:rPr>
          <w:sz w:val="20"/>
          <w:szCs w:val="20"/>
          <w:color w:val="auto"/>
        </w:rPr>
      </w:pPr>
      <w:r>
        <w:rPr>
          <w:rFonts w:ascii="Arial" w:cs="Arial" w:eastAsia="Arial" w:hAnsi="Arial"/>
          <w:sz w:val="18"/>
          <w:szCs w:val="18"/>
          <w:color w:val="auto"/>
        </w:rPr>
        <w:t>$1.1 million accrual for excise taxes on the net share repurchases and includes 10,000 shares for $1.3 million which were settled in the second quarter of 2026.</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three months ended March 31, 2025, we repurchased and retired 508,611 shares for $ 72.9 million, which includes a $0.1 million accrual for excise taxes on the net share repurchases and includes 57,040 shares for $8.1 million which were settled in the second quarter of 2025. Additionally, in the first quarter of 2025, we settled the repurchase of 5,103 shares for $0.6 million which were accrued as of December 31, 2024.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$144.6 million remained available for share repurchases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Financing Arrangements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has a $700 million senior secured revolving credit facility (the “Revolver”) and a $400 million senior secured term loan facility (the “Term Loan”), subject to the terms of the Fourth Amended and Restated Credit Agreement dated as of July 30, 2025 (the “Amended Credit Agreement”). Both the Revolver and the Term Loan mature on July 30, 2030. The Term Loan is subject to scheduled quarterly amortization payments of $5.0 million which began September 30, 2025 and continue through the maturity date of July 30, 2030, at which time the outstanding principal balance and all accrued interest will be due.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we had total borrowings outstanding under the Amended Credit Agreement of $856.0 million, consisting of</w:t>
      </w:r>
    </w:p>
    <w:p>
      <w:pPr>
        <w:spacing w:after="0" w:line="2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$471.0 million outstanding under the Revolver and $385.0 million outstanding under the Term Loan. A summary of the scheduled maturities of those borrowings as of March 31, 2026 follows:</w:t>
      </w:r>
    </w:p>
    <w:tbl>
      <w:tblPr>
        <w:tblLayout w:type="fixed"/>
        <w:tblInd w:w="0" w:type="dxa"/>
        <w:tblCellMar>
          <w:top w:w="0" w:type="dxa"/>
          <w:left w:w="0" w:type="dxa"/>
          <w:bottom w:w="0" w:type="dxa"/>
          <w:right w:w="0" w:type="dxa"/>
        </w:tblCellMar>
      </w:tblPr>
      <w:tr>
        <w:trPr>
          <w:trHeight w:val="182"/>
        </w:trPr>
        <w:tc>
          <w:tcPr>
            <w:tcW w:w="8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Scheduled Maturities of</w:t>
            </w:r>
          </w:p>
        </w:tc>
      </w:tr>
      <w:tr>
        <w:trPr>
          <w:trHeight w:val="243"/>
        </w:trPr>
        <w:tc>
          <w:tcPr>
            <w:tcW w:w="89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Long-Term Debt</w:t>
            </w:r>
          </w:p>
        </w:tc>
      </w:tr>
      <w:tr>
        <w:trPr>
          <w:trHeight w:val="223"/>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940" w:type="dxa"/>
            <w:vAlign w:val="bottom"/>
          </w:tcPr>
          <w:p>
            <w:pPr>
              <w:jc w:val="right"/>
              <w:ind w:right="8430"/>
              <w:spacing w:after="0"/>
              <w:rPr>
                <w:sz w:val="20"/>
                <w:szCs w:val="20"/>
                <w:color w:val="auto"/>
              </w:rPr>
            </w:pPr>
            <w:r>
              <w:rPr>
                <w:rFonts w:ascii="Arial" w:cs="Arial" w:eastAsia="Arial" w:hAnsi="Arial"/>
                <w:sz w:val="18"/>
                <w:szCs w:val="18"/>
                <w:color w:val="auto"/>
                <w:w w:val="99"/>
              </w:rPr>
              <w:t>2027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8940" w:type="dxa"/>
            <w:vAlign w:val="bottom"/>
          </w:tcPr>
          <w:p>
            <w:pPr>
              <w:jc w:val="right"/>
              <w:ind w:right="8430"/>
              <w:spacing w:after="0"/>
              <w:rPr>
                <w:sz w:val="20"/>
                <w:szCs w:val="20"/>
                <w:color w:val="auto"/>
              </w:rPr>
            </w:pPr>
            <w:r>
              <w:rPr>
                <w:rFonts w:ascii="Arial" w:cs="Arial" w:eastAsia="Arial" w:hAnsi="Arial"/>
                <w:sz w:val="18"/>
                <w:szCs w:val="18"/>
                <w:color w:val="auto"/>
                <w:w w:val="99"/>
              </w:rPr>
              <w:t>2029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30"/>
        </w:trPr>
        <w:tc>
          <w:tcPr>
            <w:tcW w:w="894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9"/>
              </w:rPr>
              <w:t>2030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781,000</w:t>
            </w:r>
          </w:p>
        </w:tc>
      </w:tr>
    </w:tbl>
    <w:p>
      <w:pPr>
        <w:spacing w:after="0" w:line="238" w:lineRule="exact"/>
        <w:rPr>
          <w:sz w:val="20"/>
          <w:szCs w:val="20"/>
          <w:color w:val="auto"/>
        </w:rPr>
      </w:pPr>
    </w:p>
    <w:p>
      <w:pPr>
        <w:jc w:val="both"/>
        <w:ind w:right="520"/>
        <w:spacing w:after="0" w:line="268" w:lineRule="auto"/>
        <w:rPr>
          <w:sz w:val="20"/>
          <w:szCs w:val="20"/>
          <w:color w:val="auto"/>
        </w:rPr>
      </w:pPr>
      <w:r>
        <w:rPr>
          <w:rFonts w:ascii="Arial" w:cs="Arial" w:eastAsia="Arial" w:hAnsi="Arial"/>
          <w:sz w:val="18"/>
          <w:szCs w:val="18"/>
          <w:color w:val="auto"/>
        </w:rPr>
        <w:t>Borrowings under the Amended Credit Agreement may be used for working capital, capital expenditures, share repurchases, permitted acquisitions, and other general corporate purposes. The initial borrowings under the Amended Credit Agreement were used to reduce borrowings outstanding under a prior credit agreement.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Amended Credit Agreement provides the option to increase the revolving credit facility or establish additional term loan facilities in an aggregate amount up to $500 million with further increases permitted to the extent the Pro Forma Consolidated Leverage Ratio (as defined in the Amended Credit Agreement) remains at or below 3.00 to 1.00 following such incremental borrowings, subject to customary conditions and the approval of any lender whose commitment would be increased. These increases result in an available principal amount of $1.6 billion under the Amended Credit Agreement, with further increases permitted.</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Fees and interest on borrowings under the Amended Credit Agreement will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loans and obligations under the Amended Credit Agreement are secured pursuant to a Fourth Amended and Restated Security Agreement and a Fourth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spacing w:after="0" w:line="129"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240" w:firstLine="8"/>
        <w:spacing w:after="0" w:line="272" w:lineRule="auto"/>
        <w:tabs>
          <w:tab w:leader="none" w:pos="21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charges, pro forma historical EBITDA for businesses acquired, and other specified items in accordance with the Amended Credit Agreement. For purposes of the Consolidated Leverage Ratio, total debt is on a gross basis and is not netted against our cash balances. At March 31, 2026, we were in compliance with these financial covenants with a Consolidated Leverage Ratio of 3.14 to 1.00 and a Consolidated Interest Coverage Ratio of 7.57 to 1.00.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50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1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198"/>
        </w:trPr>
        <w:tc>
          <w:tcPr>
            <w:tcW w:w="6500" w:type="dxa"/>
            <w:vAlign w:val="bottom"/>
          </w:tcPr>
          <w:p>
            <w:pPr>
              <w:spacing w:after="0"/>
              <w:rPr>
                <w:sz w:val="17"/>
                <w:szCs w:val="17"/>
                <w:color w:val="auto"/>
              </w:rPr>
            </w:pPr>
          </w:p>
        </w:tc>
        <w:tc>
          <w:tcPr>
            <w:tcW w:w="15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right"/>
              <w:ind w:right="490"/>
              <w:spacing w:after="0" w:line="199"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65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Revolver</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471,000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Term Loan</w:t>
            </w:r>
          </w:p>
        </w:tc>
        <w:tc>
          <w:tcPr>
            <w:tcW w:w="1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385,000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390,000</w:t>
            </w:r>
          </w:p>
        </w:tc>
      </w:tr>
      <w:tr>
        <w:trPr>
          <w:trHeight w:val="230"/>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Unamortized debt issuance costs - Term Loan</w:t>
            </w:r>
            <w:r>
              <w:rPr>
                <w:rFonts w:ascii="Arial" w:cs="Arial" w:eastAsia="Arial" w:hAnsi="Arial"/>
                <w:sz w:val="23"/>
                <w:szCs w:val="23"/>
                <w:color w:val="auto"/>
                <w:vertAlign w:val="superscript"/>
              </w:rPr>
              <w:t>(1)</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1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854,739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509,665</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maturities of long-term debt</w:t>
            </w:r>
          </w:p>
        </w:tc>
        <w:tc>
          <w:tcPr>
            <w:tcW w:w="15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Long-term debt, net of current portion</w:t>
            </w:r>
          </w:p>
        </w:tc>
        <w:tc>
          <w:tcPr>
            <w:tcW w:w="15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834,739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489,665</w:t>
            </w:r>
          </w:p>
        </w:tc>
      </w:tr>
      <w:tr>
        <w:trPr>
          <w:trHeight w:val="21"/>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660" w:right="460" w:hanging="652"/>
        <w:spacing w:after="0" w:line="262" w:lineRule="auto"/>
        <w:tabs>
          <w:tab w:leader="none" w:pos="691"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recognized a $1.5 million discount to the Term Loan for debt issuance costs in connection with the Amended Credit Facility. These debt issuance costs are amortized to interest expense using an effective interest rate of 5.95% over the term of the Term Loan. Unamortized debt issuance costs related to the Revolver are included as a component of other non-current assets and amortized to interest expense using the straight-line method over the term of the Revolver.</w:t>
      </w:r>
    </w:p>
    <w:p>
      <w:pPr>
        <w:spacing w:after="0" w:line="12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Borrowings outstanding under the Amended Credit Agreement as of March 31, 2026 carried a weighted average interest rate of 5.2%. Borrowings outstanding under the Amended Credit Agreement as of December 31, 2025 carried a weighted average interest rate of 5.3%. Both weighted average interest rates include the effect of the interest rate swaps described in Note 10 “Derivative Instruments and Hedging Activity.”</w:t>
      </w:r>
    </w:p>
    <w:p>
      <w:pPr>
        <w:spacing w:after="0" w:line="12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borrowing capacity under the Revolver is reduced by any outstanding borrowings under the Revolver and outstanding letters of credit. At March 31, 2026, we had outstanding letters of credit totaling $0.4 million, which are used as security deposits for our office facilities. As of March 31, 2026, the unused borrowing capacity under the Revolver was $228.6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Charges</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Restructuring charges were $0.7 million for the three months ended March 31, 2026, which included $3.4 million of severance-related expenses and $1.0 million of rent and related expenses, net of sublease income, for our previously vacated office spaces, largely offset by a $3.8 million non-cash gain on lease modification. In the first quarter of 2026, we entered into the Seventh Amendment to the office lease agreement for our principal executive offices in Chicago, Illinois, which, among other items, provides for the early termination of the lease with respect to certain leased spaces previously vacated. See Note 14 “Commitments, Contingencies and Guarantees” within the notes to our consolidated financial statement for additional information on the Seventh Amendment to the Chicago, Illinois office lease.</w:t>
      </w:r>
    </w:p>
    <w:p>
      <w:pPr>
        <w:spacing w:after="0" w:line="12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Restructuring charges were $1.3 million for the three months ended March 31, 2025, which included a $0.7 million non-cash lease impairment charge driven by updated sublease assumptions for a previously vacated office space and $0.6 million of rent and related expenses, net of sublease income, for our previously vacated office spaces.</w:t>
      </w:r>
    </w:p>
    <w:p>
      <w:pPr>
        <w:spacing w:after="0" w:line="117" w:lineRule="exact"/>
        <w:rPr>
          <w:sz w:val="20"/>
          <w:szCs w:val="20"/>
          <w:color w:val="auto"/>
        </w:rPr>
      </w:pPr>
    </w:p>
    <w:p>
      <w:pPr>
        <w:ind w:right="400"/>
        <w:spacing w:after="0" w:line="273" w:lineRule="auto"/>
        <w:rPr>
          <w:sz w:val="20"/>
          <w:szCs w:val="20"/>
          <w:color w:val="auto"/>
        </w:rPr>
      </w:pPr>
      <w:r>
        <w:rPr>
          <w:rFonts w:ascii="Arial" w:cs="Arial" w:eastAsia="Arial" w:hAnsi="Arial"/>
          <w:sz w:val="18"/>
          <w:szCs w:val="18"/>
          <w:color w:val="auto"/>
        </w:rPr>
        <w:t>The table below sets forth the changes in the carrying value of our restructuring charge liability by restructuring type for the three months ended March 31, 2026.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r>
      <w:tr>
        <w:trPr>
          <w:trHeight w:val="229"/>
        </w:trPr>
        <w:tc>
          <w:tcPr>
            <w:tcW w:w="5820" w:type="dxa"/>
            <w:vAlign w:val="bottom"/>
          </w:tcPr>
          <w:p>
            <w:pPr>
              <w:ind w:left="220"/>
              <w:spacing w:after="0" w:line="23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29"/>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r>
      <w:tr>
        <w:trPr>
          <w:trHeight w:val="230"/>
        </w:trPr>
        <w:tc>
          <w:tcPr>
            <w:tcW w:w="582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right="60" w:hanging="412"/>
        <w:spacing w:after="0" w:line="318" w:lineRule="auto"/>
        <w:tabs>
          <w:tab w:leader="none" w:pos="425" w:val="left"/>
        </w:tabs>
        <w:numPr>
          <w:ilvl w:val="0"/>
          <w:numId w:val="4"/>
        </w:numPr>
        <w:rPr>
          <w:rFonts w:ascii="Arial" w:cs="Arial" w:eastAsia="Arial" w:hAnsi="Arial"/>
          <w:sz w:val="17"/>
          <w:szCs w:val="17"/>
          <w:color w:val="auto"/>
        </w:rPr>
      </w:pPr>
      <w:r>
        <w:rPr>
          <w:rFonts w:ascii="Arial" w:cs="Arial" w:eastAsia="Arial" w:hAnsi="Arial"/>
          <w:sz w:val="17"/>
          <w:szCs w:val="17"/>
          <w:color w:val="auto"/>
        </w:rPr>
        <w:t>Additions and adjustments exclude non-cash items related to employee costs, such as share-based compensation expense recognized upon the modification of equity awards to accelerate vesting upon termination, and non-cash items related to vacated office spaces,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420" w:right="20"/>
        <w:spacing w:after="0" w:line="287" w:lineRule="auto"/>
        <w:rPr>
          <w:sz w:val="20"/>
          <w:szCs w:val="20"/>
          <w:color w:val="auto"/>
        </w:rPr>
      </w:pPr>
      <w:r>
        <w:rPr>
          <w:rFonts w:ascii="Arial" w:cs="Arial" w:eastAsia="Arial" w:hAnsi="Arial"/>
          <w:sz w:val="18"/>
          <w:szCs w:val="18"/>
          <w:color w:val="auto"/>
        </w:rPr>
        <w:t>such as lease impairment charges, accelerated depreciation on abandoned operating lease ROU assets and fixed assets and non-cash gains on lease modifications, all of which are recorded as restructuring charges on our consolidated statements of operations.</w:t>
      </w:r>
    </w:p>
    <w:p>
      <w:pPr>
        <w:spacing w:after="0" w:line="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All of the $1.2 million restructuring charge liability related to employee costs as of March 31, 2026 is expected to be paid in the next 12 months. All of the $0.5 million other restructuring charge liability at March 31, 2026, which relates to the early termination of a contract in a prior period, is expected to be paid in the next 12 months. The employee costs and other restructuring charge liabilities are included as components of accrued payroll and related benefits and accrued expenses and other current liabilities in our consolidated balance sheet,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Activity</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6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designated as cash flow hedges in effect during the periods presented. From time to time, we may enter into additional forward interest rate swaps or Indian Rupee forward contracts to further hedge against our interest rate and foreign currency exchange rate risk.</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We are party to forward interest rate swap agreements with aggregate notional amounts of $250.0 million as of both</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2026 and December 31, 2025.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w:t>
      </w:r>
    </w:p>
    <w:p>
      <w:pPr>
        <w:spacing w:after="0" w:line="122" w:lineRule="exact"/>
        <w:rPr>
          <w:sz w:val="20"/>
          <w:szCs w:val="20"/>
          <w:color w:val="auto"/>
        </w:rPr>
      </w:pPr>
    </w:p>
    <w:p>
      <w:pPr>
        <w:jc w:val="both"/>
        <w:ind w:right="720"/>
        <w:spacing w:after="0" w:line="268" w:lineRule="auto"/>
        <w:rPr>
          <w:sz w:val="20"/>
          <w:szCs w:val="20"/>
          <w:color w:val="auto"/>
        </w:rPr>
      </w:pPr>
      <w:r>
        <w:rPr>
          <w:rFonts w:ascii="Arial" w:cs="Arial" w:eastAsia="Arial" w:hAnsi="Arial"/>
          <w:sz w:val="18"/>
          <w:szCs w:val="18"/>
          <w:color w:val="auto"/>
        </w:rPr>
        <w:t>As of March 31, 2026, it was anticipated that $0.1 million of the losses, net of tax, related to interest rate swaps currently recorded in accumulated other comprehensive income (loss) will be reclassified into interest expense, net of interest income in our consolidated statement of operations within the next 12 months.</w:t>
      </w:r>
    </w:p>
    <w:p>
      <w:pPr>
        <w:spacing w:after="0" w:line="11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i w:val="1"/>
          <w:iCs w:val="1"/>
          <w:color w:val="auto"/>
        </w:rPr>
        <w:t xml:space="preserve">Indian Rupee Forward Contracts: </w:t>
      </w:r>
      <w:r>
        <w:rPr>
          <w:rFonts w:ascii="Arial" w:cs="Arial" w:eastAsia="Arial" w:hAnsi="Arial"/>
          <w:sz w:val="18"/>
          <w:szCs w:val="18"/>
          <w:color w:val="auto"/>
        </w:rPr>
        <w:t>We are party to Indian Rupee forward contracts that are scheduled to mature monthly through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2026. As of March 31, 2026 and December 31, 2025, the aggregate notional amounts of these contracts were Indian Rupee (INR) 0.94 billion, or $10.0 million, and Indian Rupee (INR) 1.47 billion, or $16.3 million, respectively, based on the exchange rates in effect as of each period end.</w:t>
      </w:r>
    </w:p>
    <w:p>
      <w:pPr>
        <w:spacing w:after="0" w:line="12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As of March 31, 2026, it was anticipated that $0.5 million of losses, net of tax, related to these foreign currency forward contracts currently recorded in accumulated other comprehensive income (loss) will be reclassified into earnings in our consolidated statement of operations within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“Other Comprehensive Income (Loss)” for additional information on our cash flow hedges.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Canadian Dollar Forward Contracts: </w:t>
      </w:r>
      <w:r>
        <w:rPr>
          <w:rFonts w:ascii="Arial" w:cs="Arial" w:eastAsia="Arial" w:hAnsi="Arial"/>
          <w:sz w:val="18"/>
          <w:szCs w:val="18"/>
          <w:color w:val="auto"/>
        </w:rPr>
        <w:t>Beginning in the first quarter of 2025, on a quarterly basis, we have entered into Canadian Dollar</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contracts that settle at the end of each quarter. As of March 31, 2026, we have one Canadian Dollar forward contract outstanding, with a notional amount of $20.0 million and a fair value of $0, that will settle on June 30, 2026. We did not designate any of these derivatives as accounting hedging instruments. Therefore, changes in the fair value of the derivatives are recorded to other income (expense), net in our consolidated statements of operations. During the three months ended March 31, 2026 and 2025, we recognized $0.6 million and</w:t>
      </w:r>
    </w:p>
    <w:p>
      <w:pPr>
        <w:spacing w:after="0" w:line="3"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$0.3 million, respectively, of realized losses related to the settled forward contracts. From time to time, we may enter into additional Canadian Dollar forward contracts to continue to establish economic hedges against our foreign exchange rate risk.</w:t>
      </w:r>
    </w:p>
    <w:p>
      <w:pPr>
        <w:spacing w:after="0" w:line="117"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The table below sets forth additional information relating to our derivative instruments recognized on our consolidated balance sheets as of March 31, 2026 and December 31, 2025.</w:t>
      </w:r>
    </w:p>
    <w:tbl>
      <w:tblPr>
        <w:tblLayout w:type="fixed"/>
        <w:tblInd w:w="0" w:type="dxa"/>
        <w:tblCellMar>
          <w:top w:w="0" w:type="dxa"/>
          <w:left w:w="0" w:type="dxa"/>
          <w:bottom w:w="0" w:type="dxa"/>
          <w:right w:w="0" w:type="dxa"/>
        </w:tblCellMar>
      </w:tblPr>
      <w:tr>
        <w:trPr>
          <w:trHeight w:val="182"/>
        </w:trPr>
        <w:tc>
          <w:tcPr>
            <w:tcW w:w="3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 Instrument</w:t>
            </w:r>
          </w:p>
        </w:tc>
        <w:tc>
          <w:tcPr>
            <w:tcW w:w="474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Balance Sheet Location</w:t>
            </w:r>
          </w:p>
        </w:tc>
        <w:tc>
          <w:tcPr>
            <w:tcW w:w="240" w:type="dxa"/>
            <w:vAlign w:val="bottom"/>
          </w:tcPr>
          <w:p>
            <w:pPr>
              <w:spacing w:after="0"/>
              <w:rPr>
                <w:sz w:val="15"/>
                <w:szCs w:val="15"/>
                <w:color w:val="auto"/>
              </w:rPr>
            </w:pPr>
          </w:p>
        </w:tc>
        <w:tc>
          <w:tcPr>
            <w:tcW w:w="1380" w:type="dxa"/>
            <w:vAlign w:val="bottom"/>
            <w:gridSpan w:val="2"/>
          </w:tcPr>
          <w:p>
            <w:pPr>
              <w:ind w:left="100"/>
              <w:spacing w:after="0" w:line="182" w:lineRule="exact"/>
              <w:rPr>
                <w:sz w:val="20"/>
                <w:szCs w:val="20"/>
                <w:color w:val="auto"/>
              </w:rPr>
            </w:pPr>
            <w:r>
              <w:rPr>
                <w:rFonts w:ascii="Arial" w:cs="Arial" w:eastAsia="Arial" w:hAnsi="Arial"/>
                <w:sz w:val="18"/>
                <w:szCs w:val="18"/>
                <w:b w:val="1"/>
                <w:bCs w:val="1"/>
                <w:color w:val="auto"/>
              </w:rPr>
              <w:t>March 31,</w:t>
            </w:r>
          </w:p>
        </w:tc>
        <w:tc>
          <w:tcPr>
            <w:tcW w:w="140" w:type="dxa"/>
            <w:vAlign w:val="bottom"/>
          </w:tcPr>
          <w:p>
            <w:pPr>
              <w:spacing w:after="0"/>
              <w:rPr>
                <w:sz w:val="15"/>
                <w:szCs w:val="15"/>
                <w:color w:val="auto"/>
              </w:rPr>
            </w:pPr>
          </w:p>
        </w:tc>
        <w:tc>
          <w:tcPr>
            <w:tcW w:w="1380" w:type="dxa"/>
            <w:vAlign w:val="bottom"/>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3360" w:type="dxa"/>
            <w:vAlign w:val="bottom"/>
            <w:vMerge w:val="continue"/>
          </w:tcPr>
          <w:p>
            <w:pPr>
              <w:spacing w:after="0"/>
              <w:rPr>
                <w:sz w:val="21"/>
                <w:szCs w:val="21"/>
                <w:color w:val="auto"/>
              </w:rPr>
            </w:pPr>
          </w:p>
        </w:tc>
        <w:tc>
          <w:tcPr>
            <w:tcW w:w="47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Cash Flow Hedges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4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i w:val="1"/>
                <w:iCs w:val="1"/>
                <w:color w:val="auto"/>
              </w:rPr>
              <w:t>Cash Flow Hedges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3360" w:type="dxa"/>
            <w:vAlign w:val="bottom"/>
          </w:tcPr>
          <w:p>
            <w:pPr>
              <w:ind w:left="240"/>
              <w:spacing w:after="0"/>
              <w:rPr>
                <w:sz w:val="20"/>
                <w:szCs w:val="20"/>
                <w:color w:val="auto"/>
              </w:rPr>
            </w:pPr>
            <w:r>
              <w:rPr>
                <w:rFonts w:ascii="Arial" w:cs="Arial" w:eastAsia="Arial" w:hAnsi="Arial"/>
                <w:sz w:val="18"/>
                <w:szCs w:val="18"/>
                <w:color w:val="auto"/>
              </w:rPr>
              <w:t>Interest rate swaps</w:t>
            </w:r>
          </w:p>
        </w:tc>
        <w:tc>
          <w:tcPr>
            <w:tcW w:w="4740" w:type="dxa"/>
            <w:vAlign w:val="bottom"/>
            <w:gridSpan w:val="2"/>
          </w:tcPr>
          <w:p>
            <w:pPr>
              <w:ind w:left="240"/>
              <w:spacing w:after="0"/>
              <w:rPr>
                <w:sz w:val="20"/>
                <w:szCs w:val="20"/>
                <w:color w:val="auto"/>
              </w:rPr>
            </w:pPr>
            <w:r>
              <w:rPr>
                <w:rFonts w:ascii="Arial" w:cs="Arial" w:eastAsia="Arial" w:hAnsi="Arial"/>
                <w:sz w:val="18"/>
                <w:szCs w:val="18"/>
                <w:color w:val="auto"/>
              </w:rPr>
              <w:t>Deferred compensation and other liabilities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exchange forward contracts</w:t>
            </w:r>
          </w:p>
        </w:tc>
        <w:tc>
          <w:tcPr>
            <w:tcW w:w="4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All of our derivative instruments are transacted under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240"/>
          </w:cols>
          <w:pgMar w:left="320" w:top="122" w:right="339" w:bottom="1440" w:gutter="0" w:footer="0" w:header="0"/>
        </w:sect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1 Inputs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Level 3 Inputs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22"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200" w:lineRule="exact"/>
        <w:rPr>
          <w:sz w:val="20"/>
          <w:szCs w:val="20"/>
          <w:color w:val="auto"/>
        </w:rPr>
      </w:pPr>
    </w:p>
    <w:p>
      <w:pPr>
        <w:sectPr>
          <w:pgSz w:w="11900" w:h="16838" w:orient="portrait"/>
          <w:cols w:equalWidth="0" w:num="2">
            <w:col w:w="1820" w:space="720"/>
            <w:col w:w="87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60"/>
        <w:spacing w:after="0" w:line="273"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March 31, 2026 and December 31,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09"/>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2026</w:t>
            </w:r>
          </w:p>
        </w:tc>
        <w:tc>
          <w:tcPr>
            <w:tcW w:w="10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34,079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49,621</w:t>
            </w:r>
          </w:p>
        </w:tc>
      </w:tr>
      <w:tr>
        <w:trPr>
          <w:trHeight w:val="223"/>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50,235</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34,079</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84,314</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2,330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26,861</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29,827</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December 31, 2025</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debt investment</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34,079</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Deferred compensation assets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50,927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50,927</w:t>
            </w:r>
          </w:p>
        </w:tc>
      </w:tr>
      <w:tr>
        <w:trPr>
          <w:trHeight w:val="223"/>
        </w:trPr>
        <w:tc>
          <w:tcPr>
            <w:tcW w:w="54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51,366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34,079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85,445</w:t>
            </w:r>
          </w:p>
        </w:tc>
      </w:tr>
      <w:tr>
        <w:trPr>
          <w:trHeight w:val="210"/>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Foreign exchange forward contracts</w:t>
            </w:r>
          </w:p>
        </w:tc>
        <w:tc>
          <w:tcPr>
            <w:tcW w:w="10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 for business acquisitions</w:t>
            </w:r>
          </w:p>
        </w:tc>
        <w:tc>
          <w:tcPr>
            <w:tcW w:w="10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23,274</w:t>
            </w: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27,455</w:t>
            </w:r>
          </w:p>
        </w:tc>
      </w:tr>
    </w:tbl>
    <w:p>
      <w:pPr>
        <w:spacing w:after="0" w:line="23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i w:val="1"/>
          <w:iCs w:val="1"/>
          <w:color w:val="auto"/>
        </w:rPr>
        <w:t xml:space="preserve">Interest rate swaps: </w:t>
      </w:r>
      <w:r>
        <w:rPr>
          <w:rFonts w:ascii="Arial" w:cs="Arial" w:eastAsia="Arial" w:hAnsi="Arial"/>
          <w:sz w:val="18"/>
          <w:szCs w:val="18"/>
          <w:color w:val="auto"/>
        </w:rPr>
        <w:t>The fair values of our interest rate swaps were derived using estimates to settle the interest rate swap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based on the net present value of expected future cash flows on each leg of the swaps utilizing market-based inputs and a discount rate reflecting the risks involved. See Note 10 “Derivative Instruments and Hedging Activity” for additional information on our interest rate swaps.</w:t>
      </w:r>
    </w:p>
    <w:p>
      <w:pPr>
        <w:spacing w:after="0" w:line="122"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i w:val="1"/>
          <w:iCs w:val="1"/>
          <w:color w:val="auto"/>
        </w:rPr>
        <w:t>Foreign exchange forward contracts</w:t>
      </w:r>
      <w:r>
        <w:rPr>
          <w:rFonts w:ascii="Arial" w:cs="Arial" w:eastAsia="Arial" w:hAnsi="Arial"/>
          <w:sz w:val="18"/>
          <w:szCs w:val="18"/>
          <w:color w:val="auto"/>
        </w:rPr>
        <w:t>: The fair values of our foreign exchange forward contracts were derived using estimates to settle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exchange forward contracts agreements, which are based on the net present value of expected future cash flows on each contract utilizing market-based inputs, including both forward and spot prices, and a discount rate reflecting the risks involved. See Note 10 “Derivative Instruments and Hedging Activity” for additional information on our foreign exchange forward contracts.</w:t>
      </w:r>
    </w:p>
    <w:p>
      <w:pPr>
        <w:spacing w:after="0" w:line="122"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Since 2014, we have invested $40.9 million in the form of 1.69%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spacing w:after="0" w:line="122" w:lineRule="exact"/>
        <w:rPr>
          <w:sz w:val="20"/>
          <w:szCs w:val="20"/>
          <w:color w:val="auto"/>
        </w:rPr>
      </w:pPr>
    </w:p>
    <w:p>
      <w:pPr>
        <w:ind w:right="60"/>
        <w:spacing w:after="0" w:line="318" w:lineRule="auto"/>
        <w:rPr>
          <w:sz w:val="20"/>
          <w:szCs w:val="20"/>
          <w:color w:val="auto"/>
        </w:rPr>
      </w:pPr>
      <w:r>
        <w:rPr>
          <w:rFonts w:ascii="Arial" w:cs="Arial" w:eastAsia="Arial" w:hAnsi="Arial"/>
          <w:sz w:val="17"/>
          <w:szCs w:val="17"/>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w:t>
      </w:r>
    </w:p>
    <w:p>
      <w:pPr>
        <w:spacing w:after="0" w:line="12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(loss). To the extent any decrease in fair value is the result of a credit impairment, such credit-related impairment charge is recorded to other income (expense), net in our consolidated statement of operations.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Additionally, we estimate the allowance for credit losses as the difference between the present value of expected cash flows to be generated from the investment and the cost basis, limited to the difference between the fair value and cost basis.</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hybrid analysis and calculation of allowance for credit losses utilizes certain assumptions, all of which are Level 3 inputs. Specifically, the assumptions utilized in the hybrid analysis include the assumed holding period through the maturity date of January 17, 2027; the applicable waterfall distribution at the end of the expected holding period based on the rights and privileges of the various instruments; cash flow projections discounted at the risk-adjusted rate of 23.5% as of both March 31, 2026 and December 31, 2025; and the concluded equity volatility of 50.0% and 40.0% as of March 31, 2026 and December 31, 2025, respectively. Additionally, the assumptions utilized in the calculation for the allowance for credit losses include the assumed holding period through the maturity date of January 17, 2027; the applicable waterfall distribution at the end of the expected holding period based on the rights and privileges of the various instruments; the concluded equity volatility of 50.0% and 40.0% as of March 31, 2026 and December 31, 2025, respectively; and cash flow projections discounted at the risk-adjusted rate in a range of 2.0% to 12.1%, with a weighted average of 8.7% calculated using the relative present value of expected cash flows as of both March 31, 2026 and December 31, 2025. The use of alternative estimates and assumptions could increase or decrease the estimated fair value of the investment or the calculated credit-related impairment charge, which would result in different impacts to our consolidated balance sheet and statements of operations and other comprehensive income. Actual results may differ from our estimates.</w:t>
      </w:r>
    </w:p>
    <w:p>
      <w:pPr>
        <w:spacing w:after="0" w:line="13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estimated fair value and allowance for credit losses of the convertible debt investment was $34.1 million and $10.4 million, respectively, as of both March 31, 2026 and December 31, 2025. Since our initial investment in 2014, we recognized a total unrealized gain of $3.5 million within other comprehensive income (loss) and the $10.4 million allowance for credit losses within earnings. As of March 31, 2026 and December 31, 2025, our cost basis was $40.9 million.</w:t>
      </w:r>
    </w:p>
    <w:p>
      <w:pPr>
        <w:spacing w:after="0" w:line="12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 xml:space="preserve">Contingent consideration for business acquisitions: </w:t>
      </w:r>
      <w:r>
        <w:rPr>
          <w:rFonts w:ascii="Arial" w:cs="Arial" w:eastAsia="Arial" w:hAnsi="Arial"/>
          <w:sz w:val="18"/>
          <w:szCs w:val="18"/>
          <w:color w:val="auto"/>
        </w:rPr>
        <w:t>In connection with certain business acquisitions, we may be required to pay post-closing</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to the sellers if specific financial performance targets are met over a number of years as specified in the related purchase agreements. 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4.6% to 5.0% with a weighted average of</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4.9% as of March 31, 2026. As of December 31, 2025, the discount rate was in a range of 4.3% to 5.1% with a weighted average of 4.9%. The weighted average discount rate was calculated using the relative fair values of the contingent consideration liabilities as of each period end. The fair value of the contingent consideration is reassessed quarterly based on assumptions used in our latest projections and input provided by practice leaders and management. Any change in the fair value estimate is recorded to other losses (gains), net in our consolidated statement of operations for that period. The carrying value is recorded in accrued expenses and other current liabilities or deferred compensation and other liabilities, based on the expected timing of payment, in our consolidated balance sheets.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three months ended March 31, 2026.</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as of December 31, 2025</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Payment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in fair value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as of March 31, 2026</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spacing w:after="0"/>
              <w:rPr>
                <w:sz w:val="15"/>
                <w:szCs w:val="15"/>
                <w:color w:val="auto"/>
              </w:rPr>
            </w:pPr>
          </w:p>
        </w:tc>
        <w:tc>
          <w:tcPr>
            <w:tcW w:w="2880" w:type="dxa"/>
            <w:vAlign w:val="bottom"/>
          </w:tcPr>
          <w:p>
            <w:pPr>
              <w:jc w:val="right"/>
              <w:ind w:right="210"/>
              <w:spacing w:after="0" w:line="182" w:lineRule="exact"/>
              <w:rPr>
                <w:sz w:val="20"/>
                <w:szCs w:val="20"/>
                <w:color w:val="auto"/>
              </w:rPr>
            </w:pPr>
            <w:r>
              <w:rPr>
                <w:rFonts w:ascii="Arial" w:cs="Arial" w:eastAsia="Arial" w:hAnsi="Arial"/>
                <w:sz w:val="18"/>
                <w:szCs w:val="18"/>
                <w:b w:val="1"/>
                <w:bCs w:val="1"/>
                <w:color w:val="auto"/>
              </w:rPr>
              <w:t>Contingent Consideration for</w:t>
            </w:r>
          </w:p>
        </w:tc>
      </w:tr>
      <w:tr>
        <w:trPr>
          <w:trHeight w:val="243"/>
        </w:trPr>
        <w:tc>
          <w:tcPr>
            <w:tcW w:w="2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Business Acquisitions</w:t>
            </w:r>
          </w:p>
        </w:tc>
      </w:tr>
      <w:tr>
        <w:trPr>
          <w:trHeight w:val="218"/>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Pr>
          <w:p>
            <w:pPr>
              <w:jc w:val="right"/>
              <w:spacing w:after="0"/>
              <w:rPr>
                <w:sz w:val="20"/>
                <w:szCs w:val="20"/>
                <w:color w:val="auto"/>
              </w:rPr>
            </w:pPr>
            <w:r>
              <w:rPr>
                <w:rFonts w:ascii="Arial" w:cs="Arial" w:eastAsia="Arial" w:hAnsi="Arial"/>
                <w:sz w:val="18"/>
                <w:szCs w:val="18"/>
                <w:color w:val="auto"/>
              </w:rPr>
              <w:t>23,274</w:t>
            </w:r>
          </w:p>
        </w:tc>
      </w:tr>
      <w:tr>
        <w:trPr>
          <w:trHeight w:val="229"/>
        </w:trPr>
        <w:tc>
          <w:tcPr>
            <w:tcW w:w="2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5"/>
        </w:trPr>
        <w:tc>
          <w:tcPr>
            <w:tcW w:w="2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r>
      <w:tr>
        <w:trPr>
          <w:trHeight w:val="223"/>
        </w:trPr>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-633730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-333375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720"/>
            <w:col w:w="3100"/>
          </w:cols>
          <w:pgMar w:left="320" w:top="122" w:right="339" w:bottom="1440" w:gutter="0" w:footer="0" w:header="0"/>
          <w:type w:val="continuous"/>
        </w:sectPr>
      </w:pPr>
    </w:p>
    <w:p>
      <w:pPr>
        <w:spacing w:after="0" w:line="10" w:lineRule="exact"/>
        <w:rPr>
          <w:sz w:val="20"/>
          <w:szCs w:val="20"/>
          <w:color w:val="auto"/>
        </w:rPr>
      </w:pPr>
    </w:p>
    <w:p>
      <w:pPr>
        <w:ind w:left="420" w:right="240" w:hanging="412"/>
        <w:spacing w:after="0" w:line="287" w:lineRule="auto"/>
        <w:tabs>
          <w:tab w:leader="none" w:pos="4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Of the $26.9 million contingent consideration liability, $15.4 million was recorded to accrued expenses and other current liabilities and $11.5 million was recorded to deferred compensation and other liabilities in our consolidated balance sheet.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on a recurring basis are as follows: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Investment</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and we elected to apply the measurement alternative.</w:t>
      </w:r>
    </w:p>
    <w:p>
      <w:pPr>
        <w:spacing w:after="0" w:line="128"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In the second quarter of 2025, the hospital-at-home company merged with a third-party who provides healthcare services and, as a result, our preferred stock investment was restructured as an investment in common stock and preferred stock of the consolidated entity. To determine the appropriate accounting treatment for our equity investment, we performed a VIE analysis and concluded that the company does not meet the definition of a VIE. We also reviewed the characteristics of our investment to confirm that the equity securities do not warrant equity method accounting. After we reviewed all of the terms of the equity securities, we concluded the appropriate accounting treatment for our investment to be that of equity securities with no readily determinable fair value. We elected to continue to apply the measurement alternative and will continue to do so until the investment does not qualify to be so measured.</w:t>
      </w:r>
    </w:p>
    <w:p>
      <w:pPr>
        <w:spacing w:after="0" w:line="1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same or similar equity instruments occurred or if factors indicate that a significant decrease in value has occurred. We remeasure to the fair value of the equity securities using such identified information with changes in the fair value recorded to other income (expense), net in our consolidated statement of operations. The carrying value of the equity investment is recorded in long-term investments in our consolidated balance sheets.</w:t>
      </w:r>
    </w:p>
    <w:p>
      <w:pPr>
        <w:spacing w:after="0" w:line="12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first quarter of 2025, we recognized a non-cash impairment charge of $4.2 million on our preferred stock investment based on the valuation anticipated from the hospital-at-home company's merger.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 Since our initial investment in 2019, we have recognized cumulative unrealized losses of $ 31.3 million and cumulative unrealized gains of $28.6 million. As of both March 31, 2026 and December 31, 2025, the carrying value of our equity investment was $2.4 million, with a cost basis of $5.0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69"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8 “Financing Arrangements” for additional information on our senior secured credit facility.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and Other Financial Instruments</w:t>
      </w:r>
    </w:p>
    <w:p>
      <w:pPr>
        <w:spacing w:after="0" w:line="16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Comprehensive Income (Loss)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tables below set forth the components of other comprehensive income (loss), net of tax, for the three months ended March 31, 2026 and 2025.</w:t>
      </w:r>
    </w:p>
    <w:tbl>
      <w:tblPr>
        <w:tblLayout w:type="fixed"/>
        <w:tblInd w:w="0" w:type="dxa"/>
        <w:tblCellMar>
          <w:top w:w="0" w:type="dxa"/>
          <w:left w:w="0" w:type="dxa"/>
          <w:bottom w:w="0" w:type="dxa"/>
          <w:right w:w="0" w:type="dxa"/>
        </w:tblCellMar>
      </w:tblPr>
      <w:tr>
        <w:trPr>
          <w:trHeight w:val="182"/>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8"/>
          </w:tcPr>
          <w:p>
            <w:pPr>
              <w:jc w:val="center"/>
              <w:ind w:right="26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5"/>
                <w:szCs w:val="15"/>
                <w:color w:val="auto"/>
              </w:rPr>
            </w:pPr>
          </w:p>
        </w:tc>
        <w:tc>
          <w:tcPr>
            <w:tcW w:w="3040" w:type="dxa"/>
            <w:vAlign w:val="bottom"/>
            <w:gridSpan w:val="7"/>
          </w:tcPr>
          <w:p>
            <w:pPr>
              <w:jc w:val="center"/>
              <w:ind w:right="90"/>
              <w:spacing w:after="0" w:line="182" w:lineRule="exact"/>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9"/>
              </w:rPr>
              <w:t>March 31, 2026</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9"/>
              </w:rPr>
              <w:t>March 31, 2025</w:t>
            </w:r>
          </w:p>
        </w:tc>
        <w:tc>
          <w:tcPr>
            <w:tcW w:w="8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Before</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14"/>
                <w:szCs w:val="14"/>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Net of</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rPr>
              <w:t>Before</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6"/>
              </w:rPr>
              <w:t>Tax</w:t>
            </w:r>
          </w:p>
        </w:tc>
        <w:tc>
          <w:tcPr>
            <w:tcW w:w="180" w:type="dxa"/>
            <w:vAlign w:val="bottom"/>
          </w:tcPr>
          <w:p>
            <w:pPr>
              <w:spacing w:after="0"/>
              <w:rPr>
                <w:sz w:val="14"/>
                <w:szCs w:val="14"/>
                <w:color w:val="auto"/>
              </w:rPr>
            </w:pPr>
          </w:p>
        </w:tc>
        <w:tc>
          <w:tcPr>
            <w:tcW w:w="8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Net of</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1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0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9"/>
              </w:rPr>
              <w:t>(Expense)</w:t>
            </w: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7"/>
              </w:rPr>
              <w:t>Taxes</w:t>
            </w:r>
          </w:p>
        </w:tc>
        <w:tc>
          <w:tcPr>
            <w:tcW w:w="160" w:type="dxa"/>
            <w:vAlign w:val="bottom"/>
          </w:tcPr>
          <w:p>
            <w:pPr>
              <w:spacing w:after="0"/>
              <w:rPr>
                <w:sz w:val="21"/>
                <w:szCs w:val="2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Taxes</w:t>
            </w:r>
          </w:p>
        </w:tc>
        <w:tc>
          <w:tcPr>
            <w:tcW w:w="18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Taxes</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Benefit</w:t>
            </w:r>
          </w:p>
        </w:tc>
        <w:tc>
          <w:tcPr>
            <w:tcW w:w="180" w:type="dxa"/>
            <w:vAlign w:val="bottom"/>
          </w:tcPr>
          <w:p>
            <w:pPr>
              <w:spacing w:after="0"/>
              <w:rPr>
                <w:sz w:val="21"/>
                <w:szCs w:val="21"/>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b w:val="1"/>
                <w:bCs w:val="1"/>
                <w:color w:val="auto"/>
              </w:rPr>
              <w:t>Taxes</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Unrealized gain (loss) on investment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(14,193)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(10,517)</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 (loss) on cash flow hedges: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Interest rate swaps: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unrealized gain (loss) on interest rate swaps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Foreign exchange forward contracts:</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Reclassification adjustments into earnings</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56"/>
        </w:trPr>
        <w:tc>
          <w:tcPr>
            <w:tcW w:w="474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rPr>
              <w:t>Net unrealized gain (loss) on foreign exchange</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8"/>
        </w:trPr>
        <w:tc>
          <w:tcPr>
            <w:tcW w:w="4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forward contracts</w:t>
            </w: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8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before tax amounts reclassified from accumulated other comprehensive income (loss) related to our interest rate swaps and foreign exchange forward contracts designated as cash flow hedges are recorded to interest expense, net of interest income and direct costs, respectively, on our consolidated statement of operations. The related tax amounts reclassified from accumulated other comprehensive income (loss) are recorded to income tax expense (benefit) on our consolidated statement of operations. Refer to Note 10 “Derivative Instruments and Hedging Activity” for additional information on our derivative instruments.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income (loss), net of tax, includes the following components: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00" w:type="dxa"/>
            <w:vAlign w:val="bottom"/>
          </w:tcPr>
          <w:p>
            <w:pPr>
              <w:spacing w:after="0"/>
              <w:rPr>
                <w:sz w:val="20"/>
                <w:szCs w:val="20"/>
                <w:color w:val="auto"/>
              </w:rPr>
            </w:pPr>
          </w:p>
        </w:tc>
        <w:tc>
          <w:tcPr>
            <w:tcW w:w="16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Foreign Currency</w:t>
            </w:r>
          </w:p>
        </w:tc>
        <w:tc>
          <w:tcPr>
            <w:tcW w:w="17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Cash Flow Hedges</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Interest Rate</w:t>
            </w:r>
          </w:p>
        </w:tc>
        <w:tc>
          <w:tcPr>
            <w:tcW w:w="1720" w:type="dxa"/>
            <w:vAlign w:val="bottom"/>
            <w:gridSpan w:val="2"/>
          </w:tcPr>
          <w:p>
            <w:pPr>
              <w:ind w:left="80"/>
              <w:spacing w:after="0" w:line="169" w:lineRule="exact"/>
              <w:rPr>
                <w:sz w:val="20"/>
                <w:szCs w:val="20"/>
                <w:color w:val="auto"/>
              </w:rPr>
            </w:pPr>
            <w:r>
              <w:rPr>
                <w:rFonts w:ascii="Arial" w:cs="Arial" w:eastAsia="Arial" w:hAnsi="Arial"/>
                <w:sz w:val="18"/>
                <w:szCs w:val="18"/>
                <w:b w:val="1"/>
                <w:bCs w:val="1"/>
                <w:color w:val="auto"/>
              </w:rPr>
              <w:t>Foreign Exchange</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220" w:type="dxa"/>
            <w:vAlign w:val="bottom"/>
          </w:tcPr>
          <w:p>
            <w:pPr>
              <w:spacing w:after="0"/>
              <w:rPr>
                <w:sz w:val="21"/>
                <w:szCs w:val="21"/>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21"/>
                <w:szCs w:val="21"/>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Swaps</w:t>
            </w:r>
          </w:p>
        </w:tc>
        <w:tc>
          <w:tcPr>
            <w:tcW w:w="1840" w:type="dxa"/>
            <w:vAlign w:val="bottom"/>
            <w:gridSpan w:val="3"/>
          </w:tcPr>
          <w:p>
            <w:pPr>
              <w:ind w:left="60"/>
              <w:spacing w:after="0"/>
              <w:rPr>
                <w:sz w:val="20"/>
                <w:szCs w:val="20"/>
                <w:color w:val="auto"/>
              </w:rPr>
            </w:pPr>
            <w:r>
              <w:rPr>
                <w:rFonts w:ascii="Arial" w:cs="Arial" w:eastAsia="Arial" w:hAnsi="Arial"/>
                <w:sz w:val="18"/>
                <w:szCs w:val="18"/>
                <w:b w:val="1"/>
                <w:bCs w:val="1"/>
                <w:color w:val="auto"/>
              </w:rPr>
              <w:t>Forward Contracts</w:t>
            </w:r>
          </w:p>
        </w:tc>
        <w:tc>
          <w:tcPr>
            <w:tcW w:w="3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2025</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rPr>
              <w:t>(2,504)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29"/>
        </w:trPr>
        <w:tc>
          <w:tcPr>
            <w:tcW w:w="2800" w:type="dxa"/>
            <w:vAlign w:val="bottom"/>
          </w:tcPr>
          <w:p>
            <w:pPr>
              <w:ind w:left="20"/>
              <w:spacing w:after="0"/>
              <w:rPr>
                <w:sz w:val="20"/>
                <w:szCs w:val="20"/>
                <w:color w:val="auto"/>
              </w:rPr>
            </w:pPr>
            <w:r>
              <w:rPr>
                <w:rFonts w:ascii="Arial" w:cs="Arial" w:eastAsia="Arial" w:hAnsi="Arial"/>
                <w:sz w:val="18"/>
                <w:szCs w:val="18"/>
                <w:color w:val="auto"/>
              </w:rPr>
              <w:t>Current period change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80" w:type="dxa"/>
            <w:vAlign w:val="bottom"/>
          </w:tcPr>
          <w:p>
            <w:pPr>
              <w:jc w:val="center"/>
              <w:ind w:left="690"/>
              <w:spacing w:after="0"/>
              <w:rPr>
                <w:sz w:val="20"/>
                <w:szCs w:val="20"/>
                <w:color w:val="auto"/>
              </w:rPr>
            </w:pPr>
            <w:r>
              <w:rPr>
                <w:rFonts w:ascii="Arial" w:cs="Arial" w:eastAsia="Arial" w:hAnsi="Arial"/>
                <w:sz w:val="18"/>
                <w:szCs w:val="18"/>
                <w:color w:val="auto"/>
                <w:w w:val="97"/>
              </w:rPr>
              <w:t>1,243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48"/>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2026</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rPr>
              <w:t>(1,261)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the three months ended March 31, 2026, our effective tax rate was 14.1% as we recognized income tax expense of $3.8 million on income of $27.1 million. The effective tax rate of 14.1% was more favorable than the statutory rate, inclusive of state income taxes, of 25.9%, primarily due to a discrete tax benefit for share-based compensation awards that vested during the quarter. This favorable item was partially offset by certain nondeductible expenses.</w:t>
      </w:r>
    </w:p>
    <w:p>
      <w:pPr>
        <w:spacing w:after="0" w:line="122" w:lineRule="exact"/>
        <w:rPr>
          <w:sz w:val="20"/>
          <w:szCs w:val="20"/>
          <w:color w:val="auto"/>
        </w:rPr>
      </w:pPr>
    </w:p>
    <w:p>
      <w:pPr>
        <w:ind w:right="320"/>
        <w:spacing w:after="0" w:line="276" w:lineRule="auto"/>
        <w:rPr>
          <w:sz w:val="20"/>
          <w:szCs w:val="20"/>
          <w:color w:val="auto"/>
        </w:rPr>
      </w:pPr>
      <w:r>
        <w:rPr>
          <w:rFonts w:ascii="Arial" w:cs="Arial" w:eastAsia="Arial" w:hAnsi="Arial"/>
          <w:sz w:val="17"/>
          <w:szCs w:val="17"/>
          <w:color w:val="auto"/>
        </w:rPr>
        <w:t>For the three months ended March 31, 2025, our effective tax rate was (14.4)% as we recognized an income tax benefit of $3.1 million on income of $21.5 million. The effective tax rate of (14.4)% was more favorable than the statutory rate, inclusive of state income taxes, of</w:t>
      </w:r>
    </w:p>
    <w:p>
      <w:pPr>
        <w:ind w:right="200"/>
        <w:spacing w:after="0" w:line="266" w:lineRule="auto"/>
        <w:rPr>
          <w:sz w:val="20"/>
          <w:szCs w:val="20"/>
          <w:color w:val="auto"/>
        </w:rPr>
      </w:pPr>
      <w:r>
        <w:rPr>
          <w:rFonts w:ascii="Arial" w:cs="Arial" w:eastAsia="Arial" w:hAnsi="Arial"/>
          <w:sz w:val="18"/>
          <w:szCs w:val="18"/>
          <w:color w:val="auto"/>
        </w:rPr>
        <w:t>25.9%, primarily due to a discrete tax benefit for share-based compensation awards that vested during the quarter. This favorable item was partially offset by certain nondeductible expenses.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Contingencies and Guarantees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the first quarter of 2026, we entered into the Seventh Amendment to the office lease agreement for our principal executive offices in Chicago, Illinois, which resulted in a non-cash gain on lease modification of $3.8 million. Among other items, this amendment i) extends the term of the lease from September 30, 2029 to September 30, 2037; ii) provides a renewal option to extend the lease for an additional five year period to September 30, 2042; iii) terminates the lease, effective September 30, 2026, with respect to certain leased spaces previously vacated; iv) provides abatement of certain future base rent payments and our pro rata share of operating expenses and taxes; and v) provides a tenant improvement allowance, a portion of which may be converted, at our option, to additional abatement of future base rent payments and our pro rata share of operating expenses and taxes.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6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Guarantees in the form of letters of credit totaling $0.4 million were outstanding at both March 31, 2026 and December 31, 2025, which are used as security deposits for our office facilities.</w:t>
      </w:r>
    </w:p>
    <w:p>
      <w:pPr>
        <w:spacing w:after="0" w:line="9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March 31, 2026 and December 31, 2025, the total estimated fair value of our outstanding contingent consideration liabilities was $26.9 million and $23.3 million, respectively. The remaining aggregate maximum amount of contingent consideration that may be paid is $44.0 million, which is payable, if earned, on a staggered basis through December 31, 2028. See Note 11 “Fair Value of Financial Instruments” for additional information on our contingent consideration liabilities.</w:t>
      </w:r>
    </w:p>
    <w:p>
      <w:pPr>
        <w:spacing w:after="0" w:line="12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We provide our services and products and manage our business under three reportable segments: Healthcare, Education, and Commercial, which align our business by industry.</w:t>
      </w:r>
    </w:p>
    <w:p>
      <w:pPr>
        <w:spacing w:after="0" w:line="9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Healthcare</w:t>
      </w:r>
    </w:p>
    <w:p>
      <w:pPr>
        <w:spacing w:after="0" w:line="171" w:lineRule="exact"/>
        <w:rPr>
          <w:rFonts w:ascii="Arial" w:cs="Arial" w:eastAsia="Arial" w:hAnsi="Arial"/>
          <w:sz w:val="18"/>
          <w:szCs w:val="18"/>
          <w:b w:val="1"/>
          <w:bCs w:val="1"/>
          <w:color w:val="auto"/>
        </w:rPr>
      </w:pPr>
    </w:p>
    <w:p>
      <w:pPr>
        <w:ind w:left="6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managed services and outsourcing; financial and capital advisory consulting; and strategy consulting. Our healthcare-focused digital services span technology and analytic-related services, including core systems of record, such as enterprise health record (“EHR”), enterprise resource planning (“ERP”), enterprise performance management (“EPM”), and customer relationship management (“CRM”) systems; data management, artificial intelligence (“AI”) and automation; technology managed services; and payor core administration systems. We also have a portfolio of software products we deliver to the healthcare industry. In June 2025, we enhanced our consulting offerings through the acquisition of Eclipse Insights, a leading provider of revenue cycle solutions. In November 2025, we acquired the consulting services division of AXIOM to strengthen our digital-focused payor offerings.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Education</w:t>
      </w:r>
    </w:p>
    <w:p>
      <w:pPr>
        <w:spacing w:after="0" w:line="171" w:lineRule="exact"/>
        <w:rPr>
          <w:rFonts w:ascii="Arial" w:cs="Arial" w:eastAsia="Arial" w:hAnsi="Arial"/>
          <w:sz w:val="18"/>
          <w:szCs w:val="18"/>
          <w:color w:val="auto"/>
        </w:rPr>
      </w:pPr>
    </w:p>
    <w:p>
      <w:pPr>
        <w:ind w:left="660" w:right="20"/>
        <w:spacing w:after="0" w:line="255" w:lineRule="auto"/>
        <w:rPr>
          <w:rFonts w:ascii="Arial" w:cs="Arial" w:eastAsia="Arial" w:hAnsi="Arial"/>
          <w:sz w:val="18"/>
          <w:szCs w:val="18"/>
          <w:color w:val="auto"/>
        </w:rPr>
      </w:pPr>
      <w:r>
        <w:rPr>
          <w:rFonts w:ascii="Arial" w:cs="Arial" w:eastAsia="Arial" w:hAnsi="Arial"/>
          <w:sz w:val="18"/>
          <w:szCs w:val="18"/>
          <w:color w:val="auto"/>
        </w:rPr>
        <w:t>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acquisitions of Advancement Resources and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w:t>
      </w:r>
    </w:p>
    <w:p>
      <w:pPr>
        <w:spacing w:after="0" w:line="12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Commercial</w:t>
      </w:r>
    </w:p>
    <w:p>
      <w:pPr>
        <w:spacing w:after="0" w:line="171" w:lineRule="exact"/>
        <w:rPr>
          <w:rFonts w:ascii="Arial" w:cs="Arial" w:eastAsia="Arial" w:hAnsi="Arial"/>
          <w:sz w:val="18"/>
          <w:szCs w:val="18"/>
          <w:b w:val="1"/>
          <w:bCs w:val="1"/>
          <w:color w:val="auto"/>
        </w:rPr>
      </w:pPr>
    </w:p>
    <w:p>
      <w:pPr>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regulatory compliance and risk management consulting and managed services, strategy and operations consulting services, and financial and operational performance improvement consulting services.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spacing w:after="0" w:line="13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spacing w:after="0" w:line="12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other gains and losses,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table below sets forth information about our reportable segments for the three months ended March 31, 2026 and 2025,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w:t>
      </w:r>
    </w:p>
    <w:p>
      <w:pPr>
        <w:jc w:val="center"/>
        <w:ind w:left="6500"/>
        <w:spacing w:after="0" w:line="225" w:lineRule="auto"/>
        <w:rPr>
          <w:sz w:val="20"/>
          <w:szCs w:val="20"/>
          <w:color w:val="auto"/>
        </w:rPr>
      </w:pPr>
      <w:r>
        <w:rPr>
          <w:rFonts w:ascii="Arial" w:cs="Arial" w:eastAsia="Arial" w:hAnsi="Arial"/>
          <w:sz w:val="18"/>
          <w:szCs w:val="18"/>
          <w:b w:val="1"/>
          <w:bCs w:val="1"/>
          <w:color w:val="auto"/>
        </w:rPr>
        <w:t>Three Months Ended</w:t>
      </w:r>
    </w:p>
    <w:p>
      <w:pPr>
        <w:jc w:val="center"/>
        <w:ind w:left="65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520" w:type="dxa"/>
            <w:vAlign w:val="bottom"/>
            <w:tcBorders>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r>
      <w:tr>
        <w:trPr>
          <w:trHeight w:val="20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Revenues before reimbursable expenses</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225,201</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198,490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229,185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203,321</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Direct costs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147,594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130,312</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10,331</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30"/>
        </w:trPr>
        <w:tc>
          <w:tcPr>
            <w:tcW w:w="65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1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165,232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147,005</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63,953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56,316</w:t>
            </w:r>
          </w:p>
        </w:tc>
      </w:tr>
      <w:tr>
        <w:trPr>
          <w:trHeight w:val="203"/>
        </w:trPr>
        <w:tc>
          <w:tcPr>
            <w:tcW w:w="6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Education:</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before reimbursable expenses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122,748</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Reimbursable expenses</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r>
      <w:tr>
        <w:trPr>
          <w:trHeight w:val="223"/>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129,611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125,016</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90,365</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Reimbursable expenses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2,268</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8,362</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969</w:t>
            </w:r>
          </w:p>
        </w:tc>
      </w:tr>
      <w:tr>
        <w:trPr>
          <w:trHeight w:val="230"/>
        </w:trPr>
        <w:tc>
          <w:tcPr>
            <w:tcW w:w="65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1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segment operating expenses</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102,033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101,956</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23,060</w:t>
            </w:r>
          </w:p>
        </w:tc>
      </w:tr>
      <w:tr>
        <w:trPr>
          <w:trHeight w:val="203"/>
        </w:trPr>
        <w:tc>
          <w:tcPr>
            <w:tcW w:w="65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Revenues before reimbursable expenses</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91,043</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74,452</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1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23"/>
        </w:trPr>
        <w:tc>
          <w:tcPr>
            <w:tcW w:w="65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92,971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75,804</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Direct costs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69,588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57,179</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Reimbursable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5,752</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6520" w:type="dxa"/>
            <w:vAlign w:val="bottom"/>
            <w:tcBorders>
              <w:bottom w:val="single" w:sz="8" w:color="CCEEFF"/>
            </w:tcBorders>
          </w:tcPr>
          <w:p>
            <w:pPr>
              <w:ind w:left="36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(1)</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operating expenses</w:t>
            </w:r>
          </w:p>
        </w:tc>
        <w:tc>
          <w:tcPr>
            <w:tcW w:w="1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78,075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64,508</w:t>
            </w: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color w:val="auto"/>
              </w:rPr>
              <w:t>Segment operating income</w:t>
            </w:r>
          </w:p>
        </w:tc>
        <w:tc>
          <w:tcPr>
            <w:tcW w:w="1460" w:type="dxa"/>
            <w:vAlign w:val="bottom"/>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14,896</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11,296</w:t>
            </w:r>
          </w:p>
        </w:tc>
      </w:tr>
      <w:tr>
        <w:trPr>
          <w:trHeight w:val="203"/>
        </w:trPr>
        <w:tc>
          <w:tcPr>
            <w:tcW w:w="65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 Huron:</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before reimbursable expenses</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443,712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395,690</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jc w:val="center"/>
        <w:ind w:left="6500"/>
        <w:spacing w:after="0"/>
        <w:rPr>
          <w:sz w:val="20"/>
          <w:szCs w:val="20"/>
          <w:color w:val="auto"/>
        </w:rPr>
      </w:pPr>
      <w:r>
        <w:rPr>
          <w:rFonts w:ascii="Arial" w:cs="Arial" w:eastAsia="Arial" w:hAnsi="Arial"/>
          <w:sz w:val="18"/>
          <w:szCs w:val="18"/>
          <w:b w:val="1"/>
          <w:bCs w:val="1"/>
          <w:color w:val="auto"/>
        </w:rPr>
        <w:t>Three Months Ended</w:t>
      </w:r>
    </w:p>
    <w:p>
      <w:pPr>
        <w:jc w:val="center"/>
        <w:ind w:left="65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520" w:type="dxa"/>
            <w:vAlign w:val="bottom"/>
            <w:vMerge w:val="restart"/>
          </w:tcPr>
          <w:p>
            <w:pPr>
              <w:ind w:left="20"/>
              <w:spacing w:after="0"/>
              <w:rPr>
                <w:sz w:val="20"/>
                <w:szCs w:val="20"/>
                <w:color w:val="auto"/>
              </w:rPr>
            </w:pPr>
            <w:r>
              <w:rPr>
                <w:rFonts w:ascii="Arial" w:cs="Arial" w:eastAsia="Arial" w:hAnsi="Arial"/>
                <w:sz w:val="18"/>
                <w:szCs w:val="18"/>
                <w:color w:val="auto"/>
              </w:rPr>
              <w:t>Reimbursable expenses</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8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451,767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404,141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5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income</w:t>
            </w:r>
          </w:p>
        </w:tc>
        <w:tc>
          <w:tcPr>
            <w:tcW w:w="1460" w:type="dxa"/>
            <w:vAlign w:val="bottom"/>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90,672</w:t>
            </w: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Other losses</w:t>
            </w:r>
          </w:p>
        </w:tc>
        <w:tc>
          <w:tcPr>
            <w:tcW w:w="1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36,583</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expense, net</w:t>
            </w:r>
          </w:p>
        </w:tc>
        <w:tc>
          <w:tcPr>
            <w:tcW w:w="1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(9,517)</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1460" w:type="dxa"/>
            <w:vAlign w:val="bottom"/>
            <w:tcBorders>
              <w:bottom w:val="single" w:sz="8" w:color="auto"/>
            </w:tcBorders>
            <w:shd w:val="clear" w:color="auto" w:fill="CCEEFF"/>
          </w:tcPr>
          <w:p>
            <w:pPr>
              <w:jc w:val="right"/>
              <w:ind w:right="1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21,452</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(1)  Other segment items in each segment consists of restructuring charges for all periods presented.</w:t>
      </w:r>
    </w:p>
    <w:p>
      <w:pPr>
        <w:spacing w:after="0" w:line="27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The following tables illustrate the disaggregation of segment total revenues and segment revenues before reimbursable expenses (RBR) by our two principal capabilities: i) Consulting and Managed Services and ii) Digital, and includes a reconciliation to consolidated total revenues and consolidated RBR. We manage our business on the basis of RBR, which we believe is the most accurate reflection of our services because it eliminates the effect of reimbursable expenses that we bill to our clients at cost.</w:t>
      </w:r>
    </w:p>
    <w:tbl>
      <w:tblPr>
        <w:tblLayout w:type="fixed"/>
        <w:tblInd w:w="0" w:type="dxa"/>
        <w:tblCellMar>
          <w:top w:w="0" w:type="dxa"/>
          <w:left w:w="0" w:type="dxa"/>
          <w:bottom w:w="0" w:type="dxa"/>
          <w:right w:w="0" w:type="dxa"/>
        </w:tblCellMar>
      </w:tblPr>
      <w:tr>
        <w:trPr>
          <w:trHeight w:val="182"/>
        </w:trPr>
        <w:tc>
          <w:tcPr>
            <w:tcW w:w="4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76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rPr>
              <w:t>Three Months Ended</w:t>
            </w:r>
          </w:p>
        </w:tc>
        <w:tc>
          <w:tcPr>
            <w:tcW w:w="1420" w:type="dxa"/>
            <w:vAlign w:val="bottom"/>
          </w:tcPr>
          <w:p>
            <w:pPr>
              <w:spacing w:after="0"/>
              <w:rPr>
                <w:sz w:val="15"/>
                <w:szCs w:val="15"/>
                <w:color w:val="auto"/>
              </w:rPr>
            </w:pPr>
          </w:p>
        </w:tc>
      </w:tr>
      <w:tr>
        <w:trPr>
          <w:trHeight w:val="243"/>
        </w:trPr>
        <w:tc>
          <w:tcPr>
            <w:tcW w:w="4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r>
      <w:tr>
        <w:trPr>
          <w:trHeight w:val="223"/>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Revenues by Capability</w:t>
            </w:r>
          </w:p>
        </w:tc>
        <w:tc>
          <w:tcPr>
            <w:tcW w:w="22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2025</w:t>
            </w: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29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175,144</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147,033</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54,041</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56,288</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229,185</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203,321</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29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63,498</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64,658</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66,113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60,358</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129,611</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125,016</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29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37,502</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17,092</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55,469</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58,712</w:t>
            </w:r>
          </w:p>
        </w:tc>
      </w:tr>
      <w:tr>
        <w:trPr>
          <w:trHeight w:val="223"/>
        </w:trPr>
        <w:tc>
          <w:tcPr>
            <w:tcW w:w="41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92,971</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75,804</w:t>
            </w: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color w:val="auto"/>
              </w:rPr>
              <w:t>Consulting and Managed Services</w:t>
            </w:r>
          </w:p>
        </w:tc>
        <w:tc>
          <w:tcPr>
            <w:tcW w:w="2920" w:type="dxa"/>
            <w:vAlign w:val="bottom"/>
            <w:gridSpan w:val="3"/>
          </w:tcPr>
          <w:p>
            <w:pPr>
              <w:jc w:val="right"/>
              <w:ind w:right="33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276,144</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228,783</w:t>
            </w:r>
          </w:p>
        </w:tc>
      </w:tr>
      <w:tr>
        <w:trPr>
          <w:trHeight w:val="230"/>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175,358</w:t>
            </w:r>
          </w:p>
        </w:tc>
      </w:tr>
      <w:tr>
        <w:trPr>
          <w:trHeight w:val="232"/>
        </w:trPr>
        <w:tc>
          <w:tcPr>
            <w:tcW w:w="414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451,767</w:t>
            </w:r>
          </w:p>
        </w:tc>
        <w:tc>
          <w:tcPr>
            <w:tcW w:w="12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404,141</w:t>
            </w:r>
          </w:p>
        </w:tc>
      </w:tr>
      <w:tr>
        <w:trPr>
          <w:trHeight w:val="886"/>
        </w:trPr>
        <w:tc>
          <w:tcPr>
            <w:tcW w:w="4140" w:type="dxa"/>
            <w:vAlign w:val="bottom"/>
          </w:tcPr>
          <w:p>
            <w:pPr>
              <w:spacing w:after="0"/>
              <w:rPr>
                <w:sz w:val="24"/>
                <w:szCs w:val="24"/>
                <w:color w:val="auto"/>
              </w:rPr>
            </w:pPr>
          </w:p>
        </w:tc>
        <w:tc>
          <w:tcPr>
            <w:tcW w:w="2280" w:type="dxa"/>
            <w:vAlign w:val="bottom"/>
          </w:tcPr>
          <w:p>
            <w:pPr>
              <w:jc w:val="right"/>
              <w:ind w:right="6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1"/>
        </w:trPr>
        <w:tc>
          <w:tcPr>
            <w:tcW w:w="41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7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420" w:type="dxa"/>
            <w:vAlign w:val="bottom"/>
          </w:tcPr>
          <w:p>
            <w:pPr>
              <w:spacing w:after="0"/>
              <w:rPr>
                <w:sz w:val="17"/>
                <w:szCs w:val="17"/>
                <w:color w:val="auto"/>
              </w:rPr>
            </w:pPr>
          </w:p>
        </w:tc>
      </w:tr>
      <w:tr>
        <w:trPr>
          <w:trHeight w:val="243"/>
        </w:trPr>
        <w:tc>
          <w:tcPr>
            <w:tcW w:w="6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420" w:type="dxa"/>
            <w:vAlign w:val="bottom"/>
            <w:tcBorders>
              <w:bottom w:val="single" w:sz="8" w:color="auto"/>
            </w:tcBorders>
          </w:tcPr>
          <w:p>
            <w:pPr>
              <w:spacing w:after="0"/>
              <w:rPr>
                <w:sz w:val="21"/>
                <w:szCs w:val="21"/>
                <w:color w:val="auto"/>
              </w:rPr>
            </w:pPr>
          </w:p>
        </w:tc>
      </w:tr>
      <w:tr>
        <w:trPr>
          <w:trHeight w:val="223"/>
        </w:trPr>
        <w:tc>
          <w:tcPr>
            <w:tcW w:w="65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before Reimbursable Expenses by Capability</w:t>
            </w:r>
          </w:p>
        </w:tc>
        <w:tc>
          <w:tcPr>
            <w:tcW w:w="540" w:type="dxa"/>
            <w:vAlign w:val="bottom"/>
          </w:tcPr>
          <w:p>
            <w:pPr>
              <w:spacing w:after="0"/>
              <w:rPr>
                <w:sz w:val="19"/>
                <w:szCs w:val="19"/>
                <w:color w:val="auto"/>
              </w:rPr>
            </w:pPr>
          </w:p>
        </w:tc>
        <w:tc>
          <w:tcPr>
            <w:tcW w:w="1760" w:type="dxa"/>
            <w:vAlign w:val="bottom"/>
          </w:tcPr>
          <w:p>
            <w:pPr>
              <w:jc w:val="right"/>
              <w:ind w:right="87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20" w:type="dxa"/>
            <w:vAlign w:val="bottom"/>
          </w:tcPr>
          <w:p>
            <w:pPr>
              <w:jc w:val="right"/>
              <w:ind w:right="870"/>
              <w:spacing w:after="0"/>
              <w:rPr>
                <w:sz w:val="20"/>
                <w:szCs w:val="20"/>
                <w:color w:val="auto"/>
              </w:rPr>
            </w:pPr>
            <w:r>
              <w:rPr>
                <w:rFonts w:ascii="Arial" w:cs="Arial" w:eastAsia="Arial" w:hAnsi="Arial"/>
                <w:sz w:val="18"/>
                <w:szCs w:val="18"/>
                <w:b w:val="1"/>
                <w:bCs w:val="1"/>
                <w:color w:val="auto"/>
              </w:rPr>
              <w:t>2025</w:t>
            </w:r>
          </w:p>
        </w:tc>
      </w:tr>
      <w:tr>
        <w:trPr>
          <w:trHeight w:val="223"/>
        </w:trPr>
        <w:tc>
          <w:tcPr>
            <w:tcW w:w="6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Healthcare:</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172,191</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143,374</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53,010</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r>
      <w:tr>
        <w:trPr>
          <w:trHeight w:val="223"/>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225,201</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198,490</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62,460</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63,544</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65,008</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59,204</w:t>
            </w:r>
          </w:p>
        </w:tc>
      </w:tr>
      <w:tr>
        <w:trPr>
          <w:trHeight w:val="223"/>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127,468</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122,748</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36,966</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17,003</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54,077</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57,449</w:t>
            </w:r>
          </w:p>
        </w:tc>
      </w:tr>
      <w:tr>
        <w:trPr>
          <w:trHeight w:val="223"/>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91,043</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74,452</w:t>
            </w:r>
          </w:p>
        </w:tc>
      </w:tr>
      <w:tr>
        <w:trPr>
          <w:trHeight w:val="229"/>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271,617</w:t>
            </w:r>
          </w:p>
        </w:tc>
        <w:tc>
          <w:tcPr>
            <w:tcW w:w="120" w:type="dxa"/>
            <w:vAlign w:val="bottom"/>
          </w:tcPr>
          <w:p>
            <w:pPr>
              <w:spacing w:after="0"/>
              <w:rPr>
                <w:sz w:val="19"/>
                <w:szCs w:val="19"/>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223,921</w:t>
            </w:r>
          </w:p>
        </w:tc>
      </w:tr>
      <w:tr>
        <w:trPr>
          <w:trHeight w:val="230"/>
        </w:trPr>
        <w:tc>
          <w:tcPr>
            <w:tcW w:w="6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171,769</w:t>
            </w:r>
          </w:p>
        </w:tc>
      </w:tr>
      <w:tr>
        <w:trPr>
          <w:trHeight w:val="232"/>
        </w:trPr>
        <w:tc>
          <w:tcPr>
            <w:tcW w:w="6520" w:type="dxa"/>
            <w:vAlign w:val="bottom"/>
            <w:gridSpan w:val="2"/>
          </w:tcPr>
          <w:p>
            <w:pPr>
              <w:ind w:left="240"/>
              <w:spacing w:after="0"/>
              <w:rPr>
                <w:sz w:val="20"/>
                <w:szCs w:val="20"/>
                <w:color w:val="auto"/>
              </w:rPr>
            </w:pPr>
            <w:r>
              <w:rPr>
                <w:rFonts w:ascii="Arial" w:cs="Arial" w:eastAsia="Arial" w:hAnsi="Arial"/>
                <w:sz w:val="18"/>
                <w:szCs w:val="18"/>
                <w:color w:val="auto"/>
              </w:rPr>
              <w:t>Total revenues before reimbursable expenses</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443,712</w:t>
            </w:r>
          </w:p>
        </w:tc>
        <w:tc>
          <w:tcPr>
            <w:tcW w:w="120" w:type="dxa"/>
            <w:vAlign w:val="bottom"/>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395,690</w:t>
            </w:r>
          </w:p>
        </w:tc>
      </w:tr>
    </w:tbl>
    <w:p>
      <w:pPr>
        <w:spacing w:after="0" w:line="22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For the three months ended March 31, 2026 and 2025, substantially all of our revenues were recognized over time. During the three months ended March 31, 2026 and 2025, no single client generated greater than 10% of our consolidated total revenues. At March 31, 2026 and December 31, 2025, no single client accounted for greater than 10% of our combined balance of receivables from clients, net and unbilled services, net.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i w:val="1"/>
          <w:iCs w:val="1"/>
          <w:color w:val="auto"/>
        </w:rPr>
        <w:t>In this Quarterly Report on Form 10-Q, unless the context otherwise requires, the terms “Huron,” “Company,” “we,” “us” and “our” refer to Huron Consulting Group Inc. and its subsidiaries.</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“positions,”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our ability to realize the expected benefits and potential opportunities of artificial intelligence (AI);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including as a result of current global trade tensions and/or tariffs. These forward-looking statements involve known and unknown risks, uncertainties, and other factors, including, among others, those described under Item 1A. “Risk Factors,” in our Annual Report on Form 10-K for the year ended December 31, 2025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Huron is a global professional services firm that collaborates with organizations to help solve their most complex challenges and achieve their most ambitious goals. Working across the private and public sectors, we partner closely with clients to improve performance, accelerate transformation, and unlock new opportunities for growth.</w:t>
      </w:r>
    </w:p>
    <w:p>
      <w:pPr>
        <w:spacing w:after="0" w:line="117"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Our clients choose us because of our deep industry and technical expertise and proven track record of turning sound strategies into action. By combining practical experience, innovative thinking, and advanced analytics and technology, Huron helps organizations translate today’s ideas into tangible results and long-term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1"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The combination of our deep industry expertise and breadth of our offerings is the foundation of our growth strategy and why our clients choose Huron as their trusted advisor. Key focus areas of our growth strategy include:</w:t>
      </w:r>
    </w:p>
    <w:p>
      <w:pPr>
        <w:spacing w:after="0" w:line="99" w:lineRule="exact"/>
        <w:rPr>
          <w:sz w:val="20"/>
          <w:szCs w:val="20"/>
          <w:color w:val="auto"/>
        </w:rPr>
      </w:pPr>
    </w:p>
    <w:p>
      <w:pPr>
        <w:ind w:left="660" w:right="100" w:hanging="328"/>
        <w:spacing w:after="0" w:line="259" w:lineRule="auto"/>
        <w:tabs>
          <w:tab w:leader="none" w:pos="6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Accelerating Growth in Healthcare and Education: </w:t>
      </w:r>
      <w:r>
        <w:rPr>
          <w:rFonts w:ascii="Arial" w:cs="Arial" w:eastAsia="Arial" w:hAnsi="Arial"/>
          <w:sz w:val="18"/>
          <w:szCs w:val="18"/>
          <w:color w:val="auto"/>
        </w:rPr>
        <w:t>Huron holds leading market positions in healthcare and education,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comprehensive offerings to the largest health systems, academic medical centers, colleges and universities, and research institutes in the United States and abroad. The Company will continue to broaden its portfolio of offerings in healthcare and education to drive even greater impact on current and new clients as the needs in those industries further evolve due to competitive, regulatory, financial, and broader market changes.</w:t>
      </w:r>
    </w:p>
    <w:p>
      <w:pPr>
        <w:spacing w:after="0" w:line="125" w:lineRule="exact"/>
        <w:rPr>
          <w:rFonts w:ascii="Arial" w:cs="Arial" w:eastAsia="Arial" w:hAnsi="Arial"/>
          <w:sz w:val="18"/>
          <w:szCs w:val="18"/>
          <w:b w:val="1"/>
          <w:bCs w:val="1"/>
          <w:color w:val="auto"/>
        </w:rPr>
      </w:pPr>
    </w:p>
    <w:p>
      <w:pPr>
        <w:jc w:val="both"/>
        <w:ind w:left="660" w:hanging="328"/>
        <w:spacing w:after="0" w:line="262" w:lineRule="auto"/>
        <w:tabs>
          <w:tab w:leader="none" w:pos="6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Growing Presence in Commercial Industries: </w:t>
      </w:r>
      <w:r>
        <w:rPr>
          <w:rFonts w:ascii="Arial" w:cs="Arial" w:eastAsia="Arial" w:hAnsi="Arial"/>
          <w:sz w:val="18"/>
          <w:szCs w:val="18"/>
          <w:color w:val="auto"/>
        </w:rPr>
        <w:t>Through its deep industry and capability expertise and nimble approach, Huron has</w:t>
      </w:r>
      <w:r>
        <w:rPr>
          <w:rFonts w:ascii="Arial" w:cs="Arial" w:eastAsia="Arial" w:hAnsi="Arial"/>
          <w:sz w:val="18"/>
          <w:szCs w:val="18"/>
          <w:b w:val="1"/>
          <w:bCs w:val="1"/>
          <w:color w:val="auto"/>
        </w:rPr>
        <w:t xml:space="preserve"> </w:t>
      </w:r>
      <w:r>
        <w:rPr>
          <w:rFonts w:ascii="Arial" w:cs="Arial" w:eastAsia="Arial" w:hAnsi="Arial"/>
          <w:sz w:val="18"/>
          <w:szCs w:val="18"/>
          <w:color w:val="auto"/>
        </w:rPr>
        <w:t>grown its client base and expanded its credentials in the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spacing w:after="0" w:line="122" w:lineRule="exact"/>
        <w:rPr>
          <w:rFonts w:ascii="Arial" w:cs="Arial" w:eastAsia="Arial" w:hAnsi="Arial"/>
          <w:sz w:val="18"/>
          <w:szCs w:val="18"/>
          <w:b w:val="1"/>
          <w:bCs w:val="1"/>
          <w:color w:val="auto"/>
        </w:rPr>
      </w:pPr>
    </w:p>
    <w:p>
      <w:pPr>
        <w:ind w:left="660" w:right="200" w:hanging="328"/>
        <w:spacing w:after="0" w:line="262" w:lineRule="auto"/>
        <w:tabs>
          <w:tab w:leader="none" w:pos="6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Rapidly Growing Global Digital Capability: </w:t>
      </w:r>
      <w:r>
        <w:rPr>
          <w:rFonts w:ascii="Arial" w:cs="Arial" w:eastAsia="Arial" w:hAnsi="Arial"/>
          <w:sz w:val="18"/>
          <w:szCs w:val="18"/>
          <w:color w:val="auto"/>
        </w:rPr>
        <w:t>As data, technology and artificial intelligence (“AI”) evolve across industries, Huron’s</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to provide a broad portfolio of digital offerings that support the strategic and operational needs of its clients globally is at the foundation of the Company’s strategy. Huron will continue to advance its integrated digital platform to support its strong growth trajectory.</w:t>
      </w:r>
    </w:p>
    <w:p>
      <w:pPr>
        <w:spacing w:after="0" w:line="122" w:lineRule="exact"/>
        <w:rPr>
          <w:rFonts w:ascii="Arial" w:cs="Arial" w:eastAsia="Arial" w:hAnsi="Arial"/>
          <w:sz w:val="18"/>
          <w:szCs w:val="18"/>
          <w:b w:val="1"/>
          <w:bCs w:val="1"/>
          <w:color w:val="auto"/>
        </w:rPr>
      </w:pPr>
    </w:p>
    <w:p>
      <w:pPr>
        <w:ind w:left="660" w:right="120" w:hanging="328"/>
        <w:spacing w:after="0" w:line="259"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Solid Foundation for Margin Expansion: </w:t>
      </w:r>
      <w:r>
        <w:rPr>
          <w:rFonts w:ascii="Arial" w:cs="Arial" w:eastAsia="Arial" w:hAnsi="Arial"/>
          <w:sz w:val="18"/>
          <w:szCs w:val="18"/>
          <w:color w:val="auto"/>
        </w:rPr>
        <w:t>The Company continues to be well-positioned to further achieve margin expansion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strong annual adjusted diluted earnings per share growth. We are committed to operating income margin expansion by seeking to grow the areas of the business that provide the most attractive returns, improving our pricing realization and the operational efficiency of our delivery for clients, utilizing our global delivery platform across regions, and scaling our selling, general, and administrative expenses as we grow.</w:t>
      </w:r>
    </w:p>
    <w:p>
      <w:pPr>
        <w:spacing w:after="0" w:line="125" w:lineRule="exact"/>
        <w:rPr>
          <w:rFonts w:ascii="Arial" w:cs="Arial" w:eastAsia="Arial" w:hAnsi="Arial"/>
          <w:sz w:val="18"/>
          <w:szCs w:val="18"/>
          <w:color w:val="auto"/>
        </w:rPr>
      </w:pPr>
    </w:p>
    <w:p>
      <w:pPr>
        <w:ind w:left="660" w:right="20" w:hanging="328"/>
        <w:spacing w:after="0" w:line="268" w:lineRule="auto"/>
        <w:tabs>
          <w:tab w:leader="none" w:pos="669"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Strong Balance Sheet and Cash Flows: </w:t>
      </w:r>
      <w:r>
        <w:rPr>
          <w:rFonts w:ascii="Arial" w:cs="Arial" w:eastAsia="Arial" w:hAnsi="Arial"/>
          <w:sz w:val="18"/>
          <w:szCs w:val="18"/>
          <w:color w:val="auto"/>
        </w:rPr>
        <w:t>A resilient, flexible balance sheet is the foundation of our financial strength, and strong</w:t>
      </w:r>
      <w:r>
        <w:rPr>
          <w:rFonts w:ascii="Arial" w:cs="Arial" w:eastAsia="Arial" w:hAnsi="Arial"/>
          <w:sz w:val="18"/>
          <w:szCs w:val="18"/>
          <w:b w:val="1"/>
          <w:bCs w:val="1"/>
          <w:color w:val="auto"/>
        </w:rPr>
        <w:t xml:space="preserve"> </w:t>
      </w:r>
      <w:r>
        <w:rPr>
          <w:rFonts w:ascii="Arial" w:cs="Arial" w:eastAsia="Arial" w:hAnsi="Arial"/>
          <w:sz w:val="18"/>
          <w:szCs w:val="18"/>
          <w:color w:val="auto"/>
        </w:rPr>
        <w:t>free cash flows have and will continue to be the hallmark of Huron’s business model. The Company is committed to deploying capital in a strategic</w:t>
      </w:r>
    </w:p>
    <w:p>
      <w:pPr>
        <w:sectPr>
          <w:pgSz w:w="11900" w:h="16838" w:orient="portrait"/>
          <w:cols w:equalWidth="0" w:num="1">
            <w:col w:w="11220"/>
          </w:cols>
          <w:pgMar w:left="320" w:top="121" w:right="359" w:bottom="581"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581"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80"/>
        <w:spacing w:after="0" w:line="287" w:lineRule="auto"/>
        <w:rPr>
          <w:sz w:val="20"/>
          <w:szCs w:val="20"/>
          <w:color w:val="auto"/>
        </w:rPr>
      </w:pPr>
      <w:r>
        <w:rPr>
          <w:rFonts w:ascii="Arial" w:cs="Arial" w:eastAsia="Arial" w:hAnsi="Arial"/>
          <w:sz w:val="18"/>
          <w:szCs w:val="18"/>
          <w:color w:val="auto"/>
        </w:rPr>
        <w:t>and balanced way, including returning capital to shareholders and executing strategic, tuck-in acquisitions while prudently managing our leverage ratio.</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 AND PRODUCTS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Industries</w:t>
      </w:r>
    </w:p>
    <w:p>
      <w:pPr>
        <w:spacing w:after="0" w:line="1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Healthcare</w:t>
      </w:r>
    </w:p>
    <w:p>
      <w:pPr>
        <w:spacing w:after="0" w:line="169" w:lineRule="exact"/>
        <w:rPr>
          <w:rFonts w:ascii="Arial" w:cs="Arial" w:eastAsia="Arial" w:hAnsi="Arial"/>
          <w:sz w:val="18"/>
          <w:szCs w:val="18"/>
          <w:b w:val="1"/>
          <w:bCs w:val="1"/>
          <w:color w:val="auto"/>
        </w:rPr>
      </w:pPr>
    </w:p>
    <w:p>
      <w:pPr>
        <w:ind w:left="6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managed services and outsourcing; financial and capital advisory consulting; and strategy consulting. Our healthcare-focused digital services span technology and analytic-related services, including core systems of record, such as enterprise health record (“EHR”), enterprise resource planning (“ERP”), enterprise performance management (“EPM”), and customer relationship management (“CRM”) systems; data management, artificial intelligence (“AI”) and automation; technology managed services; and payor core administration systems. We also have a portfolio of software products we deliver to the healthcare industry. In June 2025, we enhanced our consulting offerings through the acquisition of Eclipse Insights, a leading provider of revenue cycle solutions. In November 2025, we acquired the consulting services division of AXIOM to strengthen our digital-focused payor offerings.</w:t>
      </w:r>
    </w:p>
    <w:p>
      <w:pPr>
        <w:spacing w:after="0" w:line="137"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Education</w:t>
      </w:r>
    </w:p>
    <w:p>
      <w:pPr>
        <w:spacing w:after="0" w:line="169"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acquisitions of Advancement Resources and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w:t>
      </w:r>
    </w:p>
    <w:p>
      <w:pPr>
        <w:spacing w:after="0" w:line="128" w:lineRule="exact"/>
        <w:rPr>
          <w:rFonts w:ascii="Arial" w:cs="Arial" w:eastAsia="Arial" w:hAnsi="Arial"/>
          <w:sz w:val="18"/>
          <w:szCs w:val="18"/>
          <w:b w:val="1"/>
          <w:bCs w:val="1"/>
          <w:color w:val="auto"/>
        </w:rPr>
      </w:pPr>
    </w:p>
    <w:p>
      <w:pPr>
        <w:ind w:left="660" w:hanging="328"/>
        <w:spacing w:after="0"/>
        <w:tabs>
          <w:tab w:leader="none" w:pos="6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Commercial</w:t>
      </w:r>
    </w:p>
    <w:p>
      <w:pPr>
        <w:spacing w:after="0" w:line="169" w:lineRule="exact"/>
        <w:rPr>
          <w:rFonts w:ascii="Arial" w:cs="Arial" w:eastAsia="Arial" w:hAnsi="Arial"/>
          <w:sz w:val="18"/>
          <w:szCs w:val="18"/>
          <w:b w:val="1"/>
          <w:bCs w:val="1"/>
          <w:i w:val="1"/>
          <w:iCs w:val="1"/>
          <w:color w:val="auto"/>
        </w:rPr>
      </w:pPr>
    </w:p>
    <w:p>
      <w:pPr>
        <w:ind w:left="66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regulatory compliance and risk management consulting and managed services, strategy and operations consulting services, and financial and operational performance improvement consulting services. In the third quarter of 2025, we bolstered our Commercial consulting offerings through the acquisitions of Treliant, a global financial services consulting and managed services firm, and WP&amp;C, a leading strategy and operations consulting firm specializing in driving operational efficiency and improved growth and profitability.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Capabilities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Within each of our operating segments, we provide our offerings under two principal capabilities: i) Consulting and Managed Services and ii) Digital.</w:t>
      </w:r>
    </w:p>
    <w:p>
      <w:pPr>
        <w:spacing w:after="0" w:line="10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Consulting and Managed Services</w:t>
      </w:r>
    </w:p>
    <w:p>
      <w:pPr>
        <w:spacing w:after="0" w:line="169" w:lineRule="exact"/>
        <w:rPr>
          <w:rFonts w:ascii="Arial" w:cs="Arial" w:eastAsia="Arial" w:hAnsi="Arial"/>
          <w:sz w:val="18"/>
          <w:szCs w:val="18"/>
          <w:color w:val="auto"/>
        </w:rPr>
      </w:pPr>
    </w:p>
    <w:p>
      <w:pPr>
        <w:ind w:left="660" w:right="100"/>
        <w:spacing w:after="0" w:line="318" w:lineRule="auto"/>
        <w:rPr>
          <w:rFonts w:ascii="Arial" w:cs="Arial" w:eastAsia="Arial" w:hAnsi="Arial"/>
          <w:sz w:val="18"/>
          <w:szCs w:val="18"/>
          <w:color w:val="auto"/>
        </w:rPr>
      </w:pPr>
      <w:r>
        <w:rPr>
          <w:rFonts w:ascii="Arial" w:cs="Arial" w:eastAsia="Arial" w:hAnsi="Arial"/>
          <w:sz w:val="17"/>
          <w:szCs w:val="17"/>
          <w:color w:val="auto"/>
        </w:rPr>
        <w:t>Our Consulting and Managed Services capabilities represent our management consulting services, managed services (excluding technology-related managed services) and outsourcing services delivered across industries. Our Consulting and Managed Services</w:t>
      </w:r>
    </w:p>
    <w:p>
      <w:pPr>
        <w:sectPr>
          <w:pgSz w:w="11900" w:h="16838" w:orient="portrait"/>
          <w:cols w:equalWidth="0" w:num="1">
            <w:col w:w="11220"/>
          </w:cols>
          <w:pgMar w:left="320" w:top="121" w:right="359" w:bottom="675"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675"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experts help our clients address a variety of strategic, operational, financial, people and organizational-related challenges. These services are often combined with technology, analytic, and data- and AI-driven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spacing w:after="0" w:line="13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Digital</w:t>
      </w:r>
    </w:p>
    <w:p>
      <w:pPr>
        <w:spacing w:after="0" w:line="169" w:lineRule="exact"/>
        <w:rPr>
          <w:rFonts w:ascii="Arial" w:cs="Arial" w:eastAsia="Arial" w:hAnsi="Arial"/>
          <w:sz w:val="18"/>
          <w:szCs w:val="18"/>
          <w:b w:val="1"/>
          <w:bCs w:val="1"/>
          <w:i w:val="1"/>
          <w:iCs w:val="1"/>
          <w:color w:val="auto"/>
        </w:rPr>
      </w:pPr>
    </w:p>
    <w:p>
      <w:pPr>
        <w:ind w:left="660" w:right="2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Our Digital capabilities represent our technology and analytics services, including technology-related managed services, and software products delivered across industries. Our Digital experts help clients address a variety of business challenges, including, but not limited to, the design and implementation of technologies to accelerate transformation, facilitate data-driven decision making, operate more efficiently by leveraging AI- and automation-enabled workflows, and improve customer and employee experiences. We have invested organically and inorganically to expand our Digital offerings, which now span beyond core systems of record, such as ERP systems, into a broader set of administrative systems, including supply chain management, industry-specific systems of record and systems of engagement that act as the “digital front door” to an organization. We have grown our data, analytics, AI and automation offerings to deliver a unified and actionable technology ecosystem for our clients.</w:t>
      </w:r>
    </w:p>
    <w:p>
      <w:pPr>
        <w:spacing w:after="0" w:line="130" w:lineRule="exact"/>
        <w:rPr>
          <w:rFonts w:ascii="Arial" w:cs="Arial" w:eastAsia="Arial" w:hAnsi="Arial"/>
          <w:sz w:val="18"/>
          <w:szCs w:val="18"/>
          <w:b w:val="1"/>
          <w:bCs w:val="1"/>
          <w:i w:val="1"/>
          <w:iCs w:val="1"/>
          <w:color w:val="auto"/>
        </w:rPr>
      </w:pPr>
    </w:p>
    <w:p>
      <w:pPr>
        <w:ind w:left="660"/>
        <w:spacing w:after="0" w:line="262"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expanded our ecosystem to work with more than 25 technology partners. For example, we are a Leading Modern Oracle Network Partner; a Summit-level consulting partner with Salesforce.com and a Premium Partner with Salesforce.org; a Workday Services, Preferred Channel, Extend, and Application Management Services Partner; a Microsoft Solutions Partner; an Amazon Web Services consulting partner; an Informatica Platinum Partner; and an SAP Concur implementation partner.</w:t>
      </w:r>
    </w:p>
    <w:p>
      <w:pPr>
        <w:spacing w:after="0" w:line="122" w:lineRule="exact"/>
        <w:rPr>
          <w:rFonts w:ascii="Arial" w:cs="Arial" w:eastAsia="Arial" w:hAnsi="Arial"/>
          <w:sz w:val="18"/>
          <w:szCs w:val="18"/>
          <w:b w:val="1"/>
          <w:bCs w:val="1"/>
          <w:i w:val="1"/>
          <w:iCs w:val="1"/>
          <w:color w:val="auto"/>
        </w:rPr>
      </w:pPr>
    </w:p>
    <w:p>
      <w:pPr>
        <w:ind w:left="660" w:right="80"/>
        <w:spacing w:after="0" w:line="256"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2025 Best in KLAS® report; and Huron Intelligence™ Analytic Suite in Healthcare, a predictive analytics suite to improve care delivery while lowering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before Reimbursable Expenses (RBR)</w:t>
      </w:r>
    </w:p>
    <w:p>
      <w:pPr>
        <w:spacing w:after="0" w:line="16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Revenues before reimbursable expenses (RBR)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RBR is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generate our RBR from providing professional services and software products under the following four types of billing arrangements: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fixed-fee; time-and-expense; performance-based; and software support, maintenance and subscriptions.</w:t>
      </w:r>
    </w:p>
    <w:p>
      <w:pPr>
        <w:spacing w:after="0" w:line="153" w:lineRule="exact"/>
        <w:rPr>
          <w:sz w:val="20"/>
          <w:szCs w:val="20"/>
          <w:color w:val="auto"/>
        </w:rPr>
      </w:pPr>
    </w:p>
    <w:p>
      <w:pPr>
        <w:ind w:left="660" w:right="220" w:hanging="328"/>
        <w:spacing w:after="0" w:line="28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Fixed-fee: </w:t>
      </w:r>
      <w:r>
        <w:rPr>
          <w:rFonts w:ascii="Arial" w:cs="Arial" w:eastAsia="Arial" w:hAnsi="Arial"/>
          <w:sz w:val="18"/>
          <w:szCs w:val="18"/>
          <w:color w:val="auto"/>
        </w:rPr>
        <w:t>In fixed-fee billing arrangements, we agree to a pre-established fee in exchange for a predetermined set of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set the fees based on our estimates of the costs and timing for completing the engagements.</w:t>
      </w:r>
    </w:p>
    <w:p>
      <w:pPr>
        <w:spacing w:after="0" w:line="98" w:lineRule="exact"/>
        <w:rPr>
          <w:rFonts w:ascii="Arial" w:cs="Arial" w:eastAsia="Arial" w:hAnsi="Arial"/>
          <w:sz w:val="18"/>
          <w:szCs w:val="18"/>
          <w:color w:val="auto"/>
        </w:rPr>
      </w:pPr>
    </w:p>
    <w:p>
      <w:pPr>
        <w:jc w:val="both"/>
        <w:ind w:left="660" w:right="160" w:hanging="328"/>
        <w:spacing w:after="0" w:line="268"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Time-and-expense: </w:t>
      </w:r>
      <w:r>
        <w:rPr>
          <w:rFonts w:ascii="Arial" w:cs="Arial" w:eastAsia="Arial" w:hAnsi="Arial"/>
          <w:sz w:val="18"/>
          <w:szCs w:val="18"/>
          <w:color w:val="auto"/>
        </w:rPr>
        <w:t>Under time-and-expense billing arrangements, we invoice our clients based on the number of hours worked by</w:t>
      </w:r>
      <w:r>
        <w:rPr>
          <w:rFonts w:ascii="Arial" w:cs="Arial" w:eastAsia="Arial" w:hAnsi="Arial"/>
          <w:sz w:val="18"/>
          <w:szCs w:val="18"/>
          <w:i w:val="1"/>
          <w:iCs w:val="1"/>
          <w:color w:val="auto"/>
        </w:rPr>
        <w:t xml:space="preserve"> </w:t>
      </w:r>
      <w:r>
        <w:rPr>
          <w:rFonts w:ascii="Arial" w:cs="Arial" w:eastAsia="Arial" w:hAnsi="Arial"/>
          <w:sz w:val="18"/>
          <w:szCs w:val="18"/>
          <w:color w:val="auto"/>
        </w:rPr>
        <w:t>our revenue-generating professionals at agreed upon rates. Time-and-expense arrangements also include speaking engagements, conferences and publications purchased by our clients.</w:t>
      </w:r>
    </w:p>
    <w:p>
      <w:pPr>
        <w:spacing w:after="0" w:line="116" w:lineRule="exact"/>
        <w:rPr>
          <w:rFonts w:ascii="Arial" w:cs="Arial" w:eastAsia="Arial" w:hAnsi="Arial"/>
          <w:sz w:val="18"/>
          <w:szCs w:val="18"/>
          <w:color w:val="auto"/>
        </w:rPr>
      </w:pPr>
    </w:p>
    <w:p>
      <w:pPr>
        <w:ind w:left="660" w:right="100" w:hanging="328"/>
        <w:spacing w:after="0" w:line="257"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Performance-based: </w:t>
      </w:r>
      <w:r>
        <w:rPr>
          <w:rFonts w:ascii="Arial" w:cs="Arial" w:eastAsia="Arial" w:hAnsi="Arial"/>
          <w:sz w:val="18"/>
          <w:szCs w:val="18"/>
          <w:color w:val="auto"/>
        </w:rPr>
        <w:t>In performance-based billing arrangements, fees are tied to the attainment of contractually defined objectives.</w:t>
      </w:r>
      <w:r>
        <w:rPr>
          <w:rFonts w:ascii="Arial" w:cs="Arial" w:eastAsia="Arial" w:hAnsi="Arial"/>
          <w:sz w:val="18"/>
          <w:szCs w:val="18"/>
          <w:i w:val="1"/>
          <w:iCs w:val="1"/>
          <w:color w:val="auto"/>
        </w:rPr>
        <w:t xml:space="preserve"> </w:t>
      </w:r>
      <w:r>
        <w:rPr>
          <w:rFonts w:ascii="Arial" w:cs="Arial" w:eastAsia="Arial" w:hAnsi="Arial"/>
          <w:sz w:val="18"/>
          <w:szCs w:val="18"/>
          <w:color w:val="auto"/>
        </w:rPr>
        <w:t>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spacing w:after="0" w:line="128" w:lineRule="exact"/>
        <w:rPr>
          <w:rFonts w:ascii="Arial" w:cs="Arial" w:eastAsia="Arial" w:hAnsi="Arial"/>
          <w:sz w:val="18"/>
          <w:szCs w:val="18"/>
          <w:color w:val="auto"/>
        </w:rPr>
      </w:pPr>
    </w:p>
    <w:p>
      <w:pPr>
        <w:ind w:left="660" w:right="140" w:hanging="328"/>
        <w:spacing w:after="0" w:line="262" w:lineRule="auto"/>
        <w:tabs>
          <w:tab w:leader="none" w:pos="669"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Software support, maintenance and subscriptions: </w:t>
      </w:r>
      <w:r>
        <w:rPr>
          <w:rFonts w:ascii="Arial" w:cs="Arial" w:eastAsia="Arial" w:hAnsi="Arial"/>
          <w:sz w:val="18"/>
          <w:szCs w:val="18"/>
          <w:color w:val="auto"/>
        </w:rPr>
        <w:t>We generate subscription revenue from our cloud-based analytic tools and</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including our cloud-based revenue cycle management software and research administration and compliance software. Additionally, clients that have purchased one of our software licenses can pay an annual fee for software support and maintenance. Software support,</w:t>
      </w:r>
    </w:p>
    <w:p>
      <w:pPr>
        <w:sectPr>
          <w:pgSz w:w="11900" w:h="16838" w:orient="portrait"/>
          <w:cols w:equalWidth="0" w:num="1">
            <w:col w:w="11220"/>
          </w:cols>
          <w:pgMar w:left="320" w:top="121" w:right="359" w:bottom="891"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891"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color w:val="auto"/>
        </w:rPr>
        <w:t>maintenance and subscription revenues are recognized ratably over the support or subscription period. These fees are generally billed in advance and included in deferred revenues until recognized as revenue.</w:t>
      </w:r>
    </w:p>
    <w:p>
      <w:pPr>
        <w:spacing w:after="0" w:line="9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client engagements, are included in total revenues. We manage our business on the basis of revenues before reimbursable expenses (RBR), which we believe is the most accurate reflection of our services because it eliminates the effect of reimbursable expenses that we bill to our clients at cost.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Selling, general and administrative expenses primarily consists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the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 expenses, recruiting and training expenses, and practice administration and meeting expenses.</w:t>
      </w:r>
    </w:p>
    <w:p>
      <w:pPr>
        <w:spacing w:after="0" w:line="12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Other operating expenses include restructuring charges, other gains and losses, depreciation expense, and amortization expense related to internally developed software costs and intangible assets acquired in business combinations.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also assess our results of operations using the following non-GAAP financial measures: earnings before interest, taxes, depreciation and amortization (“EBITDA”), adjusted EBITDA, adjusted EBITDA as a percentage of RBR,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if they so choose, and in comparing in a consistent manner Huron’s current financial results with Huron’s past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exclude the effect of amortization of intangible assets from the calculation of adjusted net income, as it</w:t>
      </w:r>
      <w:r>
        <w:rPr>
          <w:rFonts w:ascii="Arial" w:cs="Arial" w:eastAsia="Arial" w:hAnsi="Arial"/>
          <w:sz w:val="18"/>
          <w:szCs w:val="18"/>
          <w:i w:val="1"/>
          <w:iCs w:val="1"/>
          <w:color w:val="auto"/>
        </w:rPr>
        <w:t xml:space="preserve"> </w:t>
      </w:r>
      <w:r>
        <w:rPr>
          <w:rFonts w:ascii="Arial" w:cs="Arial" w:eastAsia="Arial" w:hAnsi="Arial"/>
          <w:sz w:val="18"/>
          <w:szCs w:val="18"/>
          <w:color w:val="auto"/>
        </w:rPr>
        <w:t>is inconsistent in its amount and frequency and is significantly affected by the timing and size of our acquisitions.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We have incurred charges due to restructuring various parts of our business. These restructuring charges have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costs associated with office space consolidations, including lease impairment charges and accelerated depreciation on lease-related property and equipment, and employee severance charges. We exclude the effect of the restructuring charges from our non-GAAP financial measures to permit comparability with periods that were not impacted by these items. We do not include normal, recurring, cash operating expenses in our restructuring charges.</w:t>
      </w:r>
    </w:p>
    <w:p>
      <w:pPr>
        <w:spacing w:after="0" w:line="12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exclude the effects of other losses and gains, which primarily relate to changes in the estimated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liabilities for contingent consideration related to business acquisitions and litigation settlement losses and gains, to permit comparability with periods that are not impacted by these items. These items are recorded as a component of other losses (gains), net on our consolidated statement of operations.</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i w:val="1"/>
          <w:iCs w:val="1"/>
          <w:color w:val="auto"/>
        </w:rPr>
        <w:t>Transaction-related expenses</w:t>
      </w:r>
      <w:r>
        <w:rPr>
          <w:rFonts w:ascii="Arial" w:cs="Arial" w:eastAsia="Arial" w:hAnsi="Arial"/>
          <w:sz w:val="18"/>
          <w:szCs w:val="18"/>
          <w:color w:val="auto"/>
        </w:rPr>
        <w:t>: We exclude the impact of third-party advisory, legal, and accounting fees and other corporate costs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related to the evaluation and/or consummation of business acquisitions to permit comparability with prior periods as these costs are inconsistent in their amount and frequency and are significantly affected by the timing and size of our acquisitions.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Unrealized losses (gains) on long-term investments, net</w:t>
      </w:r>
      <w:r>
        <w:rPr>
          <w:rFonts w:ascii="Arial" w:cs="Arial" w:eastAsia="Arial" w:hAnsi="Arial"/>
          <w:sz w:val="18"/>
          <w:szCs w:val="18"/>
          <w:color w:val="auto"/>
        </w:rPr>
        <w:t>: We exclude the effect of unrealized losses and gains related to our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which include non-cash credit-related impairment charges on our convertible debt investment in Shorelight Holdings, LLC and changes in the fair value of our equity investment in a hospital-at-home company arising from observable price changes or impairment charges. These unrealized losses and gains are included as a component of other income (expense), net on our consolidated statement of operations. We believe these unrealized losses and gains are not indicative of the ongoing performance of our business and their exclusion permits comparability with prior periods.</w:t>
      </w:r>
    </w:p>
    <w:p>
      <w:pPr>
        <w:spacing w:after="0" w:line="12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Losses (gains) on sales of businesses: </w:t>
      </w:r>
      <w:r>
        <w:rPr>
          <w:rFonts w:ascii="Arial" w:cs="Arial" w:eastAsia="Arial" w:hAnsi="Arial"/>
          <w:sz w:val="18"/>
          <w:szCs w:val="18"/>
          <w:color w:val="auto"/>
        </w:rPr>
        <w:t>We exclude the effect of non-operating losses and gains recognized as a result of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as they are infrequent, management believes that these items are not indicative of the ongoing performance of our business, and their exclusion permits comparability with periods that were not impacted by such items. The 2026 gain relates to the divestiture of a business within our Commercial segment completed in the first quarter of 2026. The divested business was not significant to our consolidated financial statements for any period presented.</w:t>
      </w:r>
    </w:p>
    <w:p>
      <w:pPr>
        <w:spacing w:after="0" w:line="12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i w:val="1"/>
          <w:iCs w:val="1"/>
          <w:color w:val="auto"/>
        </w:rPr>
        <w:t xml:space="preserve">Foreign currency transaction losses (gains), net: </w:t>
      </w:r>
      <w:r>
        <w:rPr>
          <w:rFonts w:ascii="Arial" w:cs="Arial" w:eastAsia="Arial" w:hAnsi="Arial"/>
          <w:sz w:val="18"/>
          <w:szCs w:val="18"/>
          <w:color w:val="auto"/>
        </w:rPr>
        <w:t>We exclude the effect of foreign currency transaction losses and gains from the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adjusted EBITDA because the amount of each loss or gain is significantly affected by changes in foreign exchange rates.</w:t>
      </w:r>
    </w:p>
    <w:p>
      <w:pPr>
        <w:spacing w:after="0" w:line="99" w:lineRule="exact"/>
        <w:rPr>
          <w:sz w:val="20"/>
          <w:szCs w:val="20"/>
          <w:color w:val="auto"/>
        </w:rPr>
      </w:pPr>
    </w:p>
    <w:p>
      <w:pPr>
        <w:ind w:right="1000"/>
        <w:spacing w:after="0" w:line="287" w:lineRule="auto"/>
        <w:rPr>
          <w:sz w:val="20"/>
          <w:szCs w:val="20"/>
          <w:color w:val="auto"/>
        </w:rPr>
      </w:pPr>
      <w:r>
        <w:rPr>
          <w:rFonts w:ascii="Arial" w:cs="Arial" w:eastAsia="Arial" w:hAnsi="Arial"/>
          <w:sz w:val="18"/>
          <w:szCs w:val="18"/>
          <w:i w:val="1"/>
          <w:iCs w:val="1"/>
          <w:color w:val="auto"/>
        </w:rPr>
        <w:t xml:space="preserve">Tax effect of adjustments: </w:t>
      </w:r>
      <w:r>
        <w:rPr>
          <w:rFonts w:ascii="Arial" w:cs="Arial" w:eastAsia="Arial" w:hAnsi="Arial"/>
          <w:sz w:val="18"/>
          <w:szCs w:val="18"/>
          <w:color w:val="auto"/>
        </w:rPr>
        <w:t>The non-GAAP income tax adjustment reflects the incremental tax impact applicable to the non-GAAP</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w:t>
      </w:r>
    </w:p>
    <w:p>
      <w:pPr>
        <w:spacing w:after="0" w:line="9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exclude the effects of income tax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Revenue-Generating Professionals</w:t>
      </w:r>
    </w:p>
    <w:p>
      <w:pPr>
        <w:spacing w:after="0" w:line="1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Managed Services professionals who provide revenue cycle management and research administration managed services and outsourcing at our healthcare, education and research-focused clients.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Utilization Rate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Highlights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the first quarter of 2026 include the following:</w:t>
      </w:r>
    </w:p>
    <w:p>
      <w:pPr>
        <w:spacing w:after="0" w:line="171" w:lineRule="exact"/>
        <w:rPr>
          <w:sz w:val="20"/>
          <w:szCs w:val="20"/>
          <w:color w:val="auto"/>
        </w:rPr>
      </w:pPr>
    </w:p>
    <w:p>
      <w:pPr>
        <w:ind w:left="660" w:right="20" w:hanging="328"/>
        <w:spacing w:after="0" w:line="28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Revenues before reimbursable expenses (RBR) increased $48.0 million, or 12.1%, to $443.7 million for the first quarter of 2026 from $395.7 million for the first quarter of 2025.</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as a percentage of total revenues was 5.1% for the first quarter of 2026, compared to 6.1% for the first quarter of 2025.</w:t>
      </w:r>
    </w:p>
    <w:p>
      <w:pPr>
        <w:spacing w:after="0" w:line="171" w:lineRule="exact"/>
        <w:rPr>
          <w:rFonts w:ascii="Arial" w:cs="Arial" w:eastAsia="Arial" w:hAnsi="Arial"/>
          <w:sz w:val="18"/>
          <w:szCs w:val="18"/>
          <w:color w:val="auto"/>
        </w:rPr>
      </w:pPr>
    </w:p>
    <w:p>
      <w:pPr>
        <w:ind w:left="660" w:right="60" w:hanging="328"/>
        <w:spacing w:after="0" w:line="287" w:lineRule="auto"/>
        <w:tabs>
          <w:tab w:leader="none" w:pos="6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EBITDA as a percentage of RBR increased to 11.4% for the first quarter of 2026, compared to 10.5% for the first quarter of 2025.</w:t>
      </w:r>
    </w:p>
    <w:p>
      <w:pPr>
        <w:spacing w:after="0" w:line="9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Diluted EPS increased to $1.34 for the first quarter of 2026 from $1.33 for the first quarter of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increased 3.0% to $1.73 for the first quarter of 2026, compared to $1.68 for the first quarter of 2025.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Returned $155.5 million to shareholders in the first three months of 2026 by repurchasing 1,114,806 shares of our common stock.</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RBR increased $48.0 million, or 12.1%, to $443.7 million for the first quarter of 2026 from $395.7 million for the first quarter of 2025. The overall increase in RBR reflects continued strength in demand for our Consulting and Managed Services capabilities within our Healthcare and Commercial segments. The increase includes $19.3 million of incremental RBR from our acquisitions completed since December 31, 2024. Excluding the $19.3 million of incremental RBR from our acquisitions, RBR grew 7.3% organically.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RBR within our Consulting and Managed Services capability increased $47.7 million, or 21.3%, in the first quarter of 2026 to $ 271.6 million, compared to $223.9 million in the first quarter of 2025; and reflected strengthened demand in our Healthcare and Commercial segments. The increase includes $17.5 million of incremental RBR from our acquisitions of Treliant, Eclipse Insights, WP&amp;C, Advancement Resources, and Halpin. The utilization rate within our Consulting capability increased to 74.6% in the first quarter of 2026, compared to 74.1% in the first quarter of 2025.</w:t>
      </w:r>
    </w:p>
    <w:p>
      <w:pPr>
        <w:spacing w:after="0" w:line="12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RBR within our Digital capability increased $0.3 million, or 0.2%, in the first quarter of 2026 to $172.1 million, compared to $171.8 million in the first quarter of 2025; and reflected an increase in RBR in our Education segment, partially offset by a decrease in RBR in our Commercial and Healthcare segments. The increase includes $1.7 million of incremental RBR from our acquisition of AXIOM. The utilization rate within our Digital capability decreased to 74.8% in the first quarter of 2026, compared to 78.2% in the first quarter of 2025.</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total number of revenue-generating professionals, excluding Managed Services professionals, increased 12.6% to 5,346 as of March 31, 2026, compared to 4,748 as of March 31, 2025, as a result of the acquisitions completed since the first quarter of 2025 and hiring to support the overall increase in demand for our services. The number of Managed Services professionals increased 59.5% to 2,643 as of March 31, 2026 from 1,657 as of March 31, 2025, as a result of hiring to support the increase in demand for our services. We proactively plan and manage the size and composition of our workforce and take actions as needed to address changes in the anticipated demand for our services as employee compensation costs are the most significant portion of our operating expenses.</w:t>
      </w:r>
    </w:p>
    <w:p>
      <w:pPr>
        <w:spacing w:after="0" w:line="12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decreased $1.3 million, or 5.3%, to $23.2 million, or 5.1% of total revenues, for the first quarter of 2026 compared to $24.5 million, or 6.1% of total revenues, for the same period last year. Net income for the first quarter of 2026 includes $3.8 million of income tax expense, compared to an income tax benefit of $3.1 million recorded for the first quarter of 2025. As a result of a reduction in diluted shares outstanding resulting from share repurchases made under our share repurchase plan, partially offset by the decrease in net income, diluted earnings per share for the first quarter of 2026 increased to $1.34 from $1.33 for the first quarter of 2025. The income tax expense in the first quarter of 2026 had an unfavorable $0.22 impact on diluted earnings per share, while the income tax benefit in the first quarter of 2025 had a favorable $0.17 impact on diluted earnings per share. Adjusted diluted earnings per share increased 3.0% to $1.73 for the first quarter of 2026, compared to $1.68 for the first quarter of 2025.</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Adjusted EBITDA increased $9.1 million, or 21.9%, to $50.6 million, or 11.4% of RBR, for the first quarter of 2026, compared to $41.5 million, or 10.5% of RBR, for the same period last year.</w:t>
      </w:r>
    </w:p>
    <w:p>
      <w:pPr>
        <w:spacing w:after="0" w:line="99"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In the first three months of 2026, we deployed $155.5 million of capital to repurchase 1,114,806 shares of our common stock, representing 6.5% of our common stock outstanding as of December 31,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171" w:lineRule="exact"/>
        <w:rPr>
          <w:sz w:val="20"/>
          <w:szCs w:val="20"/>
          <w:color w:val="auto"/>
        </w:rPr>
      </w:pPr>
    </w:p>
    <w:p>
      <w:pPr>
        <w:ind w:right="520"/>
        <w:spacing w:after="0" w:line="273" w:lineRule="auto"/>
        <w:rPr>
          <w:sz w:val="20"/>
          <w:szCs w:val="20"/>
          <w:color w:val="auto"/>
        </w:rPr>
      </w:pPr>
      <w:r>
        <w:rPr>
          <w:rFonts w:ascii="Arial" w:cs="Arial" w:eastAsia="Arial" w:hAnsi="Arial"/>
          <w:sz w:val="18"/>
          <w:szCs w:val="18"/>
          <w:color w:val="auto"/>
        </w:rPr>
        <w:t>The following tables set forth, for the periods indicated, selected segment and consolidated operating results and other operating data, including non-GAAP financial measures.</w:t>
      </w:r>
    </w:p>
    <w:p>
      <w:pPr>
        <w:sectPr>
          <w:pgSz w:w="11900" w:h="16838" w:orient="portrait"/>
          <w:cols w:equalWidth="0" w:num="1">
            <w:col w:w="11200"/>
          </w:cols>
          <w:pgMar w:left="320" w:top="121" w:right="379" w:bottom="716" w:gutter="0" w:footer="0" w:header="0"/>
        </w:sectPr>
      </w:pPr>
    </w:p>
    <w:p>
      <w:pPr>
        <w:spacing w:after="0" w:line="258" w:lineRule="exact"/>
        <w:rPr>
          <w:sz w:val="20"/>
          <w:szCs w:val="20"/>
          <w:color w:val="auto"/>
        </w:rPr>
      </w:pPr>
    </w:p>
    <w:p>
      <w:pPr>
        <w:ind w:left="20" w:right="266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2056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Healthcare:</w:t>
      </w:r>
    </w:p>
    <w:p>
      <w:pPr>
        <w:spacing w:after="0" w:line="20" w:lineRule="exact"/>
        <w:rPr>
          <w:sz w:val="20"/>
          <w:szCs w:val="20"/>
          <w:color w:val="auto"/>
        </w:rPr>
      </w:pPr>
      <w:r>
        <w:rPr>
          <w:sz w:val="20"/>
          <w:szCs w:val="20"/>
          <w:color w:val="auto"/>
        </w:rPr>
        <w:br w:type="column"/>
      </w:r>
    </w:p>
    <w:p>
      <w:pPr>
        <w:jc w:val="center"/>
        <w:ind w:right="1080"/>
        <w:spacing w:after="0" w:line="226" w:lineRule="auto"/>
        <w:rPr>
          <w:sz w:val="20"/>
          <w:szCs w:val="20"/>
          <w:color w:val="auto"/>
        </w:rPr>
      </w:pPr>
      <w:r>
        <w:rPr>
          <w:rFonts w:ascii="Arial" w:cs="Arial" w:eastAsia="Arial" w:hAnsi="Arial"/>
          <w:sz w:val="18"/>
          <w:szCs w:val="18"/>
          <w:b w:val="1"/>
          <w:bCs w:val="1"/>
          <w:color w:val="auto"/>
        </w:rPr>
        <w:t>Three Months Ended</w:t>
      </w:r>
    </w:p>
    <w:p>
      <w:pPr>
        <w:jc w:val="center"/>
        <w:ind w:right="10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29832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25" w:lineRule="exact"/>
        <w:rPr>
          <w:sz w:val="20"/>
          <w:szCs w:val="20"/>
          <w:color w:val="auto"/>
        </w:rPr>
      </w:pPr>
    </w:p>
    <w:p>
      <w:pPr>
        <w:spacing w:after="0"/>
        <w:tabs>
          <w:tab w:leader="none" w:pos="2380" w:val="left"/>
        </w:tabs>
        <w:rPr>
          <w:sz w:val="20"/>
          <w:szCs w:val="20"/>
          <w:color w:val="auto"/>
        </w:rPr>
      </w:pPr>
      <w:r>
        <w:rPr>
          <w:rFonts w:ascii="Arial" w:cs="Arial" w:eastAsia="Arial" w:hAnsi="Arial"/>
          <w:sz w:val="17"/>
          <w:szCs w:val="17"/>
          <w:b w:val="1"/>
          <w:bCs w:val="1"/>
          <w:color w:val="auto"/>
        </w:rPr>
        <w:t>2026</w:t>
      </w:r>
      <w:r>
        <w:rPr>
          <w:sz w:val="20"/>
          <w:szCs w:val="20"/>
          <w:color w:val="auto"/>
        </w:rPr>
        <w:tab/>
      </w:r>
      <w:r>
        <w:rPr>
          <w:rFonts w:ascii="Arial" w:cs="Arial" w:eastAsia="Arial" w:hAnsi="Arial"/>
          <w:sz w:val="17"/>
          <w:szCs w:val="17"/>
          <w:b w:val="1"/>
          <w:bCs w:val="1"/>
          <w:color w:val="auto"/>
        </w:rPr>
        <w:t>2025</w:t>
      </w:r>
    </w:p>
    <w:p>
      <w:pPr>
        <w:spacing w:after="0" w:line="294" w:lineRule="exact"/>
        <w:rPr>
          <w:sz w:val="20"/>
          <w:szCs w:val="20"/>
          <w:color w:val="auto"/>
        </w:rPr>
      </w:pPr>
    </w:p>
    <w:p>
      <w:pPr>
        <w:sectPr>
          <w:pgSz w:w="11900" w:h="16838" w:orient="portrait"/>
          <w:cols w:equalWidth="0" w:num="2">
            <w:col w:w="6600" w:space="720"/>
            <w:col w:w="3880"/>
          </w:cols>
          <w:pgMar w:left="320" w:top="121" w:right="379" w:bottom="716"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225,201</w:t>
            </w:r>
          </w:p>
        </w:tc>
        <w:tc>
          <w:tcPr>
            <w:tcW w:w="100" w:type="dxa"/>
            <w:vAlign w:val="bottom"/>
          </w:tcPr>
          <w:p>
            <w:pPr>
              <w:spacing w:after="0"/>
              <w:rPr>
                <w:sz w:val="18"/>
                <w:szCs w:val="18"/>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198,490</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63,953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56,316</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RBR</w:t>
            </w:r>
          </w:p>
        </w:tc>
        <w:tc>
          <w:tcPr>
            <w:tcW w:w="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Education:</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127,468</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122,748</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27,578</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23,060</w:t>
            </w: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RBR</w:t>
            </w:r>
          </w:p>
        </w:tc>
        <w:tc>
          <w:tcPr>
            <w:tcW w:w="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18.8 %</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91,043</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74,452</w:t>
            </w:r>
          </w:p>
        </w:tc>
        <w:tc>
          <w:tcPr>
            <w:tcW w:w="0" w:type="dxa"/>
            <w:vAlign w:val="bottom"/>
          </w:tcPr>
          <w:p>
            <w:pPr>
              <w:spacing w:after="0"/>
              <w:rPr>
                <w:sz w:val="1"/>
                <w:szCs w:val="1"/>
                <w:color w:val="auto"/>
              </w:rPr>
            </w:pPr>
          </w:p>
        </w:tc>
      </w:tr>
      <w:tr>
        <w:trPr>
          <w:trHeight w:val="229"/>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14,896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11,296</w:t>
            </w: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Segment operating income as a percentage of segment RBR</w:t>
            </w:r>
          </w:p>
        </w:tc>
        <w:tc>
          <w:tcPr>
            <w:tcW w:w="7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Huron:</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Revenues before reimbursable expenses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443,712</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395,690</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Reimbursable expenses</w:t>
            </w:r>
          </w:p>
        </w:tc>
        <w:tc>
          <w:tcPr>
            <w:tcW w:w="7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8,055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23"/>
        </w:trPr>
        <w:tc>
          <w:tcPr>
            <w:tcW w:w="6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 revenues</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451,767</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404,141</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rPr>
                <w:sz w:val="20"/>
                <w:szCs w:val="20"/>
                <w:color w:val="auto"/>
              </w:rPr>
            </w:pPr>
            <w:r>
              <w:rPr>
                <w:rFonts w:ascii="Arial" w:cs="Arial" w:eastAsia="Arial" w:hAnsi="Arial"/>
                <w:sz w:val="18"/>
                <w:szCs w:val="18"/>
                <w:color w:val="auto"/>
              </w:rPr>
              <w:t>Items not allocated at the segment level:</w:t>
            </w:r>
          </w:p>
        </w:tc>
        <w:tc>
          <w:tcPr>
            <w:tcW w:w="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Unallocated corporate expenses</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60,030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52,371</w:t>
            </w:r>
          </w:p>
        </w:tc>
        <w:tc>
          <w:tcPr>
            <w:tcW w:w="0" w:type="dxa"/>
            <w:vAlign w:val="bottom"/>
          </w:tcPr>
          <w:p>
            <w:pPr>
              <w:spacing w:after="0"/>
              <w:rPr>
                <w:sz w:val="1"/>
                <w:szCs w:val="1"/>
                <w:color w:val="auto"/>
              </w:rPr>
            </w:pPr>
          </w:p>
        </w:tc>
      </w:tr>
      <w:tr>
        <w:trPr>
          <w:trHeight w:val="230"/>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Other losses</w:t>
            </w:r>
          </w:p>
        </w:tc>
        <w:tc>
          <w:tcPr>
            <w:tcW w:w="76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3,840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6,506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36,583</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32,732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 expense, net</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(9,517)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27,066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21,452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3,819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Earnings per share:</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9"/>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Operating Data:</w:t>
            </w:r>
          </w:p>
        </w:tc>
        <w:tc>
          <w:tcPr>
            <w:tcW w:w="7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2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b w:val="1"/>
                <w:bCs w:val="1"/>
                <w:color w:val="auto"/>
              </w:rPr>
              <w:t>Number of revenue-generating professionals by segment (at period</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end):</w:t>
            </w:r>
          </w:p>
        </w:tc>
        <w:tc>
          <w:tcPr>
            <w:tcW w:w="7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Healthcare</w:t>
            </w:r>
            <w:r>
              <w:rPr>
                <w:rFonts w:ascii="Arial" w:cs="Arial" w:eastAsia="Arial" w:hAnsi="Arial"/>
                <w:sz w:val="23"/>
                <w:szCs w:val="23"/>
                <w:color w:val="auto"/>
                <w:vertAlign w:val="superscript"/>
              </w:rPr>
              <w:t>(3)</w:t>
            </w:r>
          </w:p>
        </w:tc>
        <w:tc>
          <w:tcPr>
            <w:tcW w:w="760" w:type="dxa"/>
            <w:vAlign w:val="bottom"/>
          </w:tcPr>
          <w:p>
            <w:pPr>
              <w:spacing w:after="0"/>
              <w:rPr>
                <w:sz w:val="19"/>
                <w:szCs w:val="19"/>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Education</w:t>
            </w:r>
            <w:r>
              <w:rPr>
                <w:rFonts w:ascii="Arial" w:cs="Arial" w:eastAsia="Arial" w:hAnsi="Arial"/>
                <w:sz w:val="23"/>
                <w:szCs w:val="23"/>
                <w:color w:val="auto"/>
                <w:vertAlign w:val="superscript"/>
              </w:rPr>
              <w:t>(4)</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Commercial </w:t>
            </w:r>
            <w:r>
              <w:rPr>
                <w:rFonts w:ascii="Arial" w:cs="Arial" w:eastAsia="Arial" w:hAnsi="Arial"/>
                <w:sz w:val="23"/>
                <w:szCs w:val="23"/>
                <w:color w:val="auto"/>
                <w:vertAlign w:val="superscript"/>
              </w:rPr>
              <w:t>(1)(2)(3)</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(excluding Managed Services)</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Managed Services</w:t>
            </w:r>
            <w:r>
              <w:rPr>
                <w:rFonts w:ascii="Arial" w:cs="Arial" w:eastAsia="Arial" w:hAnsi="Arial"/>
                <w:sz w:val="23"/>
                <w:szCs w:val="23"/>
                <w:color w:val="auto"/>
                <w:vertAlign w:val="superscript"/>
              </w:rPr>
              <w:t>(4)(5)</w:t>
            </w:r>
          </w:p>
        </w:tc>
        <w:tc>
          <w:tcPr>
            <w:tcW w:w="7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7,989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6,405</w:t>
            </w:r>
          </w:p>
        </w:tc>
        <w:tc>
          <w:tcPr>
            <w:tcW w:w="0" w:type="dxa"/>
            <w:vAlign w:val="bottom"/>
          </w:tcPr>
          <w:p>
            <w:pPr>
              <w:spacing w:after="0"/>
              <w:rPr>
                <w:sz w:val="1"/>
                <w:szCs w:val="1"/>
                <w:color w:val="auto"/>
              </w:rPr>
            </w:pPr>
          </w:p>
        </w:tc>
      </w:tr>
      <w:tr>
        <w:trPr>
          <w:trHeight w:val="256"/>
        </w:trPr>
        <w:tc>
          <w:tcPr>
            <w:tcW w:w="6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 before reimbursable expenses by capability:</w:t>
            </w:r>
          </w:p>
        </w:tc>
        <w:tc>
          <w:tcPr>
            <w:tcW w:w="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Consulting and Managed Services</w:t>
            </w:r>
            <w:r>
              <w:rPr>
                <w:rFonts w:ascii="Arial" w:cs="Arial" w:eastAsia="Arial" w:hAnsi="Arial"/>
                <w:sz w:val="23"/>
                <w:szCs w:val="23"/>
                <w:color w:val="auto"/>
                <w:vertAlign w:val="superscript"/>
              </w:rPr>
              <w:t>(4)(6)</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271,617</w:t>
            </w:r>
          </w:p>
        </w:tc>
        <w:tc>
          <w:tcPr>
            <w:tcW w:w="100" w:type="dxa"/>
            <w:vAlign w:val="bottom"/>
          </w:tcPr>
          <w:p>
            <w:pPr>
              <w:spacing w:after="0"/>
              <w:rPr>
                <w:sz w:val="19"/>
                <w:szCs w:val="19"/>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223,921</w:t>
            </w: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7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172,095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171,769</w:t>
            </w:r>
          </w:p>
        </w:tc>
        <w:tc>
          <w:tcPr>
            <w:tcW w:w="0" w:type="dxa"/>
            <w:vAlign w:val="bottom"/>
          </w:tcPr>
          <w:p>
            <w:pPr>
              <w:spacing w:after="0"/>
              <w:rPr>
                <w:sz w:val="1"/>
                <w:szCs w:val="1"/>
                <w:color w:val="auto"/>
              </w:rPr>
            </w:pPr>
          </w:p>
        </w:tc>
      </w:tr>
      <w:tr>
        <w:trPr>
          <w:trHeight w:val="232"/>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50"/>
              <w:spacing w:after="0"/>
              <w:rPr>
                <w:sz w:val="20"/>
                <w:szCs w:val="20"/>
                <w:color w:val="auto"/>
              </w:rPr>
            </w:pPr>
            <w:r>
              <w:rPr>
                <w:rFonts w:ascii="Arial" w:cs="Arial" w:eastAsia="Arial" w:hAnsi="Arial"/>
                <w:sz w:val="18"/>
                <w:szCs w:val="18"/>
                <w:color w:val="auto"/>
              </w:rPr>
              <w:t>443,712</w:t>
            </w:r>
          </w:p>
        </w:tc>
        <w:tc>
          <w:tcPr>
            <w:tcW w:w="100" w:type="dxa"/>
            <w:vAlign w:val="bottom"/>
          </w:tcPr>
          <w:p>
            <w:pPr>
              <w:spacing w:after="0"/>
              <w:rPr>
                <w:sz w:val="20"/>
                <w:szCs w:val="20"/>
                <w:color w:val="auto"/>
              </w:rPr>
            </w:pPr>
          </w:p>
        </w:tc>
        <w:tc>
          <w:tcPr>
            <w:tcW w:w="780" w:type="dxa"/>
            <w:vAlign w:val="bottom"/>
          </w:tcPr>
          <w:p>
            <w:pPr>
              <w:jc w:val="right"/>
              <w:ind w:right="5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395,690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716"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716"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right="1940"/>
        <w:spacing w:after="0" w:line="265" w:lineRule="auto"/>
        <w:rPr>
          <w:sz w:val="20"/>
          <w:szCs w:val="20"/>
          <w:color w:val="auto"/>
        </w:rPr>
      </w:pPr>
      <w:r>
        <w:rPr>
          <w:rFonts w:ascii="Arial" w:cs="Arial" w:eastAsia="Arial" w:hAnsi="Arial"/>
          <w:sz w:val="17"/>
          <w:szCs w:val="17"/>
          <w:b w:val="1"/>
          <w:bCs w:val="1"/>
          <w:color w:val="auto"/>
        </w:rPr>
        <w:t>Segment and Consolidated Operating Results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020560" cy="274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20560" cy="274320"/>
                    </a:xfrm>
                    <a:prstGeom prst="rect">
                      <a:avLst/>
                    </a:prstGeom>
                    <a:noFill/>
                  </pic:spPr>
                </pic:pic>
              </a:graphicData>
            </a:graphic>
          </wp:anchor>
        </w:drawing>
      </w:r>
    </w:p>
    <w:p>
      <w:pPr>
        <w:ind w:left="20"/>
        <w:spacing w:after="0" w:line="244" w:lineRule="auto"/>
        <w:rPr>
          <w:sz w:val="20"/>
          <w:szCs w:val="20"/>
          <w:color w:val="auto"/>
        </w:rPr>
      </w:pPr>
      <w:r>
        <w:rPr>
          <w:rFonts w:ascii="Arial" w:cs="Arial" w:eastAsia="Arial" w:hAnsi="Arial"/>
          <w:sz w:val="18"/>
          <w:szCs w:val="18"/>
          <w:b w:val="1"/>
          <w:bCs w:val="1"/>
          <w:color w:val="auto"/>
        </w:rPr>
        <w:t>Number of revenue-generating professionals by capability (at period end):</w:t>
      </w:r>
    </w:p>
    <w:p>
      <w:pPr>
        <w:ind w:left="20"/>
        <w:spacing w:after="0" w:line="212" w:lineRule="auto"/>
        <w:rPr>
          <w:sz w:val="20"/>
          <w:szCs w:val="20"/>
          <w:color w:val="auto"/>
        </w:rPr>
      </w:pPr>
      <w:r>
        <w:rPr>
          <w:rFonts w:ascii="Arial" w:cs="Arial" w:eastAsia="Arial" w:hAnsi="Arial"/>
          <w:sz w:val="18"/>
          <w:szCs w:val="18"/>
          <w:color w:val="auto"/>
        </w:rPr>
        <w:t>Consulting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2056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ind w:left="20"/>
        <w:spacing w:after="0" w:line="218" w:lineRule="auto"/>
        <w:rPr>
          <w:sz w:val="20"/>
          <w:szCs w:val="20"/>
          <w:color w:val="auto"/>
        </w:rPr>
      </w:pPr>
      <w:r>
        <w:rPr>
          <w:rFonts w:ascii="Arial" w:cs="Arial" w:eastAsia="Arial" w:hAnsi="Arial"/>
          <w:sz w:val="18"/>
          <w:szCs w:val="18"/>
          <w:color w:val="auto"/>
        </w:rPr>
        <w:t>Managed Services</w:t>
      </w:r>
      <w:r>
        <w:rPr>
          <w:rFonts w:ascii="Arial" w:cs="Arial" w:eastAsia="Arial" w:hAnsi="Arial"/>
          <w:sz w:val="23"/>
          <w:szCs w:val="23"/>
          <w:color w:val="auto"/>
          <w:vertAlign w:val="superscript"/>
        </w:rPr>
        <w:t>(4)(5)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2056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20560" cy="15430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Total</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Utilization rate by capability</w:t>
      </w:r>
      <w:r>
        <w:rPr>
          <w:rFonts w:ascii="Arial" w:cs="Arial" w:eastAsia="Arial" w:hAnsi="Arial"/>
          <w:sz w:val="23"/>
          <w:szCs w:val="23"/>
          <w:b w:val="1"/>
          <w:bCs w:val="1"/>
          <w:color w:val="auto"/>
          <w:vertAlign w:val="superscript"/>
        </w:rPr>
        <w:t>(7)</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02056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2056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02056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056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Digital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Three Months Ended</w:t>
      </w:r>
    </w:p>
    <w:p>
      <w:pPr>
        <w:jc w:val="center"/>
        <w:ind w:right="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9660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2025</w:t>
            </w:r>
          </w:p>
        </w:tc>
      </w:tr>
      <w:tr>
        <w:trPr>
          <w:trHeight w:val="636"/>
        </w:trPr>
        <w:tc>
          <w:tcPr>
            <w:tcW w:w="2280" w:type="dxa"/>
            <w:vAlign w:val="bottom"/>
          </w:tcPr>
          <w:p>
            <w:pPr>
              <w:jc w:val="right"/>
              <w:ind w:right="150"/>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24"/>
                <w:szCs w:val="24"/>
                <w:color w:val="auto"/>
              </w:rPr>
            </w:pP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1,748</w:t>
            </w:r>
          </w:p>
        </w:tc>
      </w:tr>
      <w:tr>
        <w:trPr>
          <w:trHeight w:val="229"/>
        </w:trPr>
        <w:tc>
          <w:tcPr>
            <w:tcW w:w="2280" w:type="dxa"/>
            <w:vAlign w:val="bottom"/>
          </w:tcPr>
          <w:p>
            <w:pPr>
              <w:jc w:val="right"/>
              <w:ind w:right="150"/>
              <w:spacing w:after="0"/>
              <w:rPr>
                <w:sz w:val="20"/>
                <w:szCs w:val="20"/>
                <w:color w:val="auto"/>
              </w:rPr>
            </w:pPr>
            <w:r>
              <w:rPr>
                <w:rFonts w:ascii="Arial" w:cs="Arial" w:eastAsia="Arial" w:hAnsi="Arial"/>
                <w:sz w:val="18"/>
                <w:szCs w:val="18"/>
                <w:color w:val="auto"/>
              </w:rPr>
              <w:t>2,643</w:t>
            </w:r>
          </w:p>
        </w:tc>
        <w:tc>
          <w:tcPr>
            <w:tcW w:w="100" w:type="dxa"/>
            <w:vAlign w:val="bottom"/>
          </w:tcPr>
          <w:p>
            <w:pPr>
              <w:spacing w:after="0"/>
              <w:rPr>
                <w:sz w:val="19"/>
                <w:szCs w:val="19"/>
                <w:color w:val="auto"/>
              </w:rPr>
            </w:pP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1,657</w:t>
            </w:r>
          </w:p>
        </w:tc>
      </w:tr>
      <w:tr>
        <w:trPr>
          <w:trHeight w:val="235"/>
        </w:trPr>
        <w:tc>
          <w:tcPr>
            <w:tcW w:w="2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3,128</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3,000</w:t>
            </w:r>
          </w:p>
        </w:tc>
      </w:tr>
      <w:tr>
        <w:trPr>
          <w:trHeight w:val="232"/>
        </w:trPr>
        <w:tc>
          <w:tcPr>
            <w:tcW w:w="2280" w:type="dxa"/>
            <w:vAlign w:val="bottom"/>
          </w:tcPr>
          <w:p>
            <w:pPr>
              <w:jc w:val="right"/>
              <w:ind w:right="150"/>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20"/>
                <w:szCs w:val="20"/>
                <w:color w:val="auto"/>
              </w:rPr>
            </w:pPr>
          </w:p>
        </w:tc>
        <w:tc>
          <w:tcPr>
            <w:tcW w:w="2280" w:type="dxa"/>
            <w:vAlign w:val="bottom"/>
          </w:tcPr>
          <w:p>
            <w:pPr>
              <w:jc w:val="right"/>
              <w:ind w:right="150"/>
              <w:spacing w:after="0"/>
              <w:rPr>
                <w:sz w:val="20"/>
                <w:szCs w:val="20"/>
                <w:color w:val="auto"/>
              </w:rPr>
            </w:pPr>
            <w:r>
              <w:rPr>
                <w:rFonts w:ascii="Arial" w:cs="Arial" w:eastAsia="Arial" w:hAnsi="Arial"/>
                <w:sz w:val="18"/>
                <w:szCs w:val="18"/>
                <w:color w:val="auto"/>
              </w:rPr>
              <w:t>6,405</w:t>
            </w:r>
          </w:p>
        </w:tc>
      </w:tr>
      <w:tr>
        <w:trPr>
          <w:trHeight w:val="660"/>
        </w:trPr>
        <w:tc>
          <w:tcPr>
            <w:tcW w:w="2280" w:type="dxa"/>
            <w:vAlign w:val="bottom"/>
          </w:tcPr>
          <w:p>
            <w:pPr>
              <w:jc w:val="right"/>
              <w:spacing w:after="0"/>
              <w:rPr>
                <w:sz w:val="20"/>
                <w:szCs w:val="20"/>
                <w:color w:val="auto"/>
              </w:rPr>
            </w:pPr>
            <w:r>
              <w:rPr>
                <w:rFonts w:ascii="Arial" w:cs="Arial" w:eastAsia="Arial" w:hAnsi="Arial"/>
                <w:sz w:val="18"/>
                <w:szCs w:val="18"/>
                <w:color w:val="auto"/>
              </w:rPr>
              <w:t>74.6 %</w:t>
            </w:r>
          </w:p>
        </w:tc>
        <w:tc>
          <w:tcPr>
            <w:tcW w:w="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74.1 %</w:t>
            </w:r>
          </w:p>
        </w:tc>
      </w:tr>
      <w:tr>
        <w:trPr>
          <w:trHeight w:val="239"/>
        </w:trPr>
        <w:tc>
          <w:tcPr>
            <w:tcW w:w="2280" w:type="dxa"/>
            <w:vAlign w:val="bottom"/>
          </w:tcPr>
          <w:p>
            <w:pPr>
              <w:jc w:val="right"/>
              <w:spacing w:after="0"/>
              <w:rPr>
                <w:sz w:val="20"/>
                <w:szCs w:val="20"/>
                <w:color w:val="auto"/>
              </w:rPr>
            </w:pPr>
            <w:r>
              <w:rPr>
                <w:rFonts w:ascii="Arial" w:cs="Arial" w:eastAsia="Arial" w:hAnsi="Arial"/>
                <w:sz w:val="18"/>
                <w:szCs w:val="18"/>
                <w:color w:val="auto"/>
              </w:rPr>
              <w:t>74.8 %</w:t>
            </w:r>
          </w:p>
        </w:tc>
        <w:tc>
          <w:tcPr>
            <w:tcW w:w="10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78.2 %</w:t>
            </w:r>
          </w:p>
        </w:tc>
      </w:tr>
    </w:tbl>
    <w:p>
      <w:pPr>
        <w:spacing w:after="0" w:line="200" w:lineRule="exact"/>
        <w:rPr>
          <w:sz w:val="20"/>
          <w:szCs w:val="20"/>
          <w:color w:val="auto"/>
        </w:rPr>
      </w:pPr>
    </w:p>
    <w:p>
      <w:pPr>
        <w:sectPr>
          <w:pgSz w:w="11900" w:h="16838" w:orient="portrait"/>
          <w:cols w:equalWidth="0" w:num="2">
            <w:col w:w="5880" w:space="520"/>
            <w:col w:w="4800"/>
          </w:cols>
          <w:pgMar w:left="320" w:top="121" w:right="379" w:bottom="1440" w:gutter="0" w:footer="0" w:header="0"/>
        </w:sectPr>
      </w:pPr>
    </w:p>
    <w:p>
      <w:pPr>
        <w:spacing w:after="0" w:line="115" w:lineRule="exact"/>
        <w:rPr>
          <w:sz w:val="20"/>
          <w:szCs w:val="20"/>
          <w:color w:val="auto"/>
        </w:rPr>
      </w:pPr>
    </w:p>
    <w:p>
      <w:pPr>
        <w:ind w:left="340" w:right="140" w:hanging="332"/>
        <w:spacing w:after="0" w:line="281" w:lineRule="auto"/>
        <w:tabs>
          <w:tab w:leader="none" w:pos="394" w:val="left"/>
        </w:tabs>
        <w:numPr>
          <w:ilvl w:val="0"/>
          <w:numId w:val="14"/>
        </w:numPr>
        <w:rPr>
          <w:rFonts w:ascii="Arial" w:cs="Arial" w:eastAsia="Arial" w:hAnsi="Arial"/>
          <w:sz w:val="16"/>
          <w:szCs w:val="16"/>
          <w:color w:val="auto"/>
        </w:rPr>
      </w:pPr>
      <w:r>
        <w:rPr>
          <w:rFonts w:ascii="Arial" w:cs="Arial" w:eastAsia="Arial" w:hAnsi="Arial"/>
          <w:sz w:val="18"/>
          <w:szCs w:val="18"/>
          <w:color w:val="auto"/>
        </w:rPr>
        <w:t>The majority of our revenue-generating professionals within our Commercial segment can provide services across all of our industries, including healthcare and education, and the related costs of these professionals are allocated to each of the segments.</w:t>
      </w:r>
    </w:p>
    <w:p>
      <w:pPr>
        <w:spacing w:after="0" w:line="1" w:lineRule="exact"/>
        <w:rPr>
          <w:rFonts w:ascii="Arial" w:cs="Arial" w:eastAsia="Arial" w:hAnsi="Arial"/>
          <w:sz w:val="16"/>
          <w:szCs w:val="16"/>
          <w:color w:val="auto"/>
        </w:rPr>
      </w:pPr>
    </w:p>
    <w:p>
      <w:pPr>
        <w:ind w:left="340" w:right="140" w:hanging="332"/>
        <w:spacing w:after="0" w:line="268" w:lineRule="auto"/>
        <w:tabs>
          <w:tab w:leader="none" w:pos="433"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increase in the number of revenue-generating professionals within our Commercial segment includes our acquisition of Treliant in the third quarter of 2025. This acquisition added approximately 180 revenue-generating professionals, of which approximately 65 are consultants who work variable schedules as needed by clients.</w:t>
      </w:r>
    </w:p>
    <w:p>
      <w:pPr>
        <w:spacing w:after="0" w:line="8" w:lineRule="exact"/>
        <w:rPr>
          <w:rFonts w:ascii="Arial" w:cs="Arial" w:eastAsia="Arial" w:hAnsi="Arial"/>
          <w:sz w:val="18"/>
          <w:szCs w:val="18"/>
          <w:color w:val="auto"/>
        </w:rPr>
      </w:pPr>
    </w:p>
    <w:p>
      <w:pPr>
        <w:ind w:left="340" w:right="40" w:hanging="332"/>
        <w:spacing w:after="0" w:line="268" w:lineRule="auto"/>
        <w:tabs>
          <w:tab w:leader="none" w:pos="4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2026, we reclassified the revenue-generating professionals within one of Commercial's Digital offerings to the same Digital offering within Healthcare as these revenue-generating professionals primarily provide services to clients in the healthcare industry. This reclassification had no impact on the total Huron headcount or RBR reported for any period.</w:t>
      </w:r>
    </w:p>
    <w:p>
      <w:pPr>
        <w:spacing w:after="0" w:line="9" w:lineRule="exact"/>
        <w:rPr>
          <w:sz w:val="20"/>
          <w:szCs w:val="20"/>
          <w:color w:val="auto"/>
        </w:rPr>
      </w:pPr>
    </w:p>
    <w:p>
      <w:pPr>
        <w:ind w:left="340" w:right="320"/>
        <w:spacing w:after="0" w:line="268" w:lineRule="auto"/>
        <w:rPr>
          <w:sz w:val="20"/>
          <w:szCs w:val="20"/>
          <w:color w:val="auto"/>
        </w:rPr>
      </w:pPr>
      <w:r>
        <w:rPr>
          <w:rFonts w:ascii="Arial" w:cs="Arial" w:eastAsia="Arial" w:hAnsi="Arial"/>
          <w:sz w:val="18"/>
          <w:szCs w:val="18"/>
          <w:color w:val="auto"/>
        </w:rPr>
        <w:t>The number of revenue-generating professionals within this offering as of December 31, 2024, March 31, 2025, June 30, 2025, September 30, 2025 and December 31, 2025 was 190, 158, 154, 154, and 145, respectively. The prior period headcount reported by segment in the table above has been revised for consistent presentation.</w:t>
      </w:r>
    </w:p>
    <w:p>
      <w:pPr>
        <w:spacing w:after="0" w:line="9" w:lineRule="exact"/>
        <w:rPr>
          <w:sz w:val="20"/>
          <w:szCs w:val="20"/>
          <w:color w:val="auto"/>
        </w:rPr>
      </w:pPr>
    </w:p>
    <w:p>
      <w:pPr>
        <w:ind w:left="340" w:right="460" w:hanging="332"/>
        <w:spacing w:after="0" w:line="298" w:lineRule="auto"/>
        <w:tabs>
          <w:tab w:leader="none" w:pos="436"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first quarter of 2026, we reclassified one of the offerings within Education's Managed Services capability to Education's Consulting capability. This reclassification had no impact on the total Huron headcount or RBR reported for any period.</w:t>
      </w:r>
    </w:p>
    <w:p>
      <w:pPr>
        <w:spacing w:after="0" w:line="1" w:lineRule="exact"/>
        <w:rPr>
          <w:sz w:val="20"/>
          <w:szCs w:val="20"/>
          <w:color w:val="auto"/>
        </w:rPr>
      </w:pPr>
    </w:p>
    <w:p>
      <w:pPr>
        <w:ind w:left="340" w:right="140"/>
        <w:spacing w:after="0" w:line="262" w:lineRule="auto"/>
        <w:rPr>
          <w:sz w:val="20"/>
          <w:szCs w:val="20"/>
          <w:color w:val="auto"/>
        </w:rPr>
      </w:pPr>
      <w:r>
        <w:rPr>
          <w:rFonts w:ascii="Arial" w:cs="Arial" w:eastAsia="Arial" w:hAnsi="Arial"/>
          <w:sz w:val="18"/>
          <w:szCs w:val="18"/>
          <w:color w:val="auto"/>
        </w:rPr>
        <w:t>The number of revenue-generating professionals within this offering as of December 31, 2024, March 31, 2025, June 30, 2025, September 30, 2025 and December 31, 2025 was 23, 22, 23, 21 and 21, respectively. The prior period headcount reported by segment and by capability in the table above has been revised for consistent presentation. The prior period Education Managed Services capability headcount in footnote 5 below has been revised for consistent presentation.</w:t>
      </w:r>
    </w:p>
    <w:p>
      <w:pPr>
        <w:spacing w:after="0" w:line="14"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RBR generated by this offering during the quarters ended March 31, 2025, June 30, 2025, September 30, 2025, and December 31, 2025 was $1.8 million, $1.4 million, $1.8 million, and $1.6 million, respectively, and during the years ended December 31, 2024 and 2025 was $7.3 million and $6.6 million, respectively. This reclassification did not impact the total Education Consulting and Managed Services RBR reported for any period, and the prior period Education Managed Services capability RBR in footnote 6 below has been revised for consistent presentation.</w:t>
      </w:r>
    </w:p>
    <w:p>
      <w:pPr>
        <w:spacing w:after="0" w:line="17" w:lineRule="exact"/>
        <w:rPr>
          <w:sz w:val="20"/>
          <w:szCs w:val="20"/>
          <w:color w:val="auto"/>
        </w:rPr>
      </w:pPr>
    </w:p>
    <w:p>
      <w:pPr>
        <w:ind w:left="340" w:right="260" w:hanging="332"/>
        <w:spacing w:after="0" w:line="262" w:lineRule="auto"/>
        <w:tabs>
          <w:tab w:leader="none" w:pos="436"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w:t>
      </w:r>
    </w:p>
    <w:p>
      <w:pPr>
        <w:spacing w:after="0" w:line="14" w:lineRule="exact"/>
        <w:rPr>
          <w:sz w:val="20"/>
          <w:szCs w:val="20"/>
          <w:color w:val="auto"/>
        </w:rPr>
      </w:pPr>
    </w:p>
    <w:p>
      <w:pPr>
        <w:ind w:left="340" w:right="260"/>
        <w:spacing w:after="0" w:line="281" w:lineRule="auto"/>
        <w:rPr>
          <w:sz w:val="20"/>
          <w:szCs w:val="20"/>
          <w:color w:val="auto"/>
        </w:rPr>
      </w:pPr>
      <w:r>
        <w:rPr>
          <w:rFonts w:ascii="Arial" w:cs="Arial" w:eastAsia="Arial" w:hAnsi="Arial"/>
          <w:sz w:val="18"/>
          <w:szCs w:val="18"/>
          <w:color w:val="auto"/>
        </w:rPr>
        <w:t>The number of Managed Services professionals within our Healthcare segment was 2,537 and 1,568 as of March 31, 2026 and 2025, respectively.</w:t>
      </w:r>
    </w:p>
    <w:p>
      <w:pPr>
        <w:spacing w:after="0" w:line="1" w:lineRule="exact"/>
        <w:rPr>
          <w:sz w:val="20"/>
          <w:szCs w:val="20"/>
          <w:color w:val="auto"/>
        </w:rPr>
      </w:pPr>
    </w:p>
    <w:p>
      <w:pPr>
        <w:ind w:left="340" w:right="720"/>
        <w:spacing w:after="0" w:line="281" w:lineRule="auto"/>
        <w:rPr>
          <w:sz w:val="20"/>
          <w:szCs w:val="20"/>
          <w:color w:val="auto"/>
        </w:rPr>
      </w:pPr>
      <w:r>
        <w:rPr>
          <w:rFonts w:ascii="Arial" w:cs="Arial" w:eastAsia="Arial" w:hAnsi="Arial"/>
          <w:sz w:val="18"/>
          <w:szCs w:val="18"/>
          <w:color w:val="auto"/>
        </w:rPr>
        <w:t>The number of Managed Services professionals within our Education segment was 106 and 89 as of March 31, 2026 and 2025, respectively.</w:t>
      </w:r>
    </w:p>
    <w:p>
      <w:pPr>
        <w:spacing w:after="0" w:line="1" w:lineRule="exact"/>
        <w:rPr>
          <w:sz w:val="20"/>
          <w:szCs w:val="20"/>
          <w:color w:val="auto"/>
        </w:rPr>
      </w:pPr>
    </w:p>
    <w:p>
      <w:pPr>
        <w:ind w:left="340" w:right="520" w:hanging="332"/>
        <w:spacing w:after="0" w:line="281" w:lineRule="auto"/>
        <w:tabs>
          <w:tab w:leader="none" w:pos="436"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Managed Services capability RBR within our Healthcare segment was $26.1 million and $18.3 million for the three months ended March 31, 2026 and 2025, respectively.</w:t>
      </w:r>
    </w:p>
    <w:p>
      <w:pPr>
        <w:spacing w:after="0" w:line="1" w:lineRule="exact"/>
        <w:rPr>
          <w:sz w:val="20"/>
          <w:szCs w:val="20"/>
          <w:color w:val="auto"/>
        </w:rPr>
      </w:pPr>
    </w:p>
    <w:p>
      <w:pPr>
        <w:ind w:left="340" w:right="40"/>
        <w:spacing w:after="0" w:line="281" w:lineRule="auto"/>
        <w:rPr>
          <w:sz w:val="20"/>
          <w:szCs w:val="20"/>
          <w:color w:val="auto"/>
        </w:rPr>
      </w:pPr>
      <w:r>
        <w:rPr>
          <w:rFonts w:ascii="Arial" w:cs="Arial" w:eastAsia="Arial" w:hAnsi="Arial"/>
          <w:sz w:val="18"/>
          <w:szCs w:val="18"/>
          <w:color w:val="auto"/>
        </w:rPr>
        <w:t>Managed Services capability RBR within our Education segment was $5.8 million and $5.6 million for the three months ended March 31, 2026 and 2025, respectively.</w:t>
      </w:r>
    </w:p>
    <w:p>
      <w:pPr>
        <w:spacing w:after="0" w:line="1" w:lineRule="exact"/>
        <w:rPr>
          <w:sz w:val="20"/>
          <w:szCs w:val="20"/>
          <w:color w:val="auto"/>
        </w:rPr>
      </w:pPr>
    </w:p>
    <w:p>
      <w:pPr>
        <w:ind w:left="340" w:right="380" w:hanging="332"/>
        <w:spacing w:after="0" w:line="268" w:lineRule="auto"/>
        <w:tabs>
          <w:tab w:leader="none" w:pos="4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pgSz w:w="11900" w:h="16838" w:orient="portrait"/>
          <w:cols w:equalWidth="0" w:num="1">
            <w:col w:w="11200"/>
          </w:cols>
          <w:pgMar w:left="320" w:top="121" w:right="379" w:bottom="1440" w:gutter="0" w:footer="0" w:header="0"/>
          <w:type w:val="continuous"/>
        </w:sect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520" w:type="dxa"/>
            <w:vAlign w:val="bottom"/>
          </w:tcPr>
          <w:p>
            <w:pPr>
              <w:spacing w:after="0"/>
              <w:rPr>
                <w:sz w:val="20"/>
                <w:szCs w:val="20"/>
                <w:color w:val="auto"/>
              </w:rPr>
            </w:pPr>
            <w:r>
              <w:rPr>
                <w:rFonts w:ascii="Arial" w:cs="Arial" w:eastAsia="Arial" w:hAnsi="Arial"/>
                <w:sz w:val="18"/>
                <w:szCs w:val="18"/>
                <w:b w:val="1"/>
                <w:bCs w:val="1"/>
                <w:color w:val="auto"/>
              </w:rPr>
              <w:t>Non-GAAP Financial Measures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0"/>
                <w:szCs w:val="20"/>
                <w:color w:val="auto"/>
              </w:rPr>
            </w:pPr>
            <w:r>
              <w:rPr>
                <w:rFonts w:ascii="Arial" w:cs="Arial" w:eastAsia="Arial" w:hAnsi="Arial"/>
                <w:sz w:val="18"/>
                <w:szCs w:val="18"/>
                <w:b w:val="1"/>
                <w:bCs w:val="1"/>
                <w:i w:val="1"/>
                <w:iCs w:val="1"/>
                <w:color w:val="auto"/>
              </w:rPr>
              <w:t>Reconciliation of Net Income to EBITDA and Adjusted EBITDA</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720" w:type="dxa"/>
            <w:vAlign w:val="bottom"/>
            <w:gridSpan w:val="4"/>
          </w:tcPr>
          <w:p>
            <w:pPr>
              <w:jc w:val="right"/>
              <w:ind w:right="10"/>
              <w:spacing w:after="0" w:line="190" w:lineRule="exact"/>
              <w:rPr>
                <w:sz w:val="20"/>
                <w:szCs w:val="20"/>
                <w:color w:val="auto"/>
              </w:rPr>
            </w:pPr>
            <w:r>
              <w:rPr>
                <w:rFonts w:ascii="Arial" w:cs="Arial" w:eastAsia="Arial" w:hAnsi="Arial"/>
                <w:sz w:val="18"/>
                <w:szCs w:val="18"/>
                <w:b w:val="1"/>
                <w:bCs w:val="1"/>
                <w:color w:val="auto"/>
              </w:rPr>
              <w:t>Three Months Ended</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b w:val="1"/>
                <w:bCs w:val="1"/>
                <w:color w:val="auto"/>
              </w:rPr>
              <w:t>March 31,</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94"/>
              </w:rPr>
              <w:t>2025</w:t>
            </w: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 before reimbursable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443,712</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395,690</w:t>
            </w:r>
          </w:p>
        </w:tc>
        <w:tc>
          <w:tcPr>
            <w:tcW w:w="0" w:type="dxa"/>
            <w:vAlign w:val="bottom"/>
          </w:tcPr>
          <w:p>
            <w:pPr>
              <w:spacing w:after="0"/>
              <w:rPr>
                <w:sz w:val="1"/>
                <w:szCs w:val="1"/>
                <w:color w:val="auto"/>
              </w:rPr>
            </w:pP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8,055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8,451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451,767</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center"/>
              <w:ind w:right="7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404,141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23,247</w:t>
            </w:r>
          </w:p>
        </w:tc>
        <w:tc>
          <w:tcPr>
            <w:tcW w:w="120" w:type="dxa"/>
            <w:vAlign w:val="bottom"/>
          </w:tcPr>
          <w:p>
            <w:pPr>
              <w:spacing w:after="0"/>
              <w:rPr>
                <w:sz w:val="17"/>
                <w:szCs w:val="17"/>
                <w:color w:val="auto"/>
              </w:rPr>
            </w:pPr>
          </w:p>
        </w:tc>
        <w:tc>
          <w:tcPr>
            <w:tcW w:w="940" w:type="dxa"/>
            <w:vAlign w:val="bottom"/>
            <w:tcBorders>
              <w:bottom w:val="single" w:sz="8" w:color="auto"/>
            </w:tcBorders>
            <w:gridSpan w:val="2"/>
          </w:tcPr>
          <w:p>
            <w:pPr>
              <w:jc w:val="center"/>
              <w:ind w:right="75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as a percentage of total revenues</w:t>
            </w:r>
          </w:p>
        </w:tc>
        <w:tc>
          <w:tcPr>
            <w:tcW w:w="2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Interest expense, net of interest income</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8,891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9,958</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7,149</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45,915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34,248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back:</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3,840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Unrealized loss on long-term investments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losses (gains), net</w:t>
            </w:r>
          </w:p>
        </w:tc>
        <w:tc>
          <w:tcPr>
            <w:tcW w:w="2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50,591</w:t>
            </w:r>
          </w:p>
        </w:tc>
        <w:tc>
          <w:tcPr>
            <w:tcW w:w="120" w:type="dxa"/>
            <w:vAlign w:val="bottom"/>
          </w:tcPr>
          <w:p>
            <w:pPr>
              <w:spacing w:after="0"/>
              <w:rPr>
                <w:sz w:val="19"/>
                <w:szCs w:val="19"/>
                <w:color w:val="auto"/>
              </w:rPr>
            </w:pPr>
          </w:p>
        </w:tc>
        <w:tc>
          <w:tcPr>
            <w:tcW w:w="940" w:type="dxa"/>
            <w:vAlign w:val="bottom"/>
            <w:tcBorders>
              <w:bottom w:val="single" w:sz="8" w:color="auto"/>
            </w:tcBorders>
            <w:gridSpan w:val="2"/>
          </w:tcPr>
          <w:p>
            <w:pPr>
              <w:jc w:val="center"/>
              <w:ind w:right="7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41,491</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Adjusted EBITDA as a percentage of revenues before reimbursable</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153"/>
        </w:trPr>
        <w:tc>
          <w:tcPr>
            <w:tcW w:w="652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6520" w:type="dxa"/>
            <w:vAlign w:val="bottom"/>
            <w:tcBorders>
              <w:bottom w:val="single" w:sz="8" w:color="CCEEFF"/>
            </w:tcBorders>
            <w:vMerge w:val="continue"/>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420" w:type="dxa"/>
            <w:vAlign w:val="bottom"/>
            <w:tcBorders>
              <w:bottom w:val="single" w:sz="8" w:color="auto"/>
            </w:tcBorders>
            <w:shd w:val="clear" w:color="auto" w:fill="CCEEFF"/>
          </w:tcPr>
          <w:p>
            <w:pPr>
              <w:spacing w:after="0"/>
              <w:rPr>
                <w:sz w:val="7"/>
                <w:szCs w:val="7"/>
                <w:color w:val="auto"/>
              </w:rPr>
            </w:pPr>
          </w:p>
        </w:tc>
        <w:tc>
          <w:tcPr>
            <w:tcW w:w="166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3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94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Reconciliation of Net Income to Adjusted Net Income and Adjusted Diluted Earnings per Share</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2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99"/>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4"/>
          </w:tcPr>
          <w:p>
            <w:pPr>
              <w:jc w:val="center"/>
              <w:ind w:left="850"/>
              <w:spacing w:after="0"/>
              <w:rPr>
                <w:sz w:val="20"/>
                <w:szCs w:val="20"/>
                <w:color w:val="auto"/>
              </w:rPr>
            </w:pPr>
            <w:r>
              <w:rPr>
                <w:rFonts w:ascii="Arial" w:cs="Arial" w:eastAsia="Arial" w:hAnsi="Arial"/>
                <w:sz w:val="18"/>
                <w:szCs w:val="18"/>
                <w:b w:val="1"/>
                <w:bCs w:val="1"/>
                <w:color w:val="auto"/>
                <w:w w:val="98"/>
              </w:rPr>
              <w:t>March 31,</w:t>
            </w:r>
          </w:p>
        </w:tc>
        <w:tc>
          <w:tcPr>
            <w:tcW w:w="1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23,247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 average shares - diluted</w:t>
            </w: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17,406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18,475</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Add back:</w:t>
            </w: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3,840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Transaction-related expenses</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Unrealized loss on long-term investments</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4,210</w:t>
            </w: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effect of adjustments</w:t>
            </w:r>
          </w:p>
        </w:tc>
        <w:tc>
          <w:tcPr>
            <w:tcW w:w="2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(2,135)</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adjustments, net of tax</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6,790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48"/>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30,037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Adjusted weighted average shares - diluted</w:t>
            </w: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8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17,406</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18,475</w:t>
            </w:r>
          </w:p>
        </w:tc>
        <w:tc>
          <w:tcPr>
            <w:tcW w:w="0" w:type="dxa"/>
            <w:vAlign w:val="bottom"/>
          </w:tcPr>
          <w:p>
            <w:pPr>
              <w:spacing w:after="0"/>
              <w:rPr>
                <w:sz w:val="1"/>
                <w:szCs w:val="1"/>
                <w:color w:val="auto"/>
              </w:rPr>
            </w:pPr>
          </w:p>
        </w:tc>
      </w:tr>
      <w:tr>
        <w:trPr>
          <w:trHeight w:val="25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diluted earnings per share</w:t>
            </w: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w:t>
            </w:r>
          </w:p>
        </w:tc>
        <w:tc>
          <w:tcPr>
            <w:tcW w:w="9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800"/>
        <w:spacing w:after="0" w:line="438" w:lineRule="auto"/>
        <w:rPr>
          <w:sz w:val="20"/>
          <w:szCs w:val="20"/>
          <w:color w:val="auto"/>
        </w:rPr>
      </w:pPr>
      <w:r>
        <w:rPr>
          <w:rFonts w:ascii="Arial" w:cs="Arial" w:eastAsia="Arial" w:hAnsi="Arial"/>
          <w:sz w:val="18"/>
          <w:szCs w:val="18"/>
          <w:b w:val="1"/>
          <w:bCs w:val="1"/>
          <w:color w:val="auto"/>
        </w:rPr>
        <w:t>Three Months Ended March 31, 2026 Compared to Three Months Ended March 31, 2025 Revenues before Reimbursable Expenses (RBR)</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8"/>
          <w:szCs w:val="18"/>
          <w:color w:val="auto"/>
        </w:rPr>
        <w:t>Revenues before reimbursable expenses (RBR) by segment and capability for the three months ended March 31, 2026 and 2025 were as follows:</w:t>
      </w:r>
    </w:p>
    <w:tbl>
      <w:tblPr>
        <w:tblLayout w:type="fixed"/>
        <w:tblInd w:w="0" w:type="dxa"/>
        <w:tblCellMar>
          <w:top w:w="0" w:type="dxa"/>
          <w:left w:w="0" w:type="dxa"/>
          <w:bottom w:w="0" w:type="dxa"/>
          <w:right w:w="0" w:type="dxa"/>
        </w:tblCellMar>
      </w:tblPr>
      <w:tr>
        <w:trPr>
          <w:trHeight w:val="182"/>
        </w:trPr>
        <w:tc>
          <w:tcPr>
            <w:tcW w:w="5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5"/>
          </w:tcPr>
          <w:p>
            <w:pPr>
              <w:ind w:left="140"/>
              <w:spacing w:after="0" w:line="182" w:lineRule="exact"/>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5"/>
                <w:szCs w:val="15"/>
                <w:color w:val="auto"/>
              </w:rPr>
            </w:pPr>
          </w:p>
        </w:tc>
        <w:tc>
          <w:tcPr>
            <w:tcW w:w="2440" w:type="dxa"/>
            <w:vAlign w:val="bottom"/>
            <w:gridSpan w:val="3"/>
            <w:vMerge w:val="restart"/>
          </w:tcPr>
          <w:p>
            <w:pPr>
              <w:jc w:val="right"/>
              <w:ind w:right="4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43"/>
        </w:trPr>
        <w:tc>
          <w:tcPr>
            <w:tcW w:w="5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Revenues before Reimbursable Expenses (in thousands)</w:t>
            </w: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225,201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198,490</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26,711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Education</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122,748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Commercial</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91,043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16,591</w:t>
            </w:r>
          </w:p>
        </w:tc>
        <w:tc>
          <w:tcPr>
            <w:tcW w:w="14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395,690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48,022</w:t>
            </w:r>
          </w:p>
        </w:tc>
        <w:tc>
          <w:tcPr>
            <w:tcW w:w="1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Capability:</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Consulting and Managed Services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271,617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223,921</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47,696</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Digital</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171,769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revenues before reimbursable expenses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443,712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395,690</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48,022</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RBR increased $48.0 million, or 12.1%, to $443.7 million for the first quarter of 2026 from $395.7 million for the first quarter of 2025. The overall increase in RBR reflects continued strength in demand for our Consulting and Managed Services capabilities within our Healthcare and Commercial segments. The increase includes $19.3 million of incremental RBR from our acquisitions completed since December 31, 2024. Excluding the $19.3 million of incremental RBR from our acquisitions, RBR grew 7.3% organically. Additional information on our RBR by segment follows.</w:t>
      </w:r>
    </w:p>
    <w:p>
      <w:pPr>
        <w:spacing w:after="0" w:line="125" w:lineRule="exact"/>
        <w:rPr>
          <w:sz w:val="20"/>
          <w:szCs w:val="20"/>
          <w:color w:val="auto"/>
        </w:rPr>
      </w:pPr>
    </w:p>
    <w:p>
      <w:pPr>
        <w:ind w:left="660" w:right="160" w:hanging="328"/>
        <w:spacing w:after="0" w:line="262"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RBR increased $26.7 million, or 13.5%, driven by strengthened demand for our performance improvement,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cycle managed services, financial advisory, and strategy solutions within our Consulting and Managed Services capability; partially offset by decreases in RBR for our technology and analytics services and software products within our Digital capability. RBR in the first quarter of 2026 included $7.3 million of incremental RBR from our acquisitions of Eclipse Insights and AXIOM.</w:t>
      </w:r>
    </w:p>
    <w:p>
      <w:pPr>
        <w:spacing w:after="0" w:line="122" w:lineRule="exact"/>
        <w:rPr>
          <w:rFonts w:ascii="Arial" w:cs="Arial" w:eastAsia="Arial" w:hAnsi="Arial"/>
          <w:sz w:val="18"/>
          <w:szCs w:val="18"/>
          <w:b w:val="1"/>
          <w:bCs w:val="1"/>
          <w:i w:val="1"/>
          <w:iCs w:val="1"/>
          <w:color w:val="auto"/>
        </w:rPr>
      </w:pPr>
    </w:p>
    <w:p>
      <w:pPr>
        <w:jc w:val="both"/>
        <w:ind w:left="660" w:right="22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excluding Managed Services professionals, within our Healthcare segment grew 24.4% to 1,700 as of March 31, 2026, compared to 1,367 as of March 31, 2025. Our acquisitions of Eclipse Insights and AXIOM in 2025 added approximately 75 revenue-generating professionals.</w:t>
      </w:r>
    </w:p>
    <w:p>
      <w:pPr>
        <w:spacing w:after="0" w:line="116" w:lineRule="exact"/>
        <w:rPr>
          <w:rFonts w:ascii="Arial" w:cs="Arial" w:eastAsia="Arial" w:hAnsi="Arial"/>
          <w:sz w:val="18"/>
          <w:szCs w:val="18"/>
          <w:b w:val="1"/>
          <w:bCs w:val="1"/>
          <w:i w:val="1"/>
          <w:iCs w:val="1"/>
          <w:color w:val="auto"/>
        </w:rPr>
      </w:pPr>
    </w:p>
    <w:p>
      <w:pPr>
        <w:ind w:left="660" w:right="80" w:hanging="328"/>
        <w:spacing w:after="0" w:line="262"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RBR increased $4.7 million, or 3.8%, driven by strengthened demand for our technology and analytics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products within our Digital capability; partially offset by a decrease in RBR for our education and research consulting solution within our Consulting and Managed Services. RBR in the first quarter of 2026 included $1.0 million of incremental RBR from our acquisitions of Advancement Resources and Halpin.</w:t>
      </w:r>
    </w:p>
    <w:p>
      <w:pPr>
        <w:spacing w:after="0" w:line="122" w:lineRule="exact"/>
        <w:rPr>
          <w:rFonts w:ascii="Arial" w:cs="Arial" w:eastAsia="Arial" w:hAnsi="Arial"/>
          <w:sz w:val="18"/>
          <w:szCs w:val="18"/>
          <w:b w:val="1"/>
          <w:bCs w:val="1"/>
          <w:i w:val="1"/>
          <w:iCs w:val="1"/>
          <w:color w:val="auto"/>
        </w:rPr>
      </w:pPr>
    </w:p>
    <w:p>
      <w:pPr>
        <w:ind w:left="660" w:right="720"/>
        <w:spacing w:after="0" w:line="28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Education segment, excluding Managed Services professionals, decreased 6.1% to 1,117 as of March 31, 2026, compared to 1,189 as of March 31, 2025.</w:t>
      </w:r>
    </w:p>
    <w:p>
      <w:pPr>
        <w:spacing w:after="0" w:line="98" w:lineRule="exact"/>
        <w:rPr>
          <w:rFonts w:ascii="Arial" w:cs="Arial" w:eastAsia="Arial" w:hAnsi="Arial"/>
          <w:sz w:val="18"/>
          <w:szCs w:val="18"/>
          <w:b w:val="1"/>
          <w:bCs w:val="1"/>
          <w:i w:val="1"/>
          <w:iCs w:val="1"/>
          <w:color w:val="auto"/>
        </w:rPr>
      </w:pPr>
    </w:p>
    <w:p>
      <w:pPr>
        <w:ind w:left="660" w:hanging="328"/>
        <w:spacing w:after="0" w:line="268" w:lineRule="auto"/>
        <w:tabs>
          <w:tab w:leader="none" w:pos="669"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RBR increased $16.6 million, or 22.3%, which reflects $11.0 million of incremental RBR from our acquisitions of Treliant</w:t>
      </w:r>
      <w:r>
        <w:rPr>
          <w:rFonts w:ascii="Arial" w:cs="Arial" w:eastAsia="Arial" w:hAnsi="Arial"/>
          <w:sz w:val="18"/>
          <w:szCs w:val="18"/>
          <w:b w:val="1"/>
          <w:bCs w:val="1"/>
          <w:color w:val="auto"/>
        </w:rPr>
        <w:t xml:space="preserve"> </w:t>
      </w:r>
      <w:r>
        <w:rPr>
          <w:rFonts w:ascii="Arial" w:cs="Arial" w:eastAsia="Arial" w:hAnsi="Arial"/>
          <w:sz w:val="18"/>
          <w:szCs w:val="18"/>
          <w:color w:val="auto"/>
        </w:rPr>
        <w:t>and WP&amp;C and strengthened demand for our financial advisory solution within our Consulting and Managed Services capability; partially offset by a decrease in RBR for our technology and analytics services within our Digital capability.</w:t>
      </w:r>
    </w:p>
    <w:p>
      <w:pPr>
        <w:spacing w:after="0" w:line="116" w:lineRule="exact"/>
        <w:rPr>
          <w:rFonts w:ascii="Arial" w:cs="Arial" w:eastAsia="Arial" w:hAnsi="Arial"/>
          <w:sz w:val="18"/>
          <w:szCs w:val="18"/>
          <w:b w:val="1"/>
          <w:bCs w:val="1"/>
          <w:i w:val="1"/>
          <w:iCs w:val="1"/>
          <w:color w:val="auto"/>
        </w:rPr>
      </w:pPr>
    </w:p>
    <w:p>
      <w:pPr>
        <w:ind w:left="660" w:right="2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number of revenue-generating professionals within our Commercial segment, the majority of which provide services across all of our industries, grew 15.4% to 2,529 as of March 31, 2026, compared to 2,192 as of March 31, 2025. Our acquisitions of Treliant and WP&amp;C in 2025 added approximately 210 revenue-generating professionals.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first quarter of 2026 increased $43.8 million, or 11.8%, over the first quarter of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and operating expenses as a percentage of revenues before reimbursable expenses (RBR)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 (in thousands, except</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2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rPr>
              <w:t>Three Months Ended March 31,</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40" w:type="dxa"/>
            <w:vAlign w:val="bottom"/>
            <w:gridSpan w:val="2"/>
          </w:tcPr>
          <w:p>
            <w:pPr>
              <w:ind w:left="20"/>
              <w:spacing w:after="0" w:line="156" w:lineRule="exact"/>
              <w:rPr>
                <w:sz w:val="20"/>
                <w:szCs w:val="20"/>
                <w:color w:val="auto"/>
              </w:rPr>
            </w:pPr>
            <w:r>
              <w:rPr>
                <w:rFonts w:ascii="Arial" w:cs="Arial" w:eastAsia="Arial" w:hAnsi="Arial"/>
                <w:sz w:val="18"/>
                <w:szCs w:val="18"/>
                <w:b w:val="1"/>
                <w:bCs w:val="1"/>
                <w:color w:val="auto"/>
              </w:rPr>
              <w:t>amounts as a percentage of revenues before</w:t>
            </w: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5"/>
            <w:vMerge w:val="continue"/>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190"/>
              <w:spacing w:after="0" w:line="156" w:lineRule="exact"/>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237"/>
        </w:trPr>
        <w:tc>
          <w:tcPr>
            <w:tcW w:w="4040" w:type="dxa"/>
            <w:vAlign w:val="bottom"/>
            <w:gridSpan w:val="2"/>
          </w:tcPr>
          <w:p>
            <w:pPr>
              <w:ind w:left="20"/>
              <w:spacing w:after="0"/>
              <w:rPr>
                <w:sz w:val="20"/>
                <w:szCs w:val="20"/>
                <w:color w:val="auto"/>
              </w:rPr>
            </w:pPr>
            <w:r>
              <w:rPr>
                <w:rFonts w:ascii="Arial" w:cs="Arial" w:eastAsia="Arial" w:hAnsi="Arial"/>
                <w:sz w:val="18"/>
                <w:szCs w:val="18"/>
                <w:b w:val="1"/>
                <w:bCs w:val="1"/>
                <w:color w:val="auto"/>
              </w:rPr>
              <w:t>reimbursable expenses)</w:t>
            </w:r>
          </w:p>
        </w:tc>
        <w:tc>
          <w:tcPr>
            <w:tcW w:w="380" w:type="dxa"/>
            <w:vAlign w:val="bottom"/>
          </w:tcPr>
          <w:p>
            <w:pPr>
              <w:spacing w:after="0"/>
              <w:rPr>
                <w:sz w:val="20"/>
                <w:szCs w:val="20"/>
                <w:color w:val="auto"/>
              </w:rPr>
            </w:pPr>
          </w:p>
        </w:tc>
        <w:tc>
          <w:tcPr>
            <w:tcW w:w="2440" w:type="dxa"/>
            <w:vAlign w:val="bottom"/>
            <w:gridSpan w:val="2"/>
          </w:tcPr>
          <w:p>
            <w:pPr>
              <w:jc w:val="right"/>
              <w:ind w:right="1110"/>
              <w:spacing w:after="0"/>
              <w:rPr>
                <w:sz w:val="20"/>
                <w:szCs w:val="20"/>
                <w:color w:val="auto"/>
              </w:rPr>
            </w:pPr>
            <w:r>
              <w:rPr>
                <w:rFonts w:ascii="Arial" w:cs="Arial" w:eastAsia="Arial" w:hAnsi="Arial"/>
                <w:sz w:val="18"/>
                <w:szCs w:val="18"/>
                <w:b w:val="1"/>
                <w:bCs w:val="1"/>
                <w:color w:val="auto"/>
              </w:rPr>
              <w:t>2026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2025</w:t>
            </w: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3"/>
        </w:trPr>
        <w:tc>
          <w:tcPr>
            <w:tcW w:w="3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Direct costs</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308,194</w:t>
            </w:r>
          </w:p>
        </w:tc>
        <w:tc>
          <w:tcPr>
            <w:tcW w:w="1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69.5%</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278,043</w:t>
            </w: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70.3%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30,151</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Reimbursable expenses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8,055</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8,445</w:t>
            </w:r>
          </w:p>
        </w:tc>
        <w:tc>
          <w:tcPr>
            <w:tcW w:w="42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84,711</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76,634</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Other losses</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3,840</w:t>
            </w:r>
          </w:p>
        </w:tc>
        <w:tc>
          <w:tcPr>
            <w:tcW w:w="1440" w:type="dxa"/>
            <w:vAlign w:val="bottom"/>
          </w:tcPr>
          <w:p>
            <w:pPr>
              <w:jc w:val="right"/>
              <w:ind w:right="25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9,721</w:t>
            </w:r>
          </w:p>
        </w:tc>
        <w:tc>
          <w:tcPr>
            <w:tcW w:w="144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6,949</w:t>
            </w:r>
          </w:p>
        </w:tc>
        <w:tc>
          <w:tcPr>
            <w:tcW w:w="4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ind w:right="250"/>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415,184</w:t>
            </w:r>
          </w:p>
        </w:tc>
        <w:tc>
          <w:tcPr>
            <w:tcW w:w="1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371,409</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93.9%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43,775</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 Costs</w:t>
      </w:r>
    </w:p>
    <w:p>
      <w:pPr>
        <w:spacing w:after="0" w:line="16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Direct costs increased $30.2 million, or 10.8%, to $308.2 million for the first quarter of 2026 from $278.0 million for the first quarter of 2025. The $30.2 million increase primarily related to a $30.0 million increase in compensation costs for our revenue-generating professionals and a $1.5 million increase in technology costs; partially offset by a $1.5 million decrease in contractor expenses. The increase in compensation costs reflects our investment to grow our talented team to meet increased market demand and is primarily attributable to a $ 29.6 million increase in salaries and related expenses, driven by recent acquisitions, hiring to support the overall increase in demand for our services and annual salary increases that went into effect in the first quarter of 2026, and a $1.3 million increase in performance bonus expense; partially offset by a $1.4 million decrease in share-based compensation expense. As a percentage of RBR, direct costs decreased to 69.5% during the first quarter of 2026, compared to 70.3% during the first quarter of 2025. This decrease was primarily due to revenue growth that outpaced the increase in performance bonus expense for our revenue-generating professionals and the decreases in share-based compensation expense and contractor expenses; partially offset by an increase in salaries and related expenses for our revenue-generating professionals, as a percentage of RBR.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Reimbursable Expenses</w:t>
      </w:r>
    </w:p>
    <w:p>
      <w:pPr>
        <w:spacing w:after="0" w:line="16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(RBR), which we believe is the most accurate reflection of our services because it eliminates the effect of reimbursable expenses that are also included as a component of operating expenses.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Selling, general and administrative expenses increased by $8.1 million, or 10.5%, to $ 84.7 million in the first quarter of 2026 from $76.6 million in the first quarter of 2025. The $8.1 million increase primarily related to a $6.3 million increase in non-payroll costs and a $ 1.7 million increase in compensation costs for our support personnel. The $6.3 million increase in non-payroll costs was primarily driven by a $2.3 million increase in software and data hosting expenses and a $2.2 million increase in practice administration and meetings expenses. The $1.7 million increase in compensation costs for our support personnel was primarily driven by a $1.2 million increase in salaries and related expenses and a $1.0 million increase in share-based compensation expense. As a percentage of RBR, selling, general and administrative expenses decreased to 19.1% during the first quarter of 2026, compared to 19.4% during the first quarter of 2025, which was primarily due to revenue growth that outpaced the increase in compensation costs for our support personnel; partially offset by increases in practice administration meeting expenses and software and data hosting expenses, as percentages of RBR.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Other losses totaled $3.8 million in the first quarter of 2026 and consisted of remeasurement losses to increase the fair value of our contingent consideration liabilities related to business combinations. There were no other losses or gains recognized in the first quarter of 2025.</w:t>
      </w:r>
    </w:p>
    <w:p>
      <w:pPr>
        <w:spacing w:after="0" w:line="11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See Note 11 “Fair Value of Financial Instruments” within the notes to our consolidated financial statements for additional information on the fair value of contingent consideration liabilities.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Restructuring charges for the first quarter of 2026 were $0.7 million, compared to $1.3 million for the first quarter of 2025. The $0.7 million of restructuring charges recognized in the first quarter of 2026 included $3.4 million of severance-related expenses and $1.0 million of rent and related expenses, net of sublease income, for our previously vacated office spaces, largely offset by a $3.8 million non-cash gain on lease modification. In the first quarter of 2026, we entered into the Seventh Amendment to the office lease agreement for our principal executive offices in Chicago, Illinois, which, among other items, provides for the early termination of the lease with respect to certain leased spaces previously vacated. See Note 14 “Commitments, Contingencies and Guarantees” within the notes to our consolidated financial statement for additional information on the Seventh Amendment.</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$1.3 million of restructuring charges recognized in the first quarter of 2025 included a $0.7 million non-cash lease impairment charge driven by updated sublease assumptions for a previously vacated office space and $0.6 million of rent and related expenses, net of sublease income, for our previously vacated office spaces.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Depreciation and amortization expense increased $2.8 million, or 39.9%, to $9.7 million in the first quarter of 2026, compared to $6.9 million in the first quarter of 2025. The $ 2.8 million increase in depreciation and amortization expense was primarily attributable to increases in amortization of intangible assets acquired in business acquisitions and internally developed software.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1"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Operating income increased $3.9 million, or 11.8%, to $36.6 million in the first quarter of 2026 from $32.7 million in the first quarter of 2025. Operating margin, which is defined as operating income expressed as a percentage of revenues before reimbursable expenses (RBR) was 8.2% for the three months ended March 31, 2026, compared to 8.3% for the three months ended March 31,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and operating margin for each of our segments as well as unallocated corporate expenses were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Pr>
          <w:p>
            <w:pPr>
              <w:ind w:left="20"/>
              <w:spacing w:after="0"/>
              <w:rPr>
                <w:sz w:val="20"/>
                <w:szCs w:val="20"/>
                <w:color w:val="auto"/>
              </w:rPr>
            </w:pPr>
            <w:r>
              <w:rPr>
                <w:rFonts w:ascii="Arial" w:cs="Arial" w:eastAsia="Arial" w:hAnsi="Arial"/>
                <w:sz w:val="18"/>
                <w:szCs w:val="18"/>
                <w:b w:val="1"/>
                <w:bCs w:val="1"/>
                <w:color w:val="auto"/>
              </w:rPr>
              <w:t>Segment Operating Income (in thousands,</w:t>
            </w: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8"/>
                <w:szCs w:val="18"/>
                <w:b w:val="1"/>
                <w:bCs w:val="1"/>
                <w:color w:val="auto"/>
              </w:rPr>
              <w:t>Three Months Ended 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Increase /</w:t>
            </w:r>
          </w:p>
        </w:tc>
      </w:tr>
      <w:tr>
        <w:trPr>
          <w:trHeight w:val="237"/>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except operating margin percentages)</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2026</w:t>
            </w: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(Decrease)</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63,953</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56,316</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Education</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27,578</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23,060</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18.8%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4,518</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14,896</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11,296</w:t>
            </w: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r>
      <w:tr>
        <w:trPr>
          <w:trHeight w:val="270"/>
        </w:trPr>
        <w:tc>
          <w:tcPr>
            <w:tcW w:w="4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175"/>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Unallocated Corporate Expenses (in</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4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thousands)</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2"/>
        </w:trPr>
        <w:tc>
          <w:tcPr>
            <w:tcW w:w="4020" w:type="dxa"/>
            <w:vAlign w:val="bottom"/>
          </w:tcPr>
          <w:p>
            <w:pPr>
              <w:ind w:left="20"/>
              <w:spacing w:after="0"/>
              <w:rPr>
                <w:sz w:val="20"/>
                <w:szCs w:val="20"/>
                <w:color w:val="auto"/>
              </w:rPr>
            </w:pPr>
            <w:r>
              <w:rPr>
                <w:rFonts w:ascii="Arial" w:cs="Arial" w:eastAsia="Arial" w:hAnsi="Arial"/>
                <w:sz w:val="18"/>
                <w:szCs w:val="18"/>
                <w:color w:val="auto"/>
              </w:rPr>
              <w:t>Unallocated corporate expenses</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60,030</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50"/>
              <w:spacing w:after="0"/>
              <w:rPr>
                <w:sz w:val="20"/>
                <w:szCs w:val="20"/>
                <w:color w:val="auto"/>
              </w:rPr>
            </w:pPr>
            <w:r>
              <w:rPr>
                <w:rFonts w:ascii="Arial" w:cs="Arial" w:eastAsia="Arial" w:hAnsi="Arial"/>
                <w:sz w:val="18"/>
                <w:szCs w:val="18"/>
                <w:color w:val="auto"/>
              </w:rPr>
              <w:t>52,371</w:t>
            </w:r>
          </w:p>
        </w:tc>
        <w:tc>
          <w:tcPr>
            <w:tcW w:w="108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7,659</w:t>
            </w:r>
          </w:p>
        </w:tc>
      </w:tr>
    </w:tbl>
    <w:p>
      <w:pPr>
        <w:spacing w:after="0" w:line="228" w:lineRule="exact"/>
        <w:rPr>
          <w:sz w:val="20"/>
          <w:szCs w:val="20"/>
          <w:color w:val="auto"/>
        </w:rPr>
      </w:pPr>
    </w:p>
    <w:p>
      <w:pPr>
        <w:ind w:left="660" w:right="40" w:hanging="328"/>
        <w:spacing w:after="0" w:line="259" w:lineRule="auto"/>
        <w:tabs>
          <w:tab w:leader="none" w:pos="669"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Healthcare </w:t>
      </w:r>
      <w:r>
        <w:rPr>
          <w:rFonts w:ascii="Arial" w:cs="Arial" w:eastAsia="Arial" w:hAnsi="Arial"/>
          <w:sz w:val="18"/>
          <w:szCs w:val="18"/>
          <w:color w:val="auto"/>
        </w:rPr>
        <w:t>operating income increased $7.6 million, or 13.6%, primarily due to the increase in RBR, as well as a decrease in</w:t>
      </w:r>
      <w:r>
        <w:rPr>
          <w:rFonts w:ascii="Arial" w:cs="Arial" w:eastAsia="Arial" w:hAnsi="Arial"/>
          <w:sz w:val="18"/>
          <w:szCs w:val="18"/>
          <w:b w:val="1"/>
          <w:bCs w:val="1"/>
          <w:color w:val="auto"/>
        </w:rPr>
        <w:t xml:space="preserve"> </w:t>
      </w:r>
      <w:r>
        <w:rPr>
          <w:rFonts w:ascii="Arial" w:cs="Arial" w:eastAsia="Arial" w:hAnsi="Arial"/>
          <w:sz w:val="18"/>
          <w:szCs w:val="18"/>
          <w:color w:val="auto"/>
        </w:rPr>
        <w:t>salaries and related expenses for our support personnel; partially offset by increases in compensation costs for our revenue-generating professionals and practice administration meetings expenses. The increase in compensation costs for our revenue-generating professionals was driven by an increase in headcount and annual salary increases that went into effect in the first quarter of 2026. Healthcare operating margin was 28.4% for both the first quarter of 2026 and 2025.</w:t>
      </w:r>
    </w:p>
    <w:p>
      <w:pPr>
        <w:spacing w:after="0" w:line="125" w:lineRule="exact"/>
        <w:rPr>
          <w:rFonts w:ascii="Arial" w:cs="Arial" w:eastAsia="Arial" w:hAnsi="Arial"/>
          <w:sz w:val="18"/>
          <w:szCs w:val="18"/>
          <w:b w:val="1"/>
          <w:bCs w:val="1"/>
          <w:i w:val="1"/>
          <w:iCs w:val="1"/>
          <w:color w:val="auto"/>
        </w:rPr>
      </w:pPr>
    </w:p>
    <w:p>
      <w:pPr>
        <w:ind w:left="660" w:right="20" w:hanging="328"/>
        <w:spacing w:after="0" w:line="257" w:lineRule="auto"/>
        <w:tabs>
          <w:tab w:leader="none" w:pos="669"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operating income increased $4.5 million, or 19.6%, primarily due to the increase in RBR, as well as decreases in practice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and meeting expenses and compensation costs for our revenue-generating professionals; partially offset by an increase in technology costs. The decrease in compensation costs for our revenue-generating professionals was primarily driven by decreases in share-based compensation expense and performance bonus expense; largely offset by annual salary increases that went into effect in the first quarter of 2026. Education operating margin increased to 21.6% from 18.8% primarily driven by the decreases in compensation costs for our revenue-generating professionals and practice administration and meetings expenses.</w:t>
      </w:r>
    </w:p>
    <w:p>
      <w:pPr>
        <w:spacing w:after="0" w:line="128" w:lineRule="exact"/>
        <w:rPr>
          <w:rFonts w:ascii="Arial" w:cs="Arial" w:eastAsia="Arial" w:hAnsi="Arial"/>
          <w:sz w:val="18"/>
          <w:szCs w:val="18"/>
          <w:b w:val="1"/>
          <w:bCs w:val="1"/>
          <w:i w:val="1"/>
          <w:iCs w:val="1"/>
          <w:color w:val="auto"/>
        </w:rPr>
      </w:pPr>
    </w:p>
    <w:p>
      <w:pPr>
        <w:ind w:left="660" w:right="80" w:hanging="328"/>
        <w:spacing w:after="0" w:line="255" w:lineRule="auto"/>
        <w:tabs>
          <w:tab w:leader="none" w:pos="669"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operating income increased $3.6 million, or 31.9%, primarily due to the increase in RBR; partially offset by an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in compensation costs for our revenue-generating professionals. The increase in compensation costs for our revenue-generating professionals was primarily due to an increase in headcount, driven by our acquisitions of Treliant and WP&amp;C, annual salary increases that went into effect in the first quarter of 2026, and an increase in performance bonus expense. Commercial operating margin increased to 16.4% from 15.2% primarily due to decreases in contractor expenses and salaries and related expenses for our support personnel, as well as revenue growth that outpaced the increase in performance bonus expense for our revenue-generating professionals; partially offset by an increase in salaries and related expenses for our revenue-generating professionals, as a percentage of RBR.</w:t>
      </w:r>
    </w:p>
    <w:p>
      <w:pPr>
        <w:spacing w:after="0" w:line="130" w:lineRule="exact"/>
        <w:rPr>
          <w:rFonts w:ascii="Arial" w:cs="Arial" w:eastAsia="Arial" w:hAnsi="Arial"/>
          <w:sz w:val="18"/>
          <w:szCs w:val="18"/>
          <w:b w:val="1"/>
          <w:bCs w:val="1"/>
          <w:i w:val="1"/>
          <w:iCs w:val="1"/>
          <w:color w:val="auto"/>
        </w:rPr>
      </w:pPr>
    </w:p>
    <w:p>
      <w:pPr>
        <w:ind w:left="660" w:right="360" w:hanging="328"/>
        <w:spacing w:after="0" w:line="268" w:lineRule="auto"/>
        <w:tabs>
          <w:tab w:leader="none" w:pos="669"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Unallocated corporate expenses </w:t>
      </w:r>
      <w:r>
        <w:rPr>
          <w:rFonts w:ascii="Arial" w:cs="Arial" w:eastAsia="Arial" w:hAnsi="Arial"/>
          <w:sz w:val="18"/>
          <w:szCs w:val="18"/>
          <w:color w:val="auto"/>
        </w:rPr>
        <w:t>increased $7.7 million, or 14.6%, primarily due to increases in compensation costs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support personnel and software and data hosting expenses. The increases in compensation costs for our support personnel was primarily driven</w:t>
      </w:r>
    </w:p>
    <w:p>
      <w:pPr>
        <w:sectPr>
          <w:pgSz w:w="11900" w:h="16838" w:orient="portrait"/>
          <w:cols w:equalWidth="0" w:num="1">
            <w:col w:w="11220"/>
          </w:cols>
          <w:pgMar w:left="320" w:top="121" w:right="359" w:bottom="891"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891"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by an increase in headcount, annual salary increases that went into effect in the first quarter of 2026, and an increase in share-based compensation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Interest expense, net of interest income increased $3.2 million to $8.9 million in the first quarter of 2026 from $5.6 million in the first quarter of 2025, which was primarily attributable to higher levels of borrowing under our senior secured credit facility during the first quarter of 2026 compared to the first quarter of 2025. See “Liquidity and Capital Resources” below and Note 8 “Financing Arrangements” within the notes to our consolidated financial statements for additional information about our senior secured credit facility.</w:t>
      </w:r>
    </w:p>
    <w:p>
      <w:pPr>
        <w:spacing w:after="0" w:line="12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Other expense, net totaled $0.6 million in the first quarter of 2026, compared to $5.6 million in the first quarter of 2025. In the first quarter of 2026, we recognized a $1.3 million loss for the market value of our investments that are used to fund our deferred compensation liability, which was partially offset by $0.3 million of foreign currency transaction gains and a $0.3 million gain related to the divestiture of a business within our Commercial segment. In the first quarter of 2025, we recognized a non-cash impairment loss of $4.2 million on our equity investment in a hospital-at-home company, a $1.1 million loss for the market value of our investments that are used to fund our deferred compensation liability, and $0.4 million of foreign currency transaction losses. The change in the market value of our investments that are used to fund our deferred compensation liability are offset with deferred compensation expense which is recognized as a component of selling, general and administrative expenses on our consolidated statements of operations.</w:t>
      </w:r>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See Note 10 “Derivative Instruments and Hedging Activity” within the notes to our consolidated financial statements for additional information on our foreign exchange forward contracts and Note 11 “Fair Value of Financial Instruments” within the notes to our consolidated financial statements for additional information on our equity investment.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For the three months ended March 31, 2026, our effective tax rate was 14.1% as we recognized income tax expense of $3.8 million on income of $27.1 million. The effective tax rate of 14.1% was more favorable than the statutory rate, inclusive of state income taxes, of 25.9%, primarily due to a discrete tax benefit for share-based compensation awards that vested during the quarter. This favorable item was partially offset by certain nondeductible expenses.</w:t>
      </w:r>
    </w:p>
    <w:p>
      <w:pPr>
        <w:spacing w:after="0" w:line="190" w:lineRule="exact"/>
        <w:rPr>
          <w:sz w:val="20"/>
          <w:szCs w:val="20"/>
          <w:color w:val="auto"/>
        </w:rPr>
      </w:pPr>
    </w:p>
    <w:p>
      <w:pPr>
        <w:ind w:right="500"/>
        <w:spacing w:after="0" w:line="245" w:lineRule="auto"/>
        <w:rPr>
          <w:sz w:val="20"/>
          <w:szCs w:val="20"/>
          <w:color w:val="auto"/>
        </w:rPr>
      </w:pPr>
      <w:r>
        <w:rPr>
          <w:rFonts w:ascii="Arial" w:cs="Arial" w:eastAsia="Arial" w:hAnsi="Arial"/>
          <w:sz w:val="18"/>
          <w:szCs w:val="18"/>
          <w:color w:val="auto"/>
        </w:rPr>
        <w:t>For the three months ended March 31, 2025, our effective tax rate was (14.4)% as we recognized income tax benefit of $3.1 million on income of $21.5 million. The effective tax rate of (14.4)% was more favorable than the statutory rate, inclusive of state income taxes, of</w:t>
      </w:r>
    </w:p>
    <w:p>
      <w:pPr>
        <w:ind w:right="180"/>
        <w:spacing w:after="0" w:line="250" w:lineRule="auto"/>
        <w:rPr>
          <w:sz w:val="20"/>
          <w:szCs w:val="20"/>
          <w:color w:val="auto"/>
        </w:rPr>
      </w:pPr>
      <w:r>
        <w:rPr>
          <w:rFonts w:ascii="Arial" w:cs="Arial" w:eastAsia="Arial" w:hAnsi="Arial"/>
          <w:sz w:val="18"/>
          <w:szCs w:val="18"/>
          <w:color w:val="auto"/>
        </w:rPr>
        <w:t>25.9%, primarily due to a discrete tax benefit for share-based compensation awards that vested during the quarter. This favorable item was partially offset by certain nondeductible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income decreased $1.3 million, or 5.3%, to $23.2 million for the three months ended March 31, 2026 from $ 24.5 million for the same period last year. Net income for the first quarter of 2026 includes $3.8 million of income tax expense, compared to an income tax benefit of $3.1 million recorded for the first quarter of 2025. As a result of a reduction in diluted shares outstanding resulting from share repurchases made under our share repurchase plan, partially offset by the decrease in net income, diluted earnings per share for the first quarter of 2026 increased to $1.34 from $1.33 for the first quarter of 2025. The income tax expense in the first quarter of 2026 had an unfavorable $0.22 impact on diluted earnings per share, while the income tax benefit in the first quarter of 2025 had a favorable $0.17 impact on diluted earnings per share.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EBITDA increased $11.7 million, or 34.1%, to $45.9 million for the first quarter of 2026 from $34.2 million for the first quarter of 2025. The increase in EBITDA was primarily attributable to the increase in segment operating income for all three of our segments, excluding segment depreciation and amortization and the absence of the prior year $ 4.2 million non -cash impairment loss related to our equity investment in a hospital-at-home company recognized in the first quarter of 2025; partially offset by the increase in unallocated corporate expenses, excluding the impact of the change in the market value of our deferred compensation liability, and the $3.8 million of remeasurement losses to increase the fair value of our contingent consideration liabilities related to business combinations recognized in the first quarter of 2026.</w:t>
      </w:r>
    </w:p>
    <w:p>
      <w:pPr>
        <w:spacing w:after="0" w:line="12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increased $9.1 million, or 21.9%, to $50.6 million in the first quarter of 2026 from $41.5 million in the first quarter of 2025. The increase in adjusted EBITDA was primarily attributable to the increase in segment operating income for all three of our segments, excluding segment depreciation and amortization and segment restructuring charges; partially offset by the increase in unallocated corporate expenses, excluding the impact of the change in the market value of our deferred compensation liability and transaction-related expenses.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and Adjusted Earnings per Share</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Adjusted net income decreased $1.1 million, or 3.4%, to $30.0 million in the first quarter of 2026, compared to $31.1 million in the first quarter of 2025. As a result of a reduction in diluted shares outstanding resulting from share repurchases made under our share repurchase plan, partially offset by the decrease in adjusted net income, adjusted diluted earnings per share increased to $1.73 for the first quarter of 2026 compared to $1.68 for the first quarter of 2025.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Cash and cash equivalents were $26.5 million and $24.5 million at March 31, 2026 and December 31, 2025, respectively. As of March 31, 2026, our primary sources of liquidity are cash on hand, cash flows from our U.S. operations, and borrowing capacity available under our credit facility.</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r>
      <w:tr>
        <w:trPr>
          <w:trHeight w:val="243"/>
        </w:trPr>
        <w:tc>
          <w:tcPr>
            <w:tcW w:w="8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40" w:type="dxa"/>
            <w:vAlign w:val="bottom"/>
            <w:tcBorders>
              <w:bottom w:val="single" w:sz="8" w:color="auto"/>
            </w:tcBorders>
          </w:tcPr>
          <w:p>
            <w:pPr>
              <w:spacing w:after="0"/>
              <w:rPr>
                <w:sz w:val="21"/>
                <w:szCs w:val="21"/>
                <w:color w:val="auto"/>
              </w:rPr>
            </w:pPr>
          </w:p>
        </w:tc>
      </w:tr>
      <w:tr>
        <w:trPr>
          <w:trHeight w:val="223"/>
        </w:trPr>
        <w:tc>
          <w:tcPr>
            <w:tcW w:w="8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(in thousands):</w:t>
            </w:r>
          </w:p>
        </w:tc>
        <w:tc>
          <w:tcPr>
            <w:tcW w:w="2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2025</w:t>
            </w:r>
          </w:p>
        </w:tc>
      </w:tr>
      <w:tr>
        <w:trPr>
          <w:trHeight w:val="223"/>
        </w:trPr>
        <w:tc>
          <w:tcPr>
            <w:tcW w:w="85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(162,168)</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(106,827)</w:t>
            </w:r>
          </w:p>
        </w:tc>
      </w:tr>
      <w:tr>
        <w:trPr>
          <w:trHeight w:val="229"/>
        </w:trPr>
        <w:tc>
          <w:tcPr>
            <w:tcW w:w="8620" w:type="dxa"/>
            <w:vAlign w:val="bottom"/>
            <w:gridSpan w:val="2"/>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(15,287)</w:t>
            </w:r>
          </w:p>
        </w:tc>
      </w:tr>
      <w:tr>
        <w:trPr>
          <w:trHeight w:val="230"/>
        </w:trPr>
        <w:tc>
          <w:tcPr>
            <w:tcW w:w="8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123,562</w:t>
            </w:r>
          </w:p>
        </w:tc>
      </w:tr>
      <w:tr>
        <w:trPr>
          <w:trHeight w:val="229"/>
        </w:trPr>
        <w:tc>
          <w:tcPr>
            <w:tcW w:w="8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used in operating activities increased by $ 55.3 million to $ 162.2 million for the three months ended March 31, 2026 from $106.8 million for the three months ended March 31, 2025. The increase in net cash used in operating activities was primarily related to increases in payments for salaries and related expenses for our revenue-generating professionals, the amount paid for annual performance bonuses in the first quarter of 2026 compared to the first quarter of 2025, and selling, general and administrative expenses; partially offset by an increase in cash collections in the first three months of 2026 compared to the first three months of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an equity investment in a hospital-at-home company, and investments in life insurance policies that are used to fund our deferred compensation liability.</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cash used in investing activities for the three months ended March 31, 2026 was $7.8 million, which primarily consisted of $ 6.2 million for payments related to internally developed software to advance our Education and Healthcare software products and $5.7 million for purchases of property and equipment, primarily related to purchases of computers and related equipment and leasehold improvements for certain office spaces. These uses of cash for investing activities were partially offset by $2.3 million of cash received to settle an outstanding promissory note from the 2024 divestiture of our Studer Education practice and $1.5 million of cash received related to our acquisitions completed in 2025.</w:t>
      </w:r>
    </w:p>
    <w:p>
      <w:pPr>
        <w:spacing w:after="0" w:line="12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Net cash used in investing activities for the three months ended March 31, 2025 was $15.3 million, which primarily consisted of $6.7 million for payments related to internally developed software to advance our Healthcare and Education software products; $5.2 million for the purchases of businesses; $1.9 million for purchases of property and equipment, primarily related to purchases of computers and related equipment and leasehold improvements for certain office spaces; and $1.7 million for contributions to our life insurance policies.</w:t>
      </w:r>
    </w:p>
    <w:p>
      <w:pPr>
        <w:spacing w:after="0" w:line="20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estimate that cash utilized for purchases of property and equipment and software development in 2026 will total approximately $30.0 million to $40.0 million; primarily consisting of software development costs, information technology-related equipment to support our corporate infrastructure, and leasehold improvements and furniture and fixtures for certain office spaces.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1"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for the three months ended March 31, 2026 was $172.0 million. The net borrowings of</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$345.0 million during the first three months of 2026 were primarily used to fund our operations, including our annual performance bonus payments in the first quarter of 2026. Additionally, during the first three months of 2026, we paid $153.1 million for the settlement of share repurchases and we reacquired $20.5 million of common stock as a result of tax withholdings upon vesting of share-based compensation. These uses of cash for financing activities were partially offset by $0.7 million of cash received from stock option exercises in the first three months of 2026.</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financing activities for the three months ended March 31, 2025 was $123.6 million. The net borrowings of</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$218.6 million during the first three months of 2025 were primarily used to fund our operations, including our annual performance bonus payments in the first quarter of 2025. Additionally, during the first three months of 2025, we paid $65.3 million for the settlement of share repurchases and we reacquired $32.2 million of common stock as a result of tax withholdings upon vesting of share-based compensation. These uses of cash for financing activities were partially offset by $2.5 million of cash received from stock option exercises in the first three months of 2025.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6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of which $144.6 million remains available as of March 31, 2026.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2026, we had $856.0 million outstanding under our senior secured credit agreement, as discussed below.</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has a $700 million Revolver and a $400 million Term Loan, subject to the terms of the Fourth Amended and Restated Credit Agreement dated as of July 30, 2025 (the “Amended Credit Agreement”), both of which mature on July 30, 2030. The Term Loan is subject to scheduled quarterly amortization payments of $5.0 million which began September 30, 2025 and continue through the maturity date of July 30, 2030, at which time the outstanding principal balance and all accrued interest will be due.</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Fees and interest on borrowings under the Amended Credit Agreement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spacing w:after="0" w:line="1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spacing w:after="0" w:line="12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w:t>
      </w:r>
    </w:p>
    <w:p>
      <w:pPr>
        <w:spacing w:after="0" w:line="2" w:lineRule="exact"/>
        <w:rPr>
          <w:sz w:val="20"/>
          <w:szCs w:val="20"/>
          <w:color w:val="auto"/>
        </w:rPr>
      </w:pPr>
    </w:p>
    <w:p>
      <w:pPr>
        <w:ind w:right="40" w:firstLine="8"/>
        <w:spacing w:after="0" w:line="252" w:lineRule="auto"/>
        <w:tabs>
          <w:tab w:leader="none" w:pos="2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2026 and December 31, 2025, we were in compliance with these financial covenants. Our Consolidated Leverage Ratio as of March 31, 2026 was 3.14 to 1.00, compared to 1.93 to 1.00 as of December 31, 2025. Our Consolidated Interest Coverage Ratio as of March 31, 2026 was 7.57 to 1.00, compared to 8.12 to 1.00 as of December 31, 2025.</w:t>
      </w:r>
    </w:p>
    <w:p>
      <w:pPr>
        <w:spacing w:after="0" w:line="131" w:lineRule="exact"/>
        <w:rPr>
          <w:sz w:val="20"/>
          <w:szCs w:val="20"/>
          <w:color w:val="auto"/>
        </w:rPr>
      </w:pPr>
    </w:p>
    <w:p>
      <w:pPr>
        <w:jc w:val="both"/>
        <w:ind w:right="220"/>
        <w:spacing w:after="0" w:line="291" w:lineRule="auto"/>
        <w:rPr>
          <w:sz w:val="20"/>
          <w:szCs w:val="20"/>
          <w:color w:val="auto"/>
        </w:rPr>
      </w:pPr>
      <w:r>
        <w:rPr>
          <w:rFonts w:ascii="Arial" w:cs="Arial" w:eastAsia="Arial" w:hAnsi="Arial"/>
          <w:sz w:val="17"/>
          <w:szCs w:val="17"/>
          <w:color w:val="auto"/>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sectPr>
          <w:pgSz w:w="11900" w:h="16838" w:orient="portrait"/>
          <w:cols w:equalWidth="0" w:num="1">
            <w:col w:w="11240"/>
          </w:cols>
          <w:pgMar w:left="320" w:top="122" w:right="339" w:bottom="621"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621"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Borrowings outstanding under the Amended Credit Agreement at March 31, 2026 totaled $856.0 million, consisting of $471.0 million outstanding under the Revolver and $385.0 million outstanding under the Term Loan. Borrowings outstanding under the Amended Credit Agreement at December 31, 2025 totaled $511.0 million, consisting of $ 121.0 million outstanding under the Revolver and $264.7 million outstanding under the Term Loan. These borrowings carried a weighted average interest rate of 5.2% at March 31, 2026 and 5.3% at December 31, 2025, including the impact of the interest rate swaps described in Note 10 “Derivative Instruments and Hedging Activity” within the notes to the consolidated financial statements.</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borrowing capacity under the Revolver is reduced by any outstanding borrowings under the Revolver and outstanding letters of credit. At March 31, 2026, we had outstanding letters of credit totaling $0.4 million, which are used as security deposits for our office facilities. As of March 31, 2026, the unused borrowing capacity under the Revolver was $228.6 million.</w:t>
      </w:r>
    </w:p>
    <w:p>
      <w:pPr>
        <w:spacing w:after="0" w:line="117"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Refer to Note 8 “Financing Arrangements” within the notes to the consolidated financial statements for additional information on the Amended Credit Agreement.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Financing Needs</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primary financing need is to fund our long-term growth. Our growth strategy is to expand our service offerings, which may require investments in new hires, acquisitions of complementary businesses, possible expansion into other geographic areas, and related capital expenditures.</w:t>
      </w:r>
    </w:p>
    <w:p>
      <w:pPr>
        <w:spacing w:after="0" w:line="1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2025. There have been no material changes to our critical accounting policies during the three months ended March 31, 2026.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See Note 3 “New Accounting Pronouncements” within the notes to the consolidated financial statements for information on new accounting pronouncements.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exposure to changes in interest rates associated with borrowings under our senior secured credit facility. At our option, these borrowings bear interest at one, three or six month Term SOFR or an alternate base rate, in each case plus the applicable margin. At March 31, 2026, we had borrowings outstanding under our senior secured credit facility totaling $856.0 million that carried a weighted average interest rate of 5.2%, including the impact of the interest rate swaps described below. A hypothetical 100 basis point change in the interest rate would have a $6.1 million effect on our pretax income on an annualized basis, including the effect of the interest rate swaps.</w:t>
      </w:r>
    </w:p>
    <w:p>
      <w:pPr>
        <w:spacing w:after="0" w:line="3" w:lineRule="exact"/>
        <w:rPr>
          <w:sz w:val="20"/>
          <w:szCs w:val="20"/>
          <w:color w:val="auto"/>
        </w:rPr>
      </w:pPr>
    </w:p>
    <w:p>
      <w:pPr>
        <w:ind w:right="20"/>
        <w:spacing w:after="0" w:line="280" w:lineRule="auto"/>
        <w:rPr>
          <w:sz w:val="20"/>
          <w:szCs w:val="20"/>
          <w:color w:val="auto"/>
        </w:rPr>
      </w:pPr>
      <w:r>
        <w:rPr>
          <w:rFonts w:ascii="Arial" w:cs="Arial" w:eastAsia="Arial" w:hAnsi="Arial"/>
          <w:sz w:val="17"/>
          <w:szCs w:val="17"/>
          <w:color w:val="auto"/>
        </w:rPr>
        <w:t>At December 31, 2025, we had borrowings outstanding under our senior secured credit facility totaling $511.0 million that carried a weighted average interest rate of 5.3% including the impact of the interest rate swaps described below. A hypothetical 100 basis point change in the interest rate would have had a $2.6 million effect on our pretax income on an annualized basis, including the effect of the interest rate swaps.</w:t>
      </w:r>
    </w:p>
    <w:p>
      <w:pPr>
        <w:spacing w:after="0" w:line="1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March 31, 2026 and December 31, 2025, the aggregate notional amount of our forward interest rate swap agreements was $250.0 million. The outstanding interest rate swap agreements as of March 31, 2026 are scheduled to mature on a staggered basis through February 28, 2030.</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Indian Rupee Forward Contracts: </w:t>
      </w:r>
      <w:r>
        <w:rPr>
          <w:rFonts w:ascii="Arial" w:cs="Arial" w:eastAsia="Arial" w:hAnsi="Arial"/>
          <w:sz w:val="18"/>
          <w:szCs w:val="18"/>
          <w:color w:val="auto"/>
        </w:rPr>
        <w:t>As of March 31, 2026 and December 31, 2025, the aggregate notional amounts of these contracts were</w:t>
      </w:r>
      <w:r>
        <w:rPr>
          <w:rFonts w:ascii="Arial" w:cs="Arial" w:eastAsia="Arial" w:hAnsi="Arial"/>
          <w:sz w:val="18"/>
          <w:szCs w:val="18"/>
          <w:i w:val="1"/>
          <w:iCs w:val="1"/>
          <w:color w:val="auto"/>
        </w:rPr>
        <w:t xml:space="preserve"> </w:t>
      </w:r>
      <w:r>
        <w:rPr>
          <w:rFonts w:ascii="Arial" w:cs="Arial" w:eastAsia="Arial" w:hAnsi="Arial"/>
          <w:sz w:val="18"/>
          <w:szCs w:val="18"/>
          <w:color w:val="auto"/>
        </w:rPr>
        <w:t>Indian Rupee (INR) 0.94 billion, or $10.0 million, and Indian Rupee (INR) 1.47 billion, or $16.3 million, respectively, based on the exchange rates in effect as of each period end. The outstanding Indian Rupee forward contracts as of March 31, 2026 are scheduled to mature monthly through December 31, 2026.</w:t>
      </w:r>
    </w:p>
    <w:p>
      <w:pPr>
        <w:spacing w:after="0" w:line="12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i w:val="1"/>
          <w:iCs w:val="1"/>
          <w:color w:val="auto"/>
        </w:rPr>
        <w:t xml:space="preserve">Canadian Dollar Forward Contracts: </w:t>
      </w:r>
      <w:r>
        <w:rPr>
          <w:rFonts w:ascii="Arial" w:cs="Arial" w:eastAsia="Arial" w:hAnsi="Arial"/>
          <w:sz w:val="18"/>
          <w:szCs w:val="18"/>
          <w:color w:val="auto"/>
        </w:rPr>
        <w:t>As of March 31, 2026 and December 31, 2025, the notional amount of our outstanding Canadian Dollar</w:t>
      </w:r>
      <w:r>
        <w:rPr>
          <w:rFonts w:ascii="Arial" w:cs="Arial" w:eastAsia="Arial" w:hAnsi="Arial"/>
          <w:sz w:val="18"/>
          <w:szCs w:val="18"/>
          <w:i w:val="1"/>
          <w:iCs w:val="1"/>
          <w:color w:val="auto"/>
        </w:rPr>
        <w:t xml:space="preserve"> </w:t>
      </w:r>
      <w:r>
        <w:rPr>
          <w:rFonts w:ascii="Arial" w:cs="Arial" w:eastAsia="Arial" w:hAnsi="Arial"/>
          <w:sz w:val="18"/>
          <w:szCs w:val="18"/>
          <w:color w:val="auto"/>
        </w:rPr>
        <w:t>forward contracts was $20.0 million and $25.0 million, respectively. The outstanding Canadian Dollar forward contract as of March 31, 2026 is scheduled to settle on June 30, 2026.</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derivative instruments as of March 31, 2026 and December 31, 2025.</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To the extent any decrease in fair value is the result of a credit impairment - calculated as the difference between the present value of expected cash flows to be generated from the investment and the cost basis, limited to the difference between the fair value and cost basis - such credit impairment charge is recorded to other income (expense), net in our consolidated statement of operations. As of both March 31, 2026 and December 31, 2025, the fair value of the investment was $34.1 million with a total cost basis of $40.9 million. The fair value of $34.1 million includes a $10.4 million allowance for credit losses.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We have an equity investment in a privately-held hospital-at-home company, which we account for as equity securities without a readily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determinable fair value using the measurement alternative. As such, the investment is carried at cost minus impairment, plus or minus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resulting from observable price changes in orderly transactions for the identical or similar investment. As of both March 31, 2026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December 31, 2025, the carrying value of the investment was $2.4 million, with a total cost basis of $5.0 million. In the first quarter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2025, we recognized a non-cash impairment charge of $4.2 million on our investment based on the valuation anticipated from the hospital-at-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home company's merger with a third-party. Upon the completion of the merger in the second quarter of 2025, we recognized an additional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$0.8 million non-cash impairment charge based on the final valuation utilized in the merger. The non-cash impairment charges were recorded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 other income (expense), net in our consolidated statement of operations.</w:t>
      </w:r>
    </w:p>
    <w:p>
      <w:pPr>
        <w:sectPr>
          <w:pgSz w:w="11900" w:h="16838" w:orient="portrait"/>
          <w:cols w:equalWidth="0" w:num="1">
            <w:col w:w="11220"/>
          </w:cols>
          <w:pgMar w:left="320" w:top="122" w:right="359" w:bottom="1013"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013"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Refer to Note 11 “Fair Value of Financial Instruments” within the notes to our consolidated financial statements for additional information on these investments.</w:t>
      </w:r>
    </w:p>
    <w:p>
      <w:pPr>
        <w:spacing w:after="0" w:line="9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10 “Derivative Instruments and Hedging Activity” within the notes to our consolidated financial statements for additional information on our derivative instruments.</w:t>
      </w:r>
    </w:p>
    <w:p>
      <w:pPr>
        <w:spacing w:after="0" w:line="1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2026. Based on this evaluation, our Chief Executive Officer and Chief Financial Officer have concluded that, as of March 31, 2026,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March 31, 2026 that has materially affected, or is reasonably likely to materially affect, our internal control over financial reporting.</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II—OTHER INFORMATION</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6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pacing w:after="0" w:line="16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See Part 1, Item 1A, “Risk Factors” in our Annual Report on Form 10-K for the fiscal year ended December 31, 2025 (the “2025 Form 10-K”), which was filed with the Securities and Exchange Commission on February 24, 2026, for a complete description of the material risks we face. There have been no material changes to the Company’s risk factors since the 2025 Form 10-K.</w:t>
      </w:r>
    </w:p>
    <w:p>
      <w:pPr>
        <w:spacing w:after="0" w:line="157"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6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Our Stock Ownership Participation Program and 2012 Omnibus Incentive Plan permit the netting of common stock upon vesting of restricted stock awards to satisfy individual tax withholding requirements. During the quarter ended March 31, 2026, we reacquired 142,975 shares of common stock with a weighted average fair market value of $143.59 as a result of such tax withholdings.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2020, our board of directors authorized a share repurchase program permitting us to repurchase up to $50 million of our common stock through December 31, 2021. The share repurchase program has been subsequently extended and increased, most recently in the first quarter of 2026. The current authorization extends the share repurchase program through December 31, 2026 with a repurchase amount of $900 million, of which $144.6 million remains available as of March 31, 2026.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Dollar Value of Shares</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Total 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9"/>
              </w:rPr>
              <w:t>Average Price</w:t>
            </w:r>
          </w:p>
        </w:tc>
        <w:tc>
          <w:tcPr>
            <w:tcW w:w="18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as Part of Publicly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that may yet be</w:t>
            </w:r>
          </w:p>
        </w:tc>
        <w:tc>
          <w:tcPr>
            <w:tcW w:w="0" w:type="dxa"/>
            <w:vAlign w:val="bottom"/>
          </w:tcPr>
          <w:p>
            <w:pPr>
              <w:spacing w:after="0"/>
              <w:rPr>
                <w:sz w:val="1"/>
                <w:szCs w:val="1"/>
                <w:color w:val="auto"/>
              </w:rPr>
            </w:pPr>
          </w:p>
        </w:tc>
      </w:tr>
      <w:tr>
        <w:trPr>
          <w:trHeight w:val="189"/>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5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Announced Plans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Purchased under the</w:t>
            </w:r>
          </w:p>
        </w:tc>
        <w:tc>
          <w:tcPr>
            <w:tcW w:w="0" w:type="dxa"/>
            <w:vAlign w:val="bottom"/>
          </w:tcPr>
          <w:p>
            <w:pPr>
              <w:spacing w:after="0"/>
              <w:rPr>
                <w:sz w:val="1"/>
                <w:szCs w:val="1"/>
                <w:color w:val="auto"/>
              </w:rPr>
            </w:pPr>
          </w:p>
        </w:tc>
      </w:tr>
      <w:tr>
        <w:trPr>
          <w:trHeight w:val="230"/>
        </w:trPr>
        <w:tc>
          <w:tcPr>
            <w:tcW w:w="3740" w:type="dxa"/>
            <w:vAlign w:val="bottom"/>
            <w:gridSpan w:val="2"/>
            <w:vMerge w:val="continue"/>
          </w:tcPr>
          <w:p>
            <w:pPr>
              <w:spacing w:after="0"/>
              <w:rPr>
                <w:sz w:val="19"/>
                <w:szCs w:val="19"/>
                <w:color w:val="auto"/>
              </w:rPr>
            </w:pPr>
          </w:p>
        </w:tc>
        <w:tc>
          <w:tcPr>
            <w:tcW w:w="154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Paid per Share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8"/>
              </w:rPr>
              <w:t>or Programs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jc w:val="center"/>
              <w:ind w:right="70"/>
              <w:spacing w:after="0" w:line="230" w:lineRule="exact"/>
              <w:rPr>
                <w:sz w:val="20"/>
                <w:szCs w:val="20"/>
                <w:color w:val="auto"/>
              </w:rPr>
            </w:pPr>
            <w:r>
              <w:rPr>
                <w:rFonts w:ascii="Arial" w:cs="Arial" w:eastAsia="Arial" w:hAnsi="Arial"/>
                <w:sz w:val="18"/>
                <w:szCs w:val="18"/>
                <w:b w:val="1"/>
                <w:bCs w:val="1"/>
                <w:color w:val="auto"/>
                <w:w w:val="97"/>
              </w:rPr>
              <w:t xml:space="preserve">Plans or Programs </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2026 - January 31, 2026</w:t>
            </w:r>
          </w:p>
        </w:tc>
        <w:tc>
          <w:tcPr>
            <w:tcW w:w="12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169.63</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92,382,439</w:t>
            </w:r>
          </w:p>
        </w:tc>
        <w:tc>
          <w:tcPr>
            <w:tcW w:w="0" w:type="dxa"/>
            <w:vAlign w:val="bottom"/>
          </w:tcPr>
          <w:p>
            <w:pPr>
              <w:spacing w:after="0"/>
              <w:rPr>
                <w:sz w:val="1"/>
                <w:szCs w:val="1"/>
                <w:color w:val="auto"/>
              </w:rPr>
            </w:pPr>
          </w:p>
        </w:tc>
      </w:tr>
      <w:tr>
        <w:trPr>
          <w:trHeight w:val="23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February 1, 2026 - February 28, 2026</w:t>
            </w:r>
          </w:p>
        </w:tc>
        <w:tc>
          <w:tcPr>
            <w:tcW w:w="1540" w:type="dxa"/>
            <w:vAlign w:val="bottom"/>
          </w:tcPr>
          <w:p>
            <w:pPr>
              <w:jc w:val="right"/>
              <w:spacing w:after="0"/>
              <w:rPr>
                <w:sz w:val="20"/>
                <w:szCs w:val="20"/>
                <w:color w:val="auto"/>
              </w:rPr>
            </w:pPr>
            <w:r>
              <w:rPr>
                <w:rFonts w:ascii="Arial" w:cs="Arial" w:eastAsia="Arial" w:hAnsi="Arial"/>
                <w:sz w:val="18"/>
                <w:szCs w:val="18"/>
                <w:color w:val="auto"/>
              </w:rPr>
              <w:t>707,188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706,002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195,213,783</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2026 - March 31, 2026</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144,564,261</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1,257,781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139.05</w:t>
            </w:r>
          </w:p>
        </w:tc>
        <w:tc>
          <w:tcPr>
            <w:tcW w:w="10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1,114,806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980" w:hanging="972"/>
        <w:spacing w:after="0" w:line="268" w:lineRule="auto"/>
        <w:tabs>
          <w:tab w:leader="none" w:pos="10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shares repurchased included 8,772 shares in January 2026, 1,186 shares in February 2026, and 133,017 shares in March 2026 to satisfy employee tax withholding requirements. These shares do not reduce the repurchase authority under the share repurchase program.</w:t>
      </w:r>
    </w:p>
    <w:p>
      <w:pPr>
        <w:spacing w:after="0" w:line="8" w:lineRule="exact"/>
        <w:rPr>
          <w:rFonts w:ascii="Arial" w:cs="Arial" w:eastAsia="Arial" w:hAnsi="Arial"/>
          <w:sz w:val="18"/>
          <w:szCs w:val="18"/>
          <w:color w:val="auto"/>
        </w:rPr>
      </w:pPr>
    </w:p>
    <w:p>
      <w:pPr>
        <w:ind w:left="1020" w:hanging="1012"/>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Trading Plans of Directors and Executive Officers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first quarter of 2026, none of our officers or directors adopted, modified, or terminated contracts, instructions or written plans for the sale or purchase of our securities intended to satisfy the affirmative defense condition of Rule 10b5-1(c) or adopted, modified or terminated a non-Rule 10b5-1 trading arrangement (as defined in Item 408(c) of Regulation S-K).</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exhibits are filed as part of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4700" w:type="dxa"/>
            <w:vAlign w:val="bottom"/>
            <w:gridSpan w:val="13"/>
            <w:vMerge w:val="restart"/>
          </w:tcPr>
          <w:p>
            <w:pPr>
              <w:ind w:left="1620"/>
              <w:spacing w:after="0"/>
              <w:rPr>
                <w:sz w:val="20"/>
                <w:szCs w:val="20"/>
                <w:color w:val="auto"/>
              </w:rPr>
            </w:pPr>
            <w:r>
              <w:rPr>
                <w:rFonts w:ascii="Arial" w:cs="Arial" w:eastAsia="Arial" w:hAnsi="Arial"/>
                <w:sz w:val="14"/>
                <w:szCs w:val="14"/>
                <w:b w:val="1"/>
                <w:bCs w:val="1"/>
                <w:color w:val="auto"/>
              </w:rPr>
              <w:t>Exhibit Description</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Filed</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Furnished</w:t>
            </w:r>
          </w:p>
        </w:tc>
        <w:tc>
          <w:tcPr>
            <w:tcW w:w="8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2"/>
                <w:szCs w:val="12"/>
                <w:color w:val="auto"/>
              </w:rPr>
            </w:pPr>
          </w:p>
        </w:tc>
        <w:tc>
          <w:tcPr>
            <w:tcW w:w="7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Period</w:t>
            </w: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2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Filing</w:t>
            </w:r>
          </w:p>
        </w:tc>
        <w:tc>
          <w:tcPr>
            <w:tcW w:w="0" w:type="dxa"/>
            <w:vAlign w:val="bottom"/>
          </w:tcPr>
          <w:p>
            <w:pPr>
              <w:spacing w:after="0"/>
              <w:rPr>
                <w:sz w:val="1"/>
                <w:szCs w:val="1"/>
                <w:color w:val="auto"/>
              </w:rPr>
            </w:pPr>
          </w:p>
        </w:tc>
      </w:tr>
      <w:tr>
        <w:trPr>
          <w:trHeight w:val="185"/>
        </w:trPr>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4700" w:type="dxa"/>
            <w:vAlign w:val="bottom"/>
            <w:gridSpan w:val="1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herewith</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herewith</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Ending</w:t>
            </w:r>
          </w:p>
        </w:tc>
        <w:tc>
          <w:tcPr>
            <w:tcW w:w="1180" w:type="dxa"/>
            <w:vAlign w:val="bottom"/>
            <w:gridSpan w:val="3"/>
            <w:vMerge w:val="continue"/>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69"/>
        </w:trPr>
        <w:tc>
          <w:tcPr>
            <w:tcW w:w="8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580" w:type="dxa"/>
            <w:vAlign w:val="bottom"/>
            <w:tcBorders>
              <w:top w:val="single" w:sz="8" w:color="auto"/>
            </w:tcBorders>
            <w:gridSpan w:val="12"/>
          </w:tcPr>
          <w:p>
            <w:pPr>
              <w:spacing w:after="0" w:line="169" w:lineRule="exact"/>
              <w:rPr>
                <w:sz w:val="20"/>
                <w:szCs w:val="20"/>
                <w:color w:val="auto"/>
              </w:rPr>
            </w:pPr>
            <w:r>
              <w:rPr>
                <w:rFonts w:ascii="Arial" w:cs="Arial" w:eastAsia="Arial" w:hAnsi="Arial"/>
                <w:sz w:val="16"/>
                <w:szCs w:val="16"/>
                <w:color w:val="0000FF"/>
              </w:rPr>
              <w:t>Amendment to Senior Management Agreement by and</w:t>
            </w:r>
          </w:p>
        </w:tc>
        <w:tc>
          <w:tcPr>
            <w:tcW w:w="120" w:type="dxa"/>
            <w:vAlign w:val="bottom"/>
          </w:tcPr>
          <w:p>
            <w:pPr>
              <w:spacing w:after="0"/>
              <w:rPr>
                <w:sz w:val="14"/>
                <w:szCs w:val="14"/>
                <w:color w:val="auto"/>
              </w:rPr>
            </w:pPr>
          </w:p>
        </w:tc>
        <w:tc>
          <w:tcPr>
            <w:tcW w:w="7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6"/>
                <w:szCs w:val="16"/>
                <w:color w:val="auto"/>
                <w:w w:val="93"/>
              </w:rPr>
              <w:t>X</w:t>
            </w: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gridSpan w:val="13"/>
          </w:tcPr>
          <w:p>
            <w:pPr>
              <w:spacing w:after="0" w:line="142" w:lineRule="exact"/>
              <w:rPr>
                <w:sz w:val="20"/>
                <w:szCs w:val="20"/>
                <w:color w:val="auto"/>
              </w:rPr>
            </w:pPr>
            <w:r>
              <w:rPr>
                <w:rFonts w:ascii="Arial" w:cs="Arial" w:eastAsia="Arial" w:hAnsi="Arial"/>
                <w:sz w:val="16"/>
                <w:szCs w:val="16"/>
                <w:color w:val="0000FF"/>
              </w:rPr>
              <w:t>between Huron Consulting Group Inc. and James H. Roth.</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ind w:left="20"/>
              <w:spacing w:after="0" w:line="196" w:lineRule="exact"/>
              <w:rPr>
                <w:sz w:val="20"/>
                <w:szCs w:val="20"/>
                <w:color w:val="auto"/>
              </w:rPr>
            </w:pPr>
            <w:r>
              <w:rPr>
                <w:rFonts w:ascii="Arial" w:cs="Arial" w:eastAsia="Arial" w:hAnsi="Arial"/>
                <w:sz w:val="16"/>
                <w:szCs w:val="16"/>
                <w:color w:val="auto"/>
              </w:rPr>
              <w:t>10.2</w:t>
            </w:r>
            <w:r>
              <w:rPr>
                <w:rFonts w:ascii="Arial" w:cs="Arial" w:eastAsia="Arial" w:hAnsi="Arial"/>
                <w:sz w:val="21"/>
                <w:szCs w:val="21"/>
                <w:color w:val="auto"/>
                <w:vertAlign w:val="superscript"/>
              </w:rPr>
              <w:t>†</w:t>
            </w:r>
          </w:p>
        </w:tc>
        <w:tc>
          <w:tcPr>
            <w:tcW w:w="20" w:type="dxa"/>
            <w:vAlign w:val="bottom"/>
          </w:tcPr>
          <w:p>
            <w:pPr>
              <w:spacing w:after="0"/>
              <w:rPr>
                <w:sz w:val="17"/>
                <w:szCs w:val="17"/>
                <w:color w:val="auto"/>
              </w:rPr>
            </w:pPr>
          </w:p>
        </w:tc>
        <w:tc>
          <w:tcPr>
            <w:tcW w:w="4180" w:type="dxa"/>
            <w:vAlign w:val="bottom"/>
            <w:tcBorders>
              <w:top w:val="single" w:sz="8" w:color="0000FF"/>
            </w:tcBorders>
            <w:gridSpan w:val="6"/>
          </w:tcPr>
          <w:p>
            <w:pPr>
              <w:spacing w:after="0"/>
              <w:rPr>
                <w:sz w:val="20"/>
                <w:szCs w:val="20"/>
                <w:color w:val="auto"/>
              </w:rPr>
            </w:pPr>
            <w:r>
              <w:rPr>
                <w:rFonts w:ascii="Arial" w:cs="Arial" w:eastAsia="Arial" w:hAnsi="Arial"/>
                <w:sz w:val="16"/>
                <w:szCs w:val="16"/>
                <w:color w:val="0000FF"/>
              </w:rPr>
              <w:t>Seventh Amendment to Lease by and between Huron</w:t>
            </w:r>
          </w:p>
        </w:tc>
        <w:tc>
          <w:tcPr>
            <w:tcW w:w="520" w:type="dxa"/>
            <w:vAlign w:val="bottom"/>
            <w:gridSpan w:val="7"/>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0000FF"/>
            </w:tcBorders>
            <w:gridSpan w:val="3"/>
          </w:tcPr>
          <w:p>
            <w:pPr>
              <w:spacing w:after="0" w:line="142" w:lineRule="exact"/>
              <w:rPr>
                <w:sz w:val="20"/>
                <w:szCs w:val="20"/>
                <w:color w:val="auto"/>
              </w:rPr>
            </w:pPr>
            <w:r>
              <w:rPr>
                <w:rFonts w:ascii="Arial" w:cs="Arial" w:eastAsia="Arial" w:hAnsi="Arial"/>
                <w:sz w:val="16"/>
                <w:szCs w:val="16"/>
                <w:color w:val="0000FF"/>
              </w:rPr>
              <w:t>Consulting Services LLC and Onni Van Buren Chicago</w:t>
            </w:r>
          </w:p>
        </w:tc>
        <w:tc>
          <w:tcPr>
            <w:tcW w:w="780" w:type="dxa"/>
            <w:vAlign w:val="bottom"/>
            <w:gridSpan w:val="10"/>
          </w:tcPr>
          <w:p>
            <w:pPr>
              <w:ind w:left="40"/>
              <w:spacing w:after="0" w:line="142" w:lineRule="exact"/>
              <w:rPr>
                <w:sz w:val="20"/>
                <w:szCs w:val="20"/>
                <w:color w:val="auto"/>
              </w:rPr>
            </w:pPr>
            <w:r>
              <w:rPr>
                <w:rFonts w:ascii="Arial" w:cs="Arial" w:eastAsia="Arial" w:hAnsi="Arial"/>
                <w:sz w:val="16"/>
                <w:szCs w:val="16"/>
                <w:color w:val="0000FF"/>
              </w:rPr>
              <w:t>LLC,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rPr>
              <w:t>dated February 12, 2026.</w:t>
            </w:r>
          </w:p>
        </w:tc>
        <w:tc>
          <w:tcPr>
            <w:tcW w:w="2480" w:type="dxa"/>
            <w:vAlign w:val="bottom"/>
            <w:tcBorders>
              <w:top w:val="single" w:sz="8" w:color="0000FF"/>
            </w:tcBorders>
            <w:gridSpan w:val="8"/>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0000FF"/>
              </w:rPr>
              <w:t>Certification of the Chief Executive Officer, pursuant to Rule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13a-14(a)/15d-14(a), as adopted pursuant to Section 302 of</w:t>
            </w:r>
          </w:p>
        </w:tc>
        <w:tc>
          <w:tcPr>
            <w:tcW w:w="440" w:type="dxa"/>
            <w:vAlign w:val="bottom"/>
            <w:gridSpan w:val="5"/>
          </w:tcPr>
          <w:p>
            <w:pPr>
              <w:ind w:left="60"/>
              <w:spacing w:after="0" w:line="142" w:lineRule="exact"/>
              <w:rPr>
                <w:sz w:val="20"/>
                <w:szCs w:val="20"/>
                <w:color w:val="auto"/>
              </w:rPr>
            </w:pPr>
            <w:r>
              <w:rPr>
                <w:rFonts w:ascii="Arial" w:cs="Arial" w:eastAsia="Arial" w:hAnsi="Arial"/>
                <w:sz w:val="16"/>
                <w:szCs w:val="16"/>
                <w:color w:val="0000FF"/>
              </w:rPr>
              <w:t>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0000FF"/>
              </w:rPr>
              <w:t>Certification of the Chief Financial Officer, pursuant to Rule</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00" w:type="dxa"/>
            <w:vAlign w:val="bottom"/>
            <w:gridSpan w:val="13"/>
          </w:tcPr>
          <w:p>
            <w:pPr>
              <w:spacing w:after="0" w:line="142" w:lineRule="exact"/>
              <w:rPr>
                <w:sz w:val="20"/>
                <w:szCs w:val="20"/>
                <w:color w:val="auto"/>
              </w:rPr>
            </w:pPr>
            <w:r>
              <w:rPr>
                <w:rFonts w:ascii="Arial" w:cs="Arial" w:eastAsia="Arial" w:hAnsi="Arial"/>
                <w:sz w:val="16"/>
                <w:szCs w:val="16"/>
                <w:color w:val="0000FF"/>
              </w:rPr>
              <w:t>13a-14(a)/15d-14(a), as adopted pursuant to Section 302 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Sarbanes-Oxley Act of 2002.</w:t>
            </w: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0000FF"/>
              </w:rPr>
              <w:t>Certification of the Chief Executive Officer, pursuant to 18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00" w:type="dxa"/>
            <w:vAlign w:val="bottom"/>
            <w:tcBorders>
              <w:top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U.S.C. Section 1350, as adopted pursuant to Section 906</w:t>
            </w:r>
          </w:p>
        </w:tc>
        <w:tc>
          <w:tcPr>
            <w:tcW w:w="600" w:type="dxa"/>
            <w:vAlign w:val="bottom"/>
            <w:gridSpan w:val="8"/>
          </w:tcPr>
          <w:p>
            <w:pPr>
              <w:ind w:left="60"/>
              <w:spacing w:after="0" w:line="142" w:lineRule="exact"/>
              <w:rPr>
                <w:sz w:val="20"/>
                <w:szCs w:val="20"/>
                <w:color w:val="auto"/>
              </w:rPr>
            </w:pPr>
            <w:r>
              <w:rPr>
                <w:rFonts w:ascii="Arial" w:cs="Arial" w:eastAsia="Arial" w:hAnsi="Arial"/>
                <w:sz w:val="16"/>
                <w:szCs w:val="16"/>
                <w:color w:val="0000FF"/>
              </w:rPr>
              <w:t>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0000FF"/>
              </w:rPr>
              <w:t>Certification of the Chief Financial Officer, pursuant to 18</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6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9"/>
              </w:rPr>
              <w:t>U.S.C. Section 1350, as adopted pursuant to Section 906</w:t>
            </w:r>
          </w:p>
        </w:tc>
        <w:tc>
          <w:tcPr>
            <w:tcW w:w="640" w:type="dxa"/>
            <w:vAlign w:val="bottom"/>
            <w:gridSpan w:val="9"/>
          </w:tcPr>
          <w:p>
            <w:pPr>
              <w:ind w:left="100"/>
              <w:spacing w:after="0" w:line="142" w:lineRule="exact"/>
              <w:rPr>
                <w:sz w:val="20"/>
                <w:szCs w:val="20"/>
                <w:color w:val="auto"/>
              </w:rPr>
            </w:pPr>
            <w:r>
              <w:rPr>
                <w:rFonts w:ascii="Arial" w:cs="Arial" w:eastAsia="Arial" w:hAnsi="Arial"/>
                <w:sz w:val="16"/>
                <w:szCs w:val="16"/>
                <w:color w:val="0000FF"/>
              </w:rPr>
              <w:t>of the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60" w:type="dxa"/>
            <w:vAlign w:val="bottom"/>
            <w:tcBorders>
              <w:top w:val="single" w:sz="8" w:color="0000FF"/>
            </w:tcBorders>
            <w:gridSpan w:val="11"/>
          </w:tcPr>
          <w:p>
            <w:pPr>
              <w:spacing w:after="0" w:line="142" w:lineRule="exact"/>
              <w:rPr>
                <w:sz w:val="20"/>
                <w:szCs w:val="20"/>
                <w:color w:val="auto"/>
              </w:rPr>
            </w:pPr>
            <w:r>
              <w:rPr>
                <w:rFonts w:ascii="Arial" w:cs="Arial" w:eastAsia="Arial" w:hAnsi="Arial"/>
                <w:sz w:val="16"/>
                <w:szCs w:val="16"/>
                <w:color w:val="0000FF"/>
              </w:rPr>
              <w:t>Sarbanes-Oxley Act of 2002.</w:t>
            </w:r>
          </w:p>
        </w:tc>
        <w:tc>
          <w:tcPr>
            <w:tcW w:w="14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4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101.INS</w:t>
            </w:r>
          </w:p>
        </w:tc>
        <w:tc>
          <w:tcPr>
            <w:tcW w:w="20" w:type="dxa"/>
            <w:vAlign w:val="bottom"/>
          </w:tcPr>
          <w:p>
            <w:pPr>
              <w:spacing w:after="0"/>
              <w:rPr>
                <w:sz w:val="15"/>
                <w:szCs w:val="15"/>
                <w:color w:val="auto"/>
              </w:rPr>
            </w:pPr>
          </w:p>
        </w:tc>
        <w:tc>
          <w:tcPr>
            <w:tcW w:w="4700" w:type="dxa"/>
            <w:vAlign w:val="bottom"/>
            <w:gridSpan w:val="13"/>
          </w:tcPr>
          <w:p>
            <w:pPr>
              <w:spacing w:after="0" w:line="183" w:lineRule="exact"/>
              <w:rPr>
                <w:sz w:val="20"/>
                <w:szCs w:val="20"/>
                <w:color w:val="auto"/>
              </w:rPr>
            </w:pPr>
            <w:r>
              <w:rPr>
                <w:rFonts w:ascii="Arial" w:cs="Arial" w:eastAsia="Arial" w:hAnsi="Arial"/>
                <w:sz w:val="16"/>
                <w:szCs w:val="16"/>
                <w:color w:val="auto"/>
              </w:rPr>
              <w:t>Inline XBRL Instance Document - the instance document does</w:t>
            </w:r>
          </w:p>
        </w:tc>
        <w:tc>
          <w:tcPr>
            <w:tcW w:w="860" w:type="dxa"/>
            <w:vAlign w:val="bottom"/>
            <w:gridSpan w:val="2"/>
          </w:tcPr>
          <w:p>
            <w:pPr>
              <w:jc w:val="center"/>
              <w:ind w:right="120"/>
              <w:spacing w:after="0" w:line="183"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13"/>
          </w:tcPr>
          <w:p>
            <w:pPr>
              <w:spacing w:after="0" w:line="162" w:lineRule="exact"/>
              <w:rPr>
                <w:sz w:val="20"/>
                <w:szCs w:val="20"/>
                <w:color w:val="auto"/>
              </w:rPr>
            </w:pPr>
            <w:r>
              <w:rPr>
                <w:rFonts w:ascii="Arial" w:cs="Arial" w:eastAsia="Arial" w:hAnsi="Arial"/>
                <w:sz w:val="16"/>
                <w:szCs w:val="16"/>
                <w:color w:val="auto"/>
              </w:rPr>
              <w:t>not appear in the Interactive Data File because its XBRL tags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are embedded within the Inline XBRL document.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101.CAL</w:t>
            </w:r>
          </w:p>
        </w:tc>
        <w:tc>
          <w:tcPr>
            <w:tcW w:w="20" w:type="dxa"/>
            <w:vAlign w:val="bottom"/>
          </w:tcPr>
          <w:p>
            <w:pPr>
              <w:spacing w:after="0"/>
              <w:rPr>
                <w:sz w:val="14"/>
                <w:szCs w:val="14"/>
                <w:color w:val="auto"/>
              </w:rPr>
            </w:pPr>
          </w:p>
        </w:tc>
        <w:tc>
          <w:tcPr>
            <w:tcW w:w="4700" w:type="dxa"/>
            <w:vAlign w:val="bottom"/>
            <w:gridSpan w:val="13"/>
          </w:tcPr>
          <w:p>
            <w:pPr>
              <w:spacing w:after="0" w:line="164" w:lineRule="exact"/>
              <w:rPr>
                <w:sz w:val="20"/>
                <w:szCs w:val="20"/>
                <w:color w:val="auto"/>
              </w:rPr>
            </w:pPr>
            <w:r>
              <w:rPr>
                <w:rFonts w:ascii="Arial" w:cs="Arial" w:eastAsia="Arial" w:hAnsi="Arial"/>
                <w:sz w:val="16"/>
                <w:szCs w:val="16"/>
                <w:color w:val="auto"/>
              </w:rPr>
              <w:t>Inline XBRL Taxonomy Extension Calculation Linkbase</w:t>
            </w:r>
          </w:p>
        </w:tc>
        <w:tc>
          <w:tcPr>
            <w:tcW w:w="8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9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101.PRE</w:t>
            </w:r>
          </w:p>
        </w:tc>
        <w:tc>
          <w:tcPr>
            <w:tcW w:w="20" w:type="dxa"/>
            <w:vAlign w:val="bottom"/>
          </w:tcPr>
          <w:p>
            <w:pPr>
              <w:spacing w:after="0"/>
              <w:rPr>
                <w:sz w:val="14"/>
                <w:szCs w:val="14"/>
                <w:color w:val="auto"/>
              </w:rPr>
            </w:pPr>
          </w:p>
        </w:tc>
        <w:tc>
          <w:tcPr>
            <w:tcW w:w="4700" w:type="dxa"/>
            <w:vAlign w:val="bottom"/>
            <w:gridSpan w:val="13"/>
          </w:tcPr>
          <w:p>
            <w:pPr>
              <w:spacing w:after="0" w:line="164" w:lineRule="exact"/>
              <w:rPr>
                <w:sz w:val="20"/>
                <w:szCs w:val="20"/>
                <w:color w:val="auto"/>
              </w:rPr>
            </w:pPr>
            <w:r>
              <w:rPr>
                <w:rFonts w:ascii="Arial" w:cs="Arial" w:eastAsia="Arial" w:hAnsi="Arial"/>
                <w:sz w:val="16"/>
                <w:szCs w:val="16"/>
                <w:color w:val="auto"/>
              </w:rPr>
              <w:t>Inline XBRL Taxonomy Extension Presentation Linkbase</w:t>
            </w:r>
          </w:p>
        </w:tc>
        <w:tc>
          <w:tcPr>
            <w:tcW w:w="8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940" w:type="dxa"/>
            <w:vAlign w:val="bottom"/>
            <w:gridSpan w:val="2"/>
          </w:tcPr>
          <w:p>
            <w:pPr>
              <w:ind w:left="20"/>
              <w:spacing w:after="0" w:line="164" w:lineRule="exact"/>
              <w:rPr>
                <w:sz w:val="20"/>
                <w:szCs w:val="20"/>
                <w:color w:val="auto"/>
              </w:rPr>
            </w:pPr>
            <w:r>
              <w:rPr>
                <w:rFonts w:ascii="Arial" w:cs="Arial" w:eastAsia="Arial" w:hAnsi="Arial"/>
                <w:sz w:val="16"/>
                <w:szCs w:val="16"/>
                <w:color w:val="auto"/>
              </w:rPr>
              <w:t>101.DEF</w:t>
            </w:r>
          </w:p>
        </w:tc>
        <w:tc>
          <w:tcPr>
            <w:tcW w:w="20" w:type="dxa"/>
            <w:vAlign w:val="bottom"/>
          </w:tcPr>
          <w:p>
            <w:pPr>
              <w:spacing w:after="0"/>
              <w:rPr>
                <w:sz w:val="14"/>
                <w:szCs w:val="14"/>
                <w:color w:val="auto"/>
              </w:rPr>
            </w:pPr>
          </w:p>
        </w:tc>
        <w:tc>
          <w:tcPr>
            <w:tcW w:w="4700" w:type="dxa"/>
            <w:vAlign w:val="bottom"/>
            <w:gridSpan w:val="13"/>
          </w:tcPr>
          <w:p>
            <w:pPr>
              <w:spacing w:after="0" w:line="164" w:lineRule="exact"/>
              <w:rPr>
                <w:sz w:val="20"/>
                <w:szCs w:val="20"/>
                <w:color w:val="auto"/>
              </w:rPr>
            </w:pPr>
            <w:r>
              <w:rPr>
                <w:rFonts w:ascii="Arial" w:cs="Arial" w:eastAsia="Arial" w:hAnsi="Arial"/>
                <w:sz w:val="16"/>
                <w:szCs w:val="16"/>
                <w:color w:val="auto"/>
              </w:rPr>
              <w:t>Inline XBRL Taxonomy Extension Definition Linkbase</w:t>
            </w:r>
          </w:p>
        </w:tc>
        <w:tc>
          <w:tcPr>
            <w:tcW w:w="8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840" w:type="dxa"/>
            <w:vAlign w:val="bottom"/>
          </w:tcPr>
          <w:p>
            <w:pPr>
              <w:ind w:left="20"/>
              <w:spacing w:after="0" w:line="164" w:lineRule="exact"/>
              <w:rPr>
                <w:sz w:val="20"/>
                <w:szCs w:val="20"/>
                <w:color w:val="auto"/>
              </w:rPr>
            </w:pPr>
            <w:r>
              <w:rPr>
                <w:rFonts w:ascii="Arial" w:cs="Arial" w:eastAsia="Arial" w:hAnsi="Arial"/>
                <w:sz w:val="16"/>
                <w:szCs w:val="16"/>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00" w:type="dxa"/>
            <w:vAlign w:val="bottom"/>
            <w:gridSpan w:val="13"/>
          </w:tcPr>
          <w:p>
            <w:pPr>
              <w:spacing w:after="0" w:line="164" w:lineRule="exact"/>
              <w:rPr>
                <w:sz w:val="20"/>
                <w:szCs w:val="20"/>
                <w:color w:val="auto"/>
              </w:rPr>
            </w:pPr>
            <w:r>
              <w:rPr>
                <w:rFonts w:ascii="Arial" w:cs="Arial" w:eastAsia="Arial" w:hAnsi="Arial"/>
                <w:sz w:val="16"/>
                <w:szCs w:val="16"/>
                <w:color w:val="auto"/>
              </w:rPr>
              <w:t>Cover Page Interactive Data File (formatted as inline XBRL and</w:t>
            </w:r>
          </w:p>
        </w:tc>
        <w:tc>
          <w:tcPr>
            <w:tcW w:w="860" w:type="dxa"/>
            <w:vAlign w:val="bottom"/>
            <w:gridSpan w:val="2"/>
          </w:tcPr>
          <w:p>
            <w:pPr>
              <w:jc w:val="center"/>
              <w:ind w:right="120"/>
              <w:spacing w:after="0" w:line="164" w:lineRule="exact"/>
              <w:rPr>
                <w:sz w:val="20"/>
                <w:szCs w:val="20"/>
                <w:color w:val="auto"/>
              </w:rPr>
            </w:pPr>
            <w:r>
              <w:rPr>
                <w:rFonts w:ascii="Arial" w:cs="Arial" w:eastAsia="Arial" w:hAnsi="Arial"/>
                <w:sz w:val="16"/>
                <w:szCs w:val="16"/>
                <w:color w:val="auto"/>
                <w:w w:val="93"/>
              </w:rPr>
              <w:t>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00" w:type="dxa"/>
            <w:vAlign w:val="bottom"/>
            <w:gridSpan w:val="13"/>
          </w:tcPr>
          <w:p>
            <w:pPr>
              <w:spacing w:after="0"/>
              <w:rPr>
                <w:sz w:val="20"/>
                <w:szCs w:val="20"/>
                <w:color w:val="auto"/>
              </w:rPr>
            </w:pPr>
            <w:r>
              <w:rPr>
                <w:rFonts w:ascii="Arial" w:cs="Arial" w:eastAsia="Arial" w:hAnsi="Arial"/>
                <w:sz w:val="16"/>
                <w:szCs w:val="16"/>
                <w:color w:val="auto"/>
              </w:rPr>
              <w:t>contained in Exhibit 101)</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117" w:lineRule="exact"/>
        <w:rPr>
          <w:sz w:val="20"/>
          <w:szCs w:val="20"/>
          <w:color w:val="auto"/>
        </w:rPr>
      </w:pPr>
    </w:p>
    <w:p>
      <w:pPr>
        <w:ind w:left="660" w:right="840" w:hanging="652"/>
        <w:spacing w:after="0" w:line="231" w:lineRule="auto"/>
        <w:tabs>
          <w:tab w:leader="none" w:pos="207"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Certain schedules and exhibits have been omitted pursuant to Item 601(a)(5) of Regulation S-K. The Company agrees to furnish supplementally to the Securities and Exchange Commission, upon its request, a copy of any or all omitted exhibits.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Huron Consulting Group Inc.</w:t>
            </w:r>
          </w:p>
        </w:tc>
      </w:tr>
      <w:tr>
        <w:trPr>
          <w:trHeight w:val="232"/>
        </w:trPr>
        <w:tc>
          <w:tcPr>
            <w:tcW w:w="6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49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5320" w:type="dxa"/>
            <w:vAlign w:val="bottom"/>
            <w:gridSpan w:val="2"/>
          </w:tcPr>
          <w:p>
            <w:pPr>
              <w:ind w:left="480"/>
              <w:spacing w:after="0"/>
              <w:rPr>
                <w:sz w:val="20"/>
                <w:szCs w:val="20"/>
                <w:color w:val="auto"/>
              </w:rPr>
            </w:pPr>
            <w:r>
              <w:rPr>
                <w:rFonts w:ascii="Arial" w:cs="Arial" w:eastAsia="Arial" w:hAnsi="Arial"/>
                <w:sz w:val="18"/>
                <w:szCs w:val="18"/>
                <w:color w:val="auto"/>
              </w:rPr>
              <w:t>May 5, 2026</w:t>
            </w:r>
          </w:p>
        </w:tc>
        <w:tc>
          <w:tcPr>
            <w:tcW w:w="5200" w:type="dxa"/>
            <w:vAlign w:val="bottom"/>
          </w:tcPr>
          <w:p>
            <w:pPr>
              <w:jc w:val="center"/>
              <w:spacing w:after="0"/>
              <w:rPr>
                <w:sz w:val="20"/>
                <w:szCs w:val="20"/>
                <w:color w:val="auto"/>
              </w:rPr>
            </w:pPr>
            <w:r>
              <w:rPr>
                <w:rFonts w:ascii="Arial" w:cs="Arial" w:eastAsia="Arial" w:hAnsi="Arial"/>
                <w:sz w:val="18"/>
                <w:szCs w:val="18"/>
                <w:color w:val="auto"/>
              </w:rPr>
              <w:t>/s/  JOHN D. KELLY</w:t>
            </w:r>
          </w:p>
        </w:tc>
      </w:tr>
      <w:tr>
        <w:trPr>
          <w:trHeight w:val="232"/>
        </w:trPr>
        <w:tc>
          <w:tcPr>
            <w:tcW w:w="680" w:type="dxa"/>
            <w:vAlign w:val="bottom"/>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2940" w:type="dxa"/>
            <w:vAlign w:val="bottom"/>
          </w:tcPr>
          <w:p>
            <w:pPr>
              <w:spacing w:after="0"/>
              <w:rPr>
                <w:sz w:val="20"/>
                <w:szCs w:val="20"/>
                <w:color w:val="auto"/>
              </w:rPr>
            </w:pPr>
          </w:p>
        </w:tc>
        <w:tc>
          <w:tcPr>
            <w:tcW w:w="5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John D. Kelly</w:t>
            </w:r>
          </w:p>
        </w:tc>
      </w:tr>
    </w:tbl>
    <w:p>
      <w:pPr>
        <w:ind w:left="7580"/>
        <w:spacing w:after="0" w:line="207" w:lineRule="auto"/>
        <w:rPr>
          <w:sz w:val="20"/>
          <w:szCs w:val="20"/>
          <w:color w:val="auto"/>
        </w:rPr>
      </w:pPr>
      <w:r>
        <w:rPr>
          <w:rFonts w:ascii="Arial" w:cs="Arial" w:eastAsia="Arial" w:hAnsi="Arial"/>
          <w:sz w:val="18"/>
          <w:szCs w:val="18"/>
          <w:color w:val="auto"/>
        </w:rPr>
        <w:t>Executive Vice President,</w:t>
      </w:r>
    </w:p>
    <w:p>
      <w:pPr>
        <w:ind w:left="71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122" w:right="3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TO SENIOR MANAGEMENT AGREEMENT</w:t>
      </w:r>
    </w:p>
    <w:p>
      <w:pPr>
        <w:spacing w:after="0" w:line="251"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22"/>
          <w:szCs w:val="22"/>
          <w:color w:val="auto"/>
        </w:rPr>
        <w:t>This is an amendment (“Amendment”) to the Senior Management Agreement effective January 1, 2025 (the “SMA”), between Huron Consulting Group Inc. (“Huron”) and James H. Roth (“Executive”).</w:t>
      </w:r>
    </w:p>
    <w:p>
      <w:pPr>
        <w:spacing w:after="0" w:line="171" w:lineRule="exact"/>
        <w:rPr>
          <w:sz w:val="20"/>
          <w:szCs w:val="20"/>
          <w:color w:val="auto"/>
        </w:rPr>
      </w:pPr>
    </w:p>
    <w:p>
      <w:pPr>
        <w:ind w:right="220"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wish to extend Executive’s employment beyond the Initial Period and address Executive’s 2026 target annual bonus opportunity.</w:t>
      </w:r>
    </w:p>
    <w:p>
      <w:pPr>
        <w:spacing w:after="0" w:line="185" w:lineRule="exact"/>
        <w:rPr>
          <w:sz w:val="20"/>
          <w:szCs w:val="20"/>
          <w:color w:val="auto"/>
        </w:rPr>
      </w:pPr>
    </w:p>
    <w:p>
      <w:pPr>
        <w:jc w:val="both"/>
        <w:ind w:right="120" w:firstLine="648"/>
        <w:spacing w:after="0" w:line="263" w:lineRule="auto"/>
        <w:rPr>
          <w:sz w:val="20"/>
          <w:szCs w:val="20"/>
          <w:color w:val="auto"/>
        </w:rPr>
      </w:pPr>
      <w:r>
        <w:rPr>
          <w:rFonts w:ascii="Times New Roman" w:cs="Times New Roman" w:eastAsia="Times New Roman" w:hAnsi="Times New Roman"/>
          <w:sz w:val="22"/>
          <w:szCs w:val="22"/>
          <w:color w:val="auto"/>
        </w:rPr>
        <w:t>NOW, THEREFORE, in consideration of the premises, the mutual covenants of the parties hereinafter set forth and other good and valuable consideration, the receipt and sufficiency of which are hereby acknowledged, the parties hereto hereby agree as follows:</w:t>
      </w:r>
    </w:p>
    <w:p>
      <w:pPr>
        <w:spacing w:after="0" w:line="19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 Period</w:t>
      </w:r>
    </w:p>
    <w:p>
      <w:pPr>
        <w:spacing w:after="0" w:line="251" w:lineRule="exact"/>
        <w:rPr>
          <w:sz w:val="20"/>
          <w:szCs w:val="20"/>
          <w:color w:val="auto"/>
        </w:rPr>
      </w:pPr>
    </w:p>
    <w:p>
      <w:pPr>
        <w:jc w:val="both"/>
        <w:ind w:right="300"/>
        <w:spacing w:after="0" w:line="257" w:lineRule="auto"/>
        <w:rPr>
          <w:sz w:val="20"/>
          <w:szCs w:val="20"/>
          <w:color w:val="auto"/>
        </w:rPr>
      </w:pPr>
      <w:r>
        <w:rPr>
          <w:rFonts w:ascii="Times New Roman" w:cs="Times New Roman" w:eastAsia="Times New Roman" w:hAnsi="Times New Roman"/>
          <w:sz w:val="22"/>
          <w:szCs w:val="22"/>
          <w:color w:val="auto"/>
        </w:rPr>
        <w:t>Executive’s employment shall be extended for an additional one-year period beginning January 1, 2026 through December 31, 2026, subject to sections 1.3-1.5, and the parties may agree to extend for an additional one-year or longer period subject to the approval of the Board.</w:t>
      </w:r>
    </w:p>
    <w:p>
      <w:pPr>
        <w:spacing w:after="0" w:line="209"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Bonus Programs</w:t>
      </w:r>
    </w:p>
    <w:p>
      <w:pPr>
        <w:spacing w:after="0" w:line="25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21"/>
          <w:szCs w:val="21"/>
          <w:color w:val="auto"/>
        </w:rPr>
        <w:t>For the 2026 calendar year, Executive’s target cash bonus will be $900,000 and target equity bonus will be 20% of Executive’s Base Salary ($180,000). All equity awards (i) are subject to the applicable granting agreement and the Amended and Restated Huron Consulting Group Inc. 2012 Omnibus Incentive Plan, as amended and (ii) shall vest in four equal installments, with one-fourth vesting on the first anniversary of the grant date and one-fourth vesting on each of the next three anniversaries of the grant date; provided, however, that no shares shall vest if Executive is not employed by the Company as of such vesting date.</w:t>
      </w:r>
    </w:p>
    <w:p>
      <w:pPr>
        <w:spacing w:after="0" w:line="202"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Equity Awards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language in Section 3 of the SMA shall remain except for the following language which shall be deleted from the SMA:</w:t>
      </w:r>
    </w:p>
    <w:p>
      <w:pPr>
        <w:spacing w:after="0" w:line="24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i w:val="1"/>
          <w:iCs w:val="1"/>
          <w:color w:val="auto"/>
        </w:rPr>
        <w:t>“Outstanding Performance Share Awards that are subject to future Company performance shall continue to vest subject to the terms of the existing grant agreement; provided that Executive and the Company, subject to approval by the Compensation Committee, will mutually determine if changes to the 2022-2024 award agreement are warranted to reflect Executive’s time in the CEO role during the performance period.”</w:t>
      </w:r>
    </w:p>
    <w:p>
      <w:pPr>
        <w:spacing w:after="0" w:line="19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51"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22"/>
          <w:szCs w:val="22"/>
          <w:color w:val="auto"/>
        </w:rPr>
        <w:t>Section 10.5 shall be amended by replacing the contact individual from Kristen Bruner at kbruner@hcg.com to Hope Katz at hkatz@hcg.com.</w:t>
      </w:r>
    </w:p>
    <w:p>
      <w:pPr>
        <w:sectPr>
          <w:pgSz w:w="11900" w:h="16838" w:orient="portrait"/>
          <w:cols w:equalWidth="0" w:num="1">
            <w:col w:w="11240"/>
          </w:cols>
          <w:pgMar w:left="320" w:top="68" w:right="339" w:bottom="1440" w:gutter="0" w:footer="0" w:header="0"/>
        </w:sectPr>
      </w:pPr>
    </w:p>
    <w:bookmarkStart w:id="46" w:name="page47"/>
    <w:bookmarkEnd w:id="46"/>
    <w:p>
      <w:pPr>
        <w:spacing w:after="0" w:line="263" w:lineRule="auto"/>
        <w:rPr>
          <w:sz w:val="20"/>
          <w:szCs w:val="20"/>
          <w:color w:val="auto"/>
        </w:rPr>
      </w:pPr>
      <w:r>
        <w:rPr>
          <w:rFonts w:ascii="Times New Roman" w:cs="Times New Roman" w:eastAsia="Times New Roman" w:hAnsi="Times New Roman"/>
          <w:sz w:val="22"/>
          <w:szCs w:val="22"/>
          <w:color w:val="auto"/>
        </w:rPr>
        <w:t>All capitalized terms herein shall have the meaning set forth in the SMA. Except for those provisions specifically modified herein, all terms and conditions of the SMA remain in full force and effect and are not superseded in any way by this Amendment.</w:t>
      </w:r>
    </w:p>
    <w:p>
      <w:pPr>
        <w:spacing w:after="0" w:line="200" w:lineRule="exact"/>
        <w:rPr>
          <w:sz w:val="20"/>
          <w:szCs w:val="20"/>
          <w:color w:val="auto"/>
        </w:rPr>
      </w:pPr>
    </w:p>
    <w:p>
      <w:pPr>
        <w:spacing w:after="0" w:line="38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HURON CONSULTING GROUP INC.</w:t>
      </w:r>
    </w:p>
    <w:p>
      <w:pPr>
        <w:spacing w:after="0" w:line="282" w:lineRule="exact"/>
        <w:rPr>
          <w:sz w:val="20"/>
          <w:szCs w:val="20"/>
          <w:color w:val="auto"/>
        </w:rPr>
      </w:pPr>
    </w:p>
    <w:p>
      <w:pPr>
        <w:ind w:left="2620"/>
        <w:spacing w:after="0"/>
        <w:tabs>
          <w:tab w:leader="none" w:pos="3240" w:val="left"/>
        </w:tabs>
        <w:rPr>
          <w:sz w:val="20"/>
          <w:szCs w:val="20"/>
          <w:color w:val="auto"/>
        </w:rPr>
      </w:pPr>
      <w:r>
        <w:rPr>
          <w:rFonts w:ascii="Times New Roman" w:cs="Times New Roman" w:eastAsia="Times New Roman" w:hAnsi="Times New Roman"/>
          <w:sz w:val="22"/>
          <w:szCs w:val="22"/>
          <w:color w:val="auto"/>
        </w:rPr>
        <w:t>By:</w:t>
        <w:tab/>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19685</wp:posOffset>
            </wp:positionV>
            <wp:extent cx="32486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7" w:lineRule="exact"/>
        <w:rPr>
          <w:sz w:val="20"/>
          <w:szCs w:val="20"/>
          <w:color w:val="auto"/>
        </w:rPr>
      </w:pPr>
    </w:p>
    <w:p>
      <w:pPr>
        <w:ind w:left="262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19685</wp:posOffset>
            </wp:positionV>
            <wp:extent cx="32486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6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Date:  3/11/2026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19685</wp:posOffset>
            </wp:positionV>
            <wp:extent cx="32486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JAMES H. ROTH</w:t>
      </w:r>
    </w:p>
    <w:p>
      <w:pPr>
        <w:spacing w:after="0" w:line="29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/s/ James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19685</wp:posOffset>
            </wp:positionV>
            <wp:extent cx="3651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651885" cy="8255"/>
                    </a:xfrm>
                    <a:prstGeom prst="rect">
                      <a:avLst/>
                    </a:prstGeom>
                    <a:noFill/>
                  </pic:spPr>
                </pic:pic>
              </a:graphicData>
            </a:graphic>
          </wp:anchor>
        </w:drawing>
      </w:r>
    </w:p>
    <w:p>
      <w:pPr>
        <w:spacing w:after="0" w:line="267" w:lineRule="exact"/>
        <w:rPr>
          <w:sz w:val="20"/>
          <w:szCs w:val="20"/>
          <w:color w:val="auto"/>
        </w:rPr>
      </w:pPr>
    </w:p>
    <w:p>
      <w:pPr>
        <w:ind w:left="262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3/11/2026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19685</wp:posOffset>
            </wp:positionV>
            <wp:extent cx="28460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ectPr>
          <w:pgSz w:w="11900" w:h="16838" w:orient="portrait"/>
          <w:cols w:equalWidth="0" w:num="1">
            <w:col w:w="10640"/>
          </w:cols>
          <w:pgMar w:left="320" w:top="1327" w:right="9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SEVENTH AMENDMENT TO LEASE</w:t>
      </w:r>
    </w:p>
    <w:p>
      <w:pPr>
        <w:spacing w:after="0" w:line="270" w:lineRule="exact"/>
        <w:rPr>
          <w:sz w:val="20"/>
          <w:szCs w:val="20"/>
          <w:color w:val="auto"/>
        </w:rPr>
      </w:pPr>
    </w:p>
    <w:p>
      <w:pPr>
        <w:jc w:val="both"/>
        <w:ind w:right="320" w:firstLine="647"/>
        <w:spacing w:after="0" w:line="235" w:lineRule="auto"/>
        <w:rPr>
          <w:sz w:val="20"/>
          <w:szCs w:val="20"/>
          <w:color w:val="auto"/>
        </w:rPr>
      </w:pPr>
      <w:r>
        <w:rPr>
          <w:rFonts w:ascii="Times New Roman" w:cs="Times New Roman" w:eastAsia="Times New Roman" w:hAnsi="Times New Roman"/>
          <w:sz w:val="20"/>
          <w:szCs w:val="20"/>
          <w:color w:val="auto"/>
        </w:rPr>
        <w:t>THIS SEVENTH AMENDMENT TO LEASE (this “</w:t>
      </w:r>
      <w:r>
        <w:rPr>
          <w:rFonts w:ascii="Times New Roman" w:cs="Times New Roman" w:eastAsia="Times New Roman" w:hAnsi="Times New Roman"/>
          <w:sz w:val="20"/>
          <w:szCs w:val="20"/>
          <w:b w:val="1"/>
          <w:bCs w:val="1"/>
          <w:color w:val="auto"/>
        </w:rPr>
        <w:t>Seventh Amendment</w:t>
      </w:r>
      <w:r>
        <w:rPr>
          <w:rFonts w:ascii="Times New Roman" w:cs="Times New Roman" w:eastAsia="Times New Roman" w:hAnsi="Times New Roman"/>
          <w:sz w:val="20"/>
          <w:szCs w:val="20"/>
          <w:color w:val="auto"/>
        </w:rPr>
        <w:t>”) is made and entered into as of the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of February, 2026 (the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by and between ONNI VAN BUREN CHICAGO LLC, a Delaware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HURON CONSULTING SERVICES LLC, a Delaware limited liability company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56" w:lineRule="exact"/>
        <w:rPr>
          <w:sz w:val="20"/>
          <w:szCs w:val="20"/>
          <w:color w:val="auto"/>
        </w:rPr>
      </w:pPr>
    </w:p>
    <w:p>
      <w:pPr>
        <w:jc w:val="both"/>
        <w:ind w:right="320" w:firstLine="655"/>
        <w:spacing w:after="0" w:line="251" w:lineRule="auto"/>
        <w:tabs>
          <w:tab w:leader="none" w:pos="128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entered into that certain Office Lease fully executed as of December 10, 2003 (the “</w:t>
      </w:r>
      <w:r>
        <w:rPr>
          <w:rFonts w:ascii="Times New Roman" w:cs="Times New Roman" w:eastAsia="Times New Roman" w:hAnsi="Times New Roman"/>
          <w:sz w:val="20"/>
          <w:szCs w:val="20"/>
          <w:b w:val="1"/>
          <w:bCs w:val="1"/>
          <w:color w:val="auto"/>
        </w:rPr>
        <w:t>Original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as amended by that certain First Amendment to Lease dated August 23, 2004 (the “</w:t>
      </w:r>
      <w:r>
        <w:rPr>
          <w:rFonts w:ascii="Times New Roman" w:cs="Times New Roman" w:eastAsia="Times New Roman" w:hAnsi="Times New Roman"/>
          <w:sz w:val="20"/>
          <w:szCs w:val="20"/>
          <w:b w:val="1"/>
          <w:bCs w:val="1"/>
          <w:color w:val="auto"/>
        </w:rPr>
        <w:t>First Amendment</w:t>
      </w:r>
      <w:r>
        <w:rPr>
          <w:rFonts w:ascii="Times New Roman" w:cs="Times New Roman" w:eastAsia="Times New Roman" w:hAnsi="Times New Roman"/>
          <w:sz w:val="20"/>
          <w:szCs w:val="20"/>
          <w:color w:val="auto"/>
        </w:rPr>
        <w:t>”), by that certain Second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to Lease dated May 14, 2007 (the “</w:t>
      </w:r>
      <w:r>
        <w:rPr>
          <w:rFonts w:ascii="Times New Roman" w:cs="Times New Roman" w:eastAsia="Times New Roman" w:hAnsi="Times New Roman"/>
          <w:sz w:val="20"/>
          <w:szCs w:val="20"/>
          <w:b w:val="1"/>
          <w:bCs w:val="1"/>
          <w:color w:val="auto"/>
        </w:rPr>
        <w:t>Second Amendment</w:t>
      </w:r>
      <w:r>
        <w:rPr>
          <w:rFonts w:ascii="Times New Roman" w:cs="Times New Roman" w:eastAsia="Times New Roman" w:hAnsi="Times New Roman"/>
          <w:sz w:val="20"/>
          <w:szCs w:val="20"/>
          <w:color w:val="auto"/>
        </w:rPr>
        <w:t>”), by that certain Third Amendment to Lease dated April 2, 2010 (the “</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by that certain Fourth Amendment to Lease dated December 31, 2012 (the “</w:t>
      </w:r>
      <w:r>
        <w:rPr>
          <w:rFonts w:ascii="Times New Roman" w:cs="Times New Roman" w:eastAsia="Times New Roman" w:hAnsi="Times New Roman"/>
          <w:sz w:val="20"/>
          <w:szCs w:val="20"/>
          <w:b w:val="1"/>
          <w:bCs w:val="1"/>
          <w:color w:val="auto"/>
        </w:rPr>
        <w:t>Fourth Amendment</w:t>
      </w:r>
      <w:r>
        <w:rPr>
          <w:rFonts w:ascii="Times New Roman" w:cs="Times New Roman" w:eastAsia="Times New Roman" w:hAnsi="Times New Roman"/>
          <w:sz w:val="20"/>
          <w:szCs w:val="20"/>
          <w:color w:val="auto"/>
        </w:rPr>
        <w:t>”), by that certain Fifth Amendment to Lease dated December 1, 2013 (the “</w:t>
      </w:r>
      <w:r>
        <w:rPr>
          <w:rFonts w:ascii="Times New Roman" w:cs="Times New Roman" w:eastAsia="Times New Roman" w:hAnsi="Times New Roman"/>
          <w:sz w:val="20"/>
          <w:szCs w:val="20"/>
          <w:b w:val="1"/>
          <w:bCs w:val="1"/>
          <w:color w:val="auto"/>
        </w:rPr>
        <w:t>Fifth Amendment</w:t>
      </w:r>
      <w:r>
        <w:rPr>
          <w:rFonts w:ascii="Times New Roman" w:cs="Times New Roman" w:eastAsia="Times New Roman" w:hAnsi="Times New Roman"/>
          <w:sz w:val="20"/>
          <w:szCs w:val="20"/>
          <w:color w:val="auto"/>
        </w:rPr>
        <w:t>”), and by that certain Sixth Amendment to Lease dated October 3, 2019 with an effective date of October 1, 2019 (the “</w:t>
      </w:r>
      <w:r>
        <w:rPr>
          <w:rFonts w:ascii="Times New Roman" w:cs="Times New Roman" w:eastAsia="Times New Roman" w:hAnsi="Times New Roman"/>
          <w:sz w:val="20"/>
          <w:szCs w:val="20"/>
          <w:b w:val="1"/>
          <w:bCs w:val="1"/>
          <w:color w:val="auto"/>
        </w:rPr>
        <w:t>Sixth Amendment</w:t>
      </w:r>
      <w:r>
        <w:rPr>
          <w:rFonts w:ascii="Times New Roman" w:cs="Times New Roman" w:eastAsia="Times New Roman" w:hAnsi="Times New Roman"/>
          <w:sz w:val="20"/>
          <w:szCs w:val="20"/>
          <w:color w:val="auto"/>
        </w:rPr>
        <w:t>”) (said Office Lease, as amended by the First Amendment, the Second Amendment, the Third Amendment, the Fourth Amendment, the Fifth Amendment, the Sixth Amendment and this Seventh Amendment, is hereinafter referred to as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pursuant to which Landlord demised to Tenant the premises (the “</w:t>
      </w:r>
      <w:r>
        <w:rPr>
          <w:rFonts w:ascii="Times New Roman" w:cs="Times New Roman" w:eastAsia="Times New Roman" w:hAnsi="Times New Roman"/>
          <w:sz w:val="20"/>
          <w:szCs w:val="20"/>
          <w:b w:val="1"/>
          <w:bCs w:val="1"/>
          <w:color w:val="auto"/>
        </w:rPr>
        <w:t>Existing Premises</w:t>
      </w:r>
      <w:r>
        <w:rPr>
          <w:rFonts w:ascii="Times New Roman" w:cs="Times New Roman" w:eastAsia="Times New Roman" w:hAnsi="Times New Roman"/>
          <w:sz w:val="20"/>
          <w:szCs w:val="20"/>
          <w:color w:val="auto"/>
        </w:rPr>
        <w:t>”) consisting of 133,852 square feet of rentable space located in the building commonly known as Union Tower located at 550 West Van Buren Street, Chicago, Illinois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and located on the entire fourth (4th), fifth (5th), eighth (8th), nineth (9th), tenth (10th) and seventeenth (17th) floors of the Building, each of which contain 20,667 rentable square feet, and a portion of the eleventh (11th) floor of the Building, which contains 9,850 rentable square feet;</w:t>
      </w:r>
    </w:p>
    <w:p>
      <w:pPr>
        <w:spacing w:after="0" w:line="209" w:lineRule="exact"/>
        <w:rPr>
          <w:rFonts w:ascii="Times New Roman" w:cs="Times New Roman" w:eastAsia="Times New Roman" w:hAnsi="Times New Roman"/>
          <w:sz w:val="20"/>
          <w:szCs w:val="20"/>
          <w:color w:val="auto"/>
        </w:rPr>
      </w:pPr>
    </w:p>
    <w:p>
      <w:pPr>
        <w:jc w:val="both"/>
        <w:ind w:right="320" w:firstLine="655"/>
        <w:spacing w:after="0" w:line="230"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desire, among other things: (1) to terminate that portion of the Existing Premises located on the fourth (4th),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and eleventh (11th) floors of the Building containing in the aggregate approximately 51,184 rentable square feet (collectively, the “</w:t>
      </w:r>
      <w:r>
        <w:rPr>
          <w:rFonts w:ascii="Times New Roman" w:cs="Times New Roman" w:eastAsia="Times New Roman" w:hAnsi="Times New Roman"/>
          <w:sz w:val="20"/>
          <w:szCs w:val="20"/>
          <w:b w:val="1"/>
          <w:bCs w:val="1"/>
          <w:color w:val="auto"/>
        </w:rPr>
        <w:t>Surrendered Premises</w:t>
      </w:r>
      <w:r>
        <w:rPr>
          <w:rFonts w:ascii="Times New Roman" w:cs="Times New Roman" w:eastAsia="Times New Roman" w:hAnsi="Times New Roman"/>
          <w:sz w:val="20"/>
          <w:szCs w:val="20"/>
          <w:color w:val="auto"/>
        </w:rPr>
        <w:t xml:space="preserve">”) as depicted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and made a part hereof, leaving an aggregate of 82,668 rentable square feet on the eighth (8th), nineth (9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tenth (10th) and seventeenth (17th) floors of the Building (collectively, the “</w:t>
      </w:r>
      <w:r>
        <w:rPr>
          <w:rFonts w:ascii="Times New Roman" w:cs="Times New Roman" w:eastAsia="Times New Roman" w:hAnsi="Times New Roman"/>
          <w:sz w:val="20"/>
          <w:szCs w:val="20"/>
          <w:b w:val="1"/>
          <w:bCs w:val="1"/>
          <w:color w:val="auto"/>
        </w:rPr>
        <w:t>Adjusted Premises</w:t>
      </w:r>
      <w:r>
        <w:rPr>
          <w:rFonts w:ascii="Times New Roman" w:cs="Times New Roman" w:eastAsia="Times New Roman" w:hAnsi="Times New Roman"/>
          <w:sz w:val="20"/>
          <w:szCs w:val="20"/>
          <w:color w:val="auto"/>
        </w:rPr>
        <w:t>”) leased by Tenant; and (2) to extend the term of the Lease for the Adjusted Premises; and</w:t>
      </w:r>
    </w:p>
    <w:p>
      <w:pPr>
        <w:spacing w:after="0" w:line="205" w:lineRule="exact"/>
        <w:rPr>
          <w:rFonts w:ascii="Times New Roman" w:cs="Times New Roman" w:eastAsia="Times New Roman" w:hAnsi="Times New Roman"/>
          <w:sz w:val="20"/>
          <w:szCs w:val="20"/>
          <w:color w:val="auto"/>
        </w:rPr>
      </w:pPr>
    </w:p>
    <w:p>
      <w:pPr>
        <w:ind w:right="340" w:firstLine="655"/>
        <w:spacing w:after="0" w:line="283" w:lineRule="auto"/>
        <w:tabs>
          <w:tab w:leader="none" w:pos="1284"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are entering into this Seventh Amendment for the purpose of amending and modifying the Lease by providing for certain terms and conditions as more particularly set forth herein;</w:t>
      </w:r>
    </w:p>
    <w:p>
      <w:pPr>
        <w:spacing w:after="0" w:line="169" w:lineRule="exact"/>
        <w:rPr>
          <w:sz w:val="20"/>
          <w:szCs w:val="20"/>
          <w:color w:val="auto"/>
        </w:rPr>
      </w:pPr>
    </w:p>
    <w:p>
      <w:pPr>
        <w:ind w:right="480" w:firstLine="647"/>
        <w:spacing w:after="0" w:line="287"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receipt and sufficiency of which are hereby acknowledged,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do hereby agree as follows:</w:t>
      </w:r>
    </w:p>
    <w:p>
      <w:pPr>
        <w:spacing w:after="0" w:line="183" w:lineRule="exact"/>
        <w:rPr>
          <w:sz w:val="20"/>
          <w:szCs w:val="20"/>
          <w:color w:val="auto"/>
        </w:rPr>
      </w:pPr>
    </w:p>
    <w:p>
      <w:pPr>
        <w:ind w:left="1300" w:hanging="645"/>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Capitalized terms not defined herein shall have the same meanings ascribed to such terms in the Lease.</w:t>
      </w:r>
    </w:p>
    <w:p>
      <w:pPr>
        <w:spacing w:after="0" w:line="24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w:t>
      </w:r>
    </w:p>
    <w:p>
      <w:pPr>
        <w:spacing w:after="0" w:line="252" w:lineRule="exact"/>
        <w:rPr>
          <w:rFonts w:ascii="Times New Roman" w:cs="Times New Roman" w:eastAsia="Times New Roman" w:hAnsi="Times New Roman"/>
          <w:sz w:val="20"/>
          <w:szCs w:val="20"/>
          <w:color w:val="auto"/>
        </w:rPr>
      </w:pPr>
    </w:p>
    <w:p>
      <w:pPr>
        <w:jc w:val="both"/>
        <w:ind w:left="80" w:right="320" w:firstLine="1223"/>
        <w:spacing w:after="0" w:line="263" w:lineRule="auto"/>
        <w:tabs>
          <w:tab w:leader="none" w:pos="1931"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the Effective Date and continuing to and including September 30, 2026 (the “</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Surrender Date</w:t>
      </w:r>
      <w:r>
        <w:rPr>
          <w:rFonts w:ascii="Times New Roman" w:cs="Times New Roman" w:eastAsia="Times New Roman" w:hAnsi="Times New Roman"/>
          <w:sz w:val="20"/>
          <w:szCs w:val="20"/>
          <w:color w:val="auto"/>
        </w:rPr>
        <w:t>”), the Premises demised by the Lease shall consist of the Surrendered Premises and the Adjusted Premises and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references in the Lease to the “Premises” shall</w:t>
      </w:r>
    </w:p>
    <w:p>
      <w:pPr>
        <w:sectPr>
          <w:pgSz w:w="11900" w:h="16838" w:orient="portrait"/>
          <w:cols w:equalWidth="0" w:num="1">
            <w:col w:w="11240"/>
          </w:cols>
          <w:pgMar w:left="320" w:top="72" w:right="339" w:bottom="1440" w:gutter="0" w:footer="0" w:header="0"/>
        </w:sectPr>
      </w:pPr>
    </w:p>
    <w:bookmarkStart w:id="48" w:name="page49"/>
    <w:bookmarkEnd w:id="48"/>
    <w:p>
      <w:pPr>
        <w:spacing w:after="0" w:line="108" w:lineRule="exact"/>
        <w:rPr>
          <w:sz w:val="20"/>
          <w:szCs w:val="20"/>
          <w:color w:val="auto"/>
        </w:rPr>
      </w:pPr>
    </w:p>
    <w:p>
      <w:pPr>
        <w:ind w:left="80" w:right="520"/>
        <w:spacing w:after="0" w:line="283" w:lineRule="auto"/>
        <w:rPr>
          <w:sz w:val="20"/>
          <w:szCs w:val="20"/>
          <w:color w:val="auto"/>
        </w:rPr>
      </w:pPr>
      <w:r>
        <w:rPr>
          <w:rFonts w:ascii="Times New Roman" w:cs="Times New Roman" w:eastAsia="Times New Roman" w:hAnsi="Times New Roman"/>
          <w:sz w:val="20"/>
          <w:szCs w:val="20"/>
          <w:color w:val="auto"/>
        </w:rPr>
        <w:t>be deemed to mean the Existing Premises (that is, both Surrendered Premises and the Adjusted Premises), for a total leased premises of 133,852 rentable square feet.</w:t>
      </w:r>
    </w:p>
    <w:p>
      <w:pPr>
        <w:spacing w:after="0" w:line="160" w:lineRule="exact"/>
        <w:rPr>
          <w:sz w:val="20"/>
          <w:szCs w:val="20"/>
          <w:color w:val="auto"/>
        </w:rPr>
      </w:pPr>
    </w:p>
    <w:p>
      <w:pPr>
        <w:jc w:val="both"/>
        <w:ind w:left="80" w:right="320" w:firstLine="1223"/>
        <w:spacing w:after="0" w:line="281" w:lineRule="auto"/>
        <w:tabs>
          <w:tab w:leader="none" w:pos="1929"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Effective at 5:00 PM Chicago time on the Premises Surrender Date, the Lease shall be terminated with respect to the Surrendered Premises only, and commencing on October 1, 2026 (the “</w:t>
      </w:r>
      <w:r>
        <w:rPr>
          <w:rFonts w:ascii="Times New Roman" w:cs="Times New Roman" w:eastAsia="Times New Roman" w:hAnsi="Times New Roman"/>
          <w:sz w:val="19"/>
          <w:szCs w:val="19"/>
          <w:b w:val="1"/>
          <w:bCs w:val="1"/>
          <w:color w:val="auto"/>
        </w:rPr>
        <w:t>Premises Adjustment Date</w:t>
      </w:r>
      <w:r>
        <w:rPr>
          <w:rFonts w:ascii="Times New Roman" w:cs="Times New Roman" w:eastAsia="Times New Roman" w:hAnsi="Times New Roman"/>
          <w:sz w:val="19"/>
          <w:szCs w:val="19"/>
          <w:color w:val="auto"/>
        </w:rPr>
        <w:t>”), all references in the Lease to the “Premises” shall be deemed to mean solely the Adjusted Premises, for a total leased premises of 82,668 rentable square feet.</w:t>
      </w:r>
    </w:p>
    <w:p>
      <w:pPr>
        <w:spacing w:after="0" w:line="16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For purposes of clarity, effective as of the Premises Adjustment Date, the Premises shall be as follows:</w:t>
      </w:r>
    </w:p>
    <w:p>
      <w:pPr>
        <w:spacing w:after="0" w:line="272" w:lineRule="exact"/>
        <w:rPr>
          <w:sz w:val="20"/>
          <w:szCs w:val="20"/>
          <w:color w:val="auto"/>
        </w:rPr>
      </w:pPr>
    </w:p>
    <w:tbl>
      <w:tblPr>
        <w:tblLayout w:type="fixed"/>
        <w:tblInd w:w="2750" w:type="dxa"/>
        <w:tblCellMar>
          <w:top w:w="0" w:type="dxa"/>
          <w:left w:w="0" w:type="dxa"/>
          <w:bottom w:w="0" w:type="dxa"/>
          <w:right w:w="0" w:type="dxa"/>
        </w:tblCellMar>
      </w:tblPr>
      <w:tr>
        <w:trPr>
          <w:trHeight w:val="276"/>
        </w:trPr>
        <w:tc>
          <w:tcPr>
            <w:tcW w:w="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Floor</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Rentable Square Footage</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2"/>
              </w:rPr>
              <w:t>8</w:t>
            </w:r>
            <w:r>
              <w:rPr>
                <w:rFonts w:ascii="Times New Roman" w:cs="Times New Roman" w:eastAsia="Times New Roman" w:hAnsi="Times New Roman"/>
                <w:sz w:val="12"/>
                <w:szCs w:val="12"/>
                <w:color w:val="auto"/>
                <w:w w:val="92"/>
              </w:rPr>
              <w:t>th</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20,667</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2"/>
              </w:rPr>
              <w:t>9</w:t>
            </w:r>
            <w:r>
              <w:rPr>
                <w:rFonts w:ascii="Times New Roman" w:cs="Times New Roman" w:eastAsia="Times New Roman" w:hAnsi="Times New Roman"/>
                <w:sz w:val="12"/>
                <w:szCs w:val="12"/>
                <w:color w:val="auto"/>
                <w:w w:val="92"/>
              </w:rPr>
              <w:t>th</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20,667</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10</w:t>
            </w:r>
            <w:r>
              <w:rPr>
                <w:rFonts w:ascii="Times New Roman" w:cs="Times New Roman" w:eastAsia="Times New Roman" w:hAnsi="Times New Roman"/>
                <w:sz w:val="12"/>
                <w:szCs w:val="12"/>
                <w:color w:val="auto"/>
                <w:w w:val="95"/>
              </w:rPr>
              <w:t>th</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20,667</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17</w:t>
            </w:r>
            <w:r>
              <w:rPr>
                <w:rFonts w:ascii="Times New Roman" w:cs="Times New Roman" w:eastAsia="Times New Roman" w:hAnsi="Times New Roman"/>
                <w:sz w:val="12"/>
                <w:szCs w:val="12"/>
                <w:color w:val="auto"/>
                <w:w w:val="95"/>
              </w:rPr>
              <w:t>th</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20,667</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4"/>
              </w:rPr>
              <w:t>Total</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82,668</w:t>
            </w:r>
          </w:p>
        </w:tc>
      </w:tr>
      <w:tr>
        <w:trPr>
          <w:trHeight w:val="21"/>
        </w:trPr>
        <w:tc>
          <w:tcPr>
            <w:tcW w:w="6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6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320" w:firstLine="1303"/>
        <w:spacing w:after="0" w:line="268" w:lineRule="auto"/>
        <w:tabs>
          <w:tab w:leader="none" w:pos="193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for the Adjusted Premises is hereby extended for a period of eight (8) years from the Lease’s current expiration date of September 30, 2029 and shall therefore expire on September 30, 2037. The Term for the Existing Premises shall therefore expire as follows:</w:t>
      </w:r>
    </w:p>
    <w:p>
      <w:pPr>
        <w:spacing w:after="0" w:line="204" w:lineRule="exact"/>
        <w:rPr>
          <w:sz w:val="20"/>
          <w:szCs w:val="20"/>
          <w:color w:val="auto"/>
        </w:rPr>
      </w:pPr>
    </w:p>
    <w:tbl>
      <w:tblPr>
        <w:tblLayout w:type="fixed"/>
        <w:tblInd w:w="1510" w:type="dxa"/>
        <w:tblCellMar>
          <w:top w:w="0" w:type="dxa"/>
          <w:left w:w="0" w:type="dxa"/>
          <w:bottom w:w="0" w:type="dxa"/>
          <w:right w:w="0" w:type="dxa"/>
        </w:tblCellMar>
      </w:tblPr>
      <w:tr>
        <w:trPr>
          <w:trHeight w:val="276"/>
        </w:trPr>
        <w:tc>
          <w:tcPr>
            <w:tcW w:w="28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Portion of Existing Premises</w:t>
            </w:r>
          </w:p>
        </w:tc>
        <w:tc>
          <w:tcPr>
            <w:tcW w:w="1240" w:type="dxa"/>
            <w:vAlign w:val="bottom"/>
            <w:tcBorders>
              <w:top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Floors</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Expiration Date</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Surrendered Premises</w:t>
            </w:r>
          </w:p>
        </w:tc>
        <w:tc>
          <w:tcPr>
            <w:tcW w:w="1240" w:type="dxa"/>
            <w:vAlign w:val="bottom"/>
            <w:tcBorders>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color w:val="auto"/>
              </w:rPr>
              <w:t>4, 5, 11</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2026</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r>
      <w:tr>
        <w:trPr>
          <w:trHeight w:val="256"/>
        </w:trPr>
        <w:tc>
          <w:tcPr>
            <w:tcW w:w="28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Adjusted Premises</w:t>
            </w:r>
          </w:p>
        </w:tc>
        <w:tc>
          <w:tcPr>
            <w:tcW w:w="1240" w:type="dxa"/>
            <w:vAlign w:val="bottom"/>
            <w:tcBorders>
              <w:right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rPr>
              <w:t>8, 9, 10, 17</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September 30, 2037</w:t>
            </w:r>
          </w:p>
        </w:tc>
      </w:tr>
      <w:tr>
        <w:trPr>
          <w:trHeight w:val="21"/>
        </w:trPr>
        <w:tc>
          <w:tcPr>
            <w:tcW w:w="28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All references in the Lease to the “Expiration Date” with respect to the Surrendered Premises shall mean September 30, 2026 and all references in the Lease to the “Expiration Date” with respect to the Adjusted Premises shall mean September 30, 2037.</w:t>
      </w:r>
    </w:p>
    <w:p>
      <w:pPr>
        <w:spacing w:after="0" w:line="160" w:lineRule="exact"/>
        <w:rPr>
          <w:sz w:val="20"/>
          <w:szCs w:val="20"/>
          <w:color w:val="auto"/>
        </w:rPr>
      </w:pPr>
    </w:p>
    <w:p>
      <w:pPr>
        <w:ind w:left="1940" w:hanging="636"/>
        <w:spacing w:after="0"/>
        <w:tabs>
          <w:tab w:leader="none" w:pos="1940" w:val="left"/>
        </w:tabs>
        <w:numPr>
          <w:ilvl w:val="1"/>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Paragraph 10 of the Sixth Amendment is deemed null and void.</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Rent</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1303"/>
        <w:spacing w:after="0" w:line="258" w:lineRule="auto"/>
        <w:tabs>
          <w:tab w:leader="none" w:pos="1933" w:val="left"/>
        </w:tabs>
        <w:numPr>
          <w:ilvl w:val="1"/>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and including the Premises Surrender Date, Tenant shall continue to pay Base Rent, Tenant’s Pro Rata Share of Taxes and Tenant’s Pro Rata Share of Operating Expenses and any other monetary amounts due and payable for the Existing Premises (consisting of both the Surrendered Premises and the Adjusted Premises) in accordance with the terms and conditions of the Lease. Commencing on the Premises Adjustment Date, Tenant shall begin paying Base Rent, Tenant’s Pro Rata Share of Taxes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381" w:lineRule="exact"/>
        <w:rPr>
          <w:sz w:val="20"/>
          <w:szCs w:val="20"/>
          <w:color w:val="auto"/>
        </w:rPr>
      </w:pPr>
    </w:p>
    <w:p>
      <w:pPr>
        <w:ind w:right="680"/>
        <w:spacing w:after="0" w:line="269" w:lineRule="auto"/>
        <w:rPr>
          <w:sz w:val="20"/>
          <w:szCs w:val="20"/>
          <w:color w:val="auto"/>
        </w:rPr>
      </w:pPr>
      <w:r>
        <w:rPr>
          <w:rFonts w:ascii="Times New Roman" w:cs="Times New Roman" w:eastAsia="Times New Roman" w:hAnsi="Times New Roman"/>
          <w:sz w:val="20"/>
          <w:szCs w:val="20"/>
          <w:color w:val="auto"/>
        </w:rPr>
        <w:t>Tenant’s Pro Rata Share of Operating Expenses solely for the Adjusted Premises (and not for the Surrendered Premises) in accordance with this Section 4 and Sections 5 and 6 below.</w:t>
      </w:r>
    </w:p>
    <w:p>
      <w:pPr>
        <w:spacing w:after="0" w:line="186" w:lineRule="exact"/>
        <w:rPr>
          <w:sz w:val="20"/>
          <w:szCs w:val="20"/>
          <w:color w:val="auto"/>
        </w:rPr>
      </w:pPr>
    </w:p>
    <w:p>
      <w:pPr>
        <w:jc w:val="both"/>
        <w:ind w:firstLine="1303"/>
        <w:spacing w:after="0" w:line="261" w:lineRule="auto"/>
        <w:tabs>
          <w:tab w:leader="none" w:pos="193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the Premises Adjustment Date, Tenant shall pay Base Rent with respect to the Adjusted Premises as follows (which Base Rent shall be payable in accordance with the terms of the Lease and in addition to all other amounts due under the Lease):</w:t>
      </w:r>
    </w:p>
    <w:p>
      <w:pPr>
        <w:spacing w:after="0" w:line="211" w:lineRule="exact"/>
        <w:rPr>
          <w:sz w:val="20"/>
          <w:szCs w:val="20"/>
          <w:color w:val="auto"/>
        </w:rPr>
      </w:pPr>
    </w:p>
    <w:tbl>
      <w:tblPr>
        <w:tblLayout w:type="fixed"/>
        <w:tblInd w:w="710" w:type="dxa"/>
        <w:tblCellMar>
          <w:top w:w="0" w:type="dxa"/>
          <w:left w:w="0" w:type="dxa"/>
          <w:bottom w:w="0" w:type="dxa"/>
          <w:right w:w="0" w:type="dxa"/>
        </w:tblCellMar>
      </w:tblPr>
      <w:tr>
        <w:trPr>
          <w:trHeight w:val="243"/>
        </w:trPr>
        <w:tc>
          <w:tcPr>
            <w:tcW w:w="2400" w:type="dxa"/>
            <w:vAlign w:val="bottom"/>
            <w:tcBorders>
              <w:top w:val="single" w:sz="8" w:color="auto"/>
              <w:left w:val="single" w:sz="8" w:color="auto"/>
              <w:right w:val="single" w:sz="8" w:color="auto"/>
            </w:tcBorders>
          </w:tcPr>
          <w:p>
            <w:pPr>
              <w:jc w:val="center"/>
              <w:ind w:right="381"/>
              <w:spacing w:after="0"/>
              <w:rPr>
                <w:sz w:val="20"/>
                <w:szCs w:val="20"/>
                <w:color w:val="auto"/>
              </w:rPr>
            </w:pPr>
            <w:r>
              <w:rPr>
                <w:rFonts w:ascii="Times New Roman" w:cs="Times New Roman" w:eastAsia="Times New Roman" w:hAnsi="Times New Roman"/>
                <w:sz w:val="20"/>
                <w:szCs w:val="20"/>
                <w:b w:val="1"/>
                <w:bCs w:val="1"/>
                <w:color w:val="auto"/>
                <w:w w:val="95"/>
              </w:rPr>
              <w:t>Lease Year</w:t>
            </w:r>
          </w:p>
        </w:tc>
        <w:tc>
          <w:tcPr>
            <w:tcW w:w="1760" w:type="dxa"/>
            <w:vAlign w:val="bottom"/>
            <w:tcBorders>
              <w:top w:val="single" w:sz="8" w:color="auto"/>
              <w:right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Annual Base</w:t>
            </w:r>
          </w:p>
        </w:tc>
        <w:tc>
          <w:tcPr>
            <w:tcW w:w="2340" w:type="dxa"/>
            <w:vAlign w:val="bottom"/>
            <w:tcBorders>
              <w:top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Monthly Installment of</w:t>
            </w:r>
          </w:p>
        </w:tc>
        <w:tc>
          <w:tcPr>
            <w:tcW w:w="2020" w:type="dxa"/>
            <w:vAlign w:val="bottom"/>
            <w:tcBorders>
              <w:top w:val="single" w:sz="8" w:color="auto"/>
              <w:right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Annual Rate Per</w:t>
            </w:r>
          </w:p>
        </w:tc>
      </w:tr>
      <w:tr>
        <w:trPr>
          <w:trHeight w:val="262"/>
        </w:trPr>
        <w:tc>
          <w:tcPr>
            <w:tcW w:w="2400" w:type="dxa"/>
            <w:vAlign w:val="bottom"/>
            <w:tcBorders>
              <w:left w:val="single" w:sz="8" w:color="auto"/>
              <w:right w:val="single" w:sz="8" w:color="auto"/>
            </w:tcBorders>
          </w:tcPr>
          <w:p>
            <w:pPr>
              <w:spacing w:after="0"/>
              <w:rPr>
                <w:sz w:val="22"/>
                <w:szCs w:val="22"/>
                <w:color w:val="auto"/>
              </w:rPr>
            </w:pPr>
          </w:p>
        </w:tc>
        <w:tc>
          <w:tcPr>
            <w:tcW w:w="1760" w:type="dxa"/>
            <w:vAlign w:val="bottom"/>
            <w:tcBorders>
              <w:right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Rent</w:t>
            </w:r>
          </w:p>
        </w:tc>
        <w:tc>
          <w:tcPr>
            <w:tcW w:w="2340" w:type="dxa"/>
            <w:vAlign w:val="bottom"/>
            <w:tcBorders>
              <w:right w:val="single" w:sz="8" w:color="auto"/>
            </w:tcBorders>
          </w:tcPr>
          <w:p>
            <w:pPr>
              <w:jc w:val="right"/>
              <w:ind w:right="981"/>
              <w:spacing w:after="0"/>
              <w:rPr>
                <w:sz w:val="20"/>
                <w:szCs w:val="20"/>
                <w:color w:val="auto"/>
              </w:rPr>
            </w:pPr>
            <w:r>
              <w:rPr>
                <w:rFonts w:ascii="Times New Roman" w:cs="Times New Roman" w:eastAsia="Times New Roman" w:hAnsi="Times New Roman"/>
                <w:sz w:val="20"/>
                <w:szCs w:val="20"/>
                <w:b w:val="1"/>
                <w:bCs w:val="1"/>
                <w:color w:val="auto"/>
              </w:rPr>
              <w:t>Base Rent</w:t>
            </w:r>
          </w:p>
        </w:tc>
        <w:tc>
          <w:tcPr>
            <w:tcW w:w="2020" w:type="dxa"/>
            <w:vAlign w:val="bottom"/>
            <w:tcBorders>
              <w:right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Square Foot</w:t>
            </w: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2026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$2,025,366.00</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$168,780.50</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$24.50</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2027</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2027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$2,076,000.15</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$173,000.01</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$25.11</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2028</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2028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$2,127,900.15</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$177,325.01</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$25.74</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2029</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2029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$2,181,097.66</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$181,758.14</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$26.38</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2030</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2030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$2,235,625.10</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$186,302.09</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$27.04</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2031</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2031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$2,291,515.73</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$190,959.64</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$27.72</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2032</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2032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$2,348,803.62</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$195,733.63</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$28.41</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2033</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2033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$2,407,523.71</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$200,626.98</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$29.12</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2034</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2034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$2,467,711.80</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$205,642.65</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$29.85</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2035</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2035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$2,529,404.60</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$210,783.72</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$30.60</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2036</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r>
        <w:trPr>
          <w:trHeight w:val="227"/>
        </w:trPr>
        <w:tc>
          <w:tcPr>
            <w:tcW w:w="2400" w:type="dxa"/>
            <w:vAlign w:val="bottom"/>
            <w:tcBorders>
              <w:left w:val="single" w:sz="8" w:color="auto"/>
              <w:right w:val="single" w:sz="8" w:color="auto"/>
            </w:tcBorders>
          </w:tcPr>
          <w:p>
            <w:pPr>
              <w:jc w:val="center"/>
              <w:ind w:right="361"/>
              <w:spacing w:after="0" w:line="228" w:lineRule="exact"/>
              <w:rPr>
                <w:sz w:val="20"/>
                <w:szCs w:val="20"/>
                <w:color w:val="auto"/>
              </w:rPr>
            </w:pPr>
            <w:r>
              <w:rPr>
                <w:rFonts w:ascii="Times New Roman" w:cs="Times New Roman" w:eastAsia="Times New Roman" w:hAnsi="Times New Roman"/>
                <w:sz w:val="20"/>
                <w:szCs w:val="20"/>
                <w:color w:val="auto"/>
                <w:w w:val="98"/>
              </w:rPr>
              <w:t>October 1, 2036 –</w:t>
            </w:r>
          </w:p>
        </w:tc>
        <w:tc>
          <w:tcPr>
            <w:tcW w:w="1760" w:type="dxa"/>
            <w:vAlign w:val="bottom"/>
            <w:tcBorders>
              <w:right w:val="single" w:sz="8" w:color="auto"/>
            </w:tcBorders>
          </w:tcPr>
          <w:p>
            <w:pPr>
              <w:jc w:val="right"/>
              <w:ind w:right="241"/>
              <w:spacing w:after="0" w:line="228" w:lineRule="exact"/>
              <w:rPr>
                <w:sz w:val="20"/>
                <w:szCs w:val="20"/>
                <w:color w:val="auto"/>
              </w:rPr>
            </w:pPr>
            <w:r>
              <w:rPr>
                <w:rFonts w:ascii="Times New Roman" w:cs="Times New Roman" w:eastAsia="Times New Roman" w:hAnsi="Times New Roman"/>
                <w:sz w:val="20"/>
                <w:szCs w:val="20"/>
                <w:color w:val="auto"/>
              </w:rPr>
              <w:t>$2,592,639.71</w:t>
            </w:r>
          </w:p>
        </w:tc>
        <w:tc>
          <w:tcPr>
            <w:tcW w:w="2340" w:type="dxa"/>
            <w:vAlign w:val="bottom"/>
            <w:tcBorders>
              <w:right w:val="single" w:sz="8" w:color="auto"/>
            </w:tcBorders>
          </w:tcPr>
          <w:p>
            <w:pPr>
              <w:jc w:val="right"/>
              <w:ind w:right="581"/>
              <w:spacing w:after="0" w:line="228" w:lineRule="exact"/>
              <w:rPr>
                <w:sz w:val="20"/>
                <w:szCs w:val="20"/>
                <w:color w:val="auto"/>
              </w:rPr>
            </w:pPr>
            <w:r>
              <w:rPr>
                <w:rFonts w:ascii="Times New Roman" w:cs="Times New Roman" w:eastAsia="Times New Roman" w:hAnsi="Times New Roman"/>
                <w:sz w:val="20"/>
                <w:szCs w:val="20"/>
                <w:color w:val="auto"/>
              </w:rPr>
              <w:t>$216,053.31</w:t>
            </w:r>
          </w:p>
        </w:tc>
        <w:tc>
          <w:tcPr>
            <w:tcW w:w="2020" w:type="dxa"/>
            <w:vAlign w:val="bottom"/>
            <w:tcBorders>
              <w:right w:val="single" w:sz="8" w:color="auto"/>
            </w:tcBorders>
          </w:tcPr>
          <w:p>
            <w:pPr>
              <w:jc w:val="right"/>
              <w:ind w:right="641"/>
              <w:spacing w:after="0" w:line="228" w:lineRule="exact"/>
              <w:rPr>
                <w:sz w:val="20"/>
                <w:szCs w:val="20"/>
                <w:color w:val="auto"/>
              </w:rPr>
            </w:pPr>
            <w:r>
              <w:rPr>
                <w:rFonts w:ascii="Times New Roman" w:cs="Times New Roman" w:eastAsia="Times New Roman" w:hAnsi="Times New Roman"/>
                <w:sz w:val="20"/>
                <w:szCs w:val="20"/>
                <w:color w:val="auto"/>
              </w:rPr>
              <w:t>$31.36</w:t>
            </w:r>
          </w:p>
        </w:tc>
      </w:tr>
      <w:tr>
        <w:trPr>
          <w:trHeight w:val="258"/>
        </w:trPr>
        <w:tc>
          <w:tcPr>
            <w:tcW w:w="2400" w:type="dxa"/>
            <w:vAlign w:val="bottom"/>
            <w:tcBorders>
              <w:left w:val="single" w:sz="8" w:color="auto"/>
              <w:right w:val="single" w:sz="8" w:color="auto"/>
            </w:tcBorders>
          </w:tcPr>
          <w:p>
            <w:pPr>
              <w:jc w:val="center"/>
              <w:ind w:right="361"/>
              <w:spacing w:after="0"/>
              <w:rPr>
                <w:sz w:val="20"/>
                <w:szCs w:val="20"/>
                <w:color w:val="auto"/>
              </w:rPr>
            </w:pPr>
            <w:r>
              <w:rPr>
                <w:rFonts w:ascii="Times New Roman" w:cs="Times New Roman" w:eastAsia="Times New Roman" w:hAnsi="Times New Roman"/>
                <w:sz w:val="20"/>
                <w:szCs w:val="20"/>
                <w:color w:val="auto"/>
                <w:w w:val="98"/>
              </w:rPr>
              <w:t>September 30, 2037</w:t>
            </w:r>
          </w:p>
        </w:tc>
        <w:tc>
          <w:tcPr>
            <w:tcW w:w="1760" w:type="dxa"/>
            <w:vAlign w:val="bottom"/>
            <w:tcBorders>
              <w:right w:val="single" w:sz="8" w:color="auto"/>
            </w:tcBorders>
          </w:tcPr>
          <w:p>
            <w:pPr>
              <w:spacing w:after="0"/>
              <w:rPr>
                <w:sz w:val="22"/>
                <w:szCs w:val="22"/>
                <w:color w:val="auto"/>
              </w:rPr>
            </w:pPr>
          </w:p>
        </w:tc>
        <w:tc>
          <w:tcPr>
            <w:tcW w:w="2340" w:type="dxa"/>
            <w:vAlign w:val="bottom"/>
            <w:tcBorders>
              <w:right w:val="single" w:sz="8" w:color="auto"/>
            </w:tcBorders>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r>
      <w:tr>
        <w:trPr>
          <w:trHeight w:val="21"/>
        </w:trPr>
        <w:tc>
          <w:tcPr>
            <w:tcW w:w="2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76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firstLine="655"/>
        <w:spacing w:after="0" w:line="268" w:lineRule="auto"/>
        <w:tabs>
          <w:tab w:leader="none" w:pos="1295"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Tenant’s Share.</w:t>
      </w:r>
      <w:r>
        <w:rPr>
          <w:rFonts w:ascii="Times New Roman" w:cs="Times New Roman" w:eastAsia="Times New Roman" w:hAnsi="Times New Roman"/>
          <w:sz w:val="20"/>
          <w:szCs w:val="20"/>
          <w:color w:val="auto"/>
        </w:rPr>
        <w:t xml:space="preserve"> Commencing on the Premises Adjustment Date, Tenant’s Pro Rata Share (as defined in the Lease) for the Adjusted Premises shall be 25.164% (i.e. 82,668 rentable square feet in the Adjusted Premises/328,516 rentable square feet in the Building).</w:t>
      </w:r>
    </w:p>
    <w:p>
      <w:pPr>
        <w:spacing w:after="0" w:line="174" w:lineRule="exact"/>
        <w:rPr>
          <w:rFonts w:ascii="Times New Roman" w:cs="Times New Roman" w:eastAsia="Times New Roman" w:hAnsi="Times New Roman"/>
          <w:sz w:val="20"/>
          <w:szCs w:val="20"/>
          <w:color w:val="auto"/>
        </w:rPr>
      </w:pPr>
    </w:p>
    <w:p>
      <w:pPr>
        <w:ind w:left="1300" w:hanging="645"/>
        <w:spacing w:after="0"/>
        <w:tabs>
          <w:tab w:leader="none" w:pos="130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Adjusted Premises Rent Abatement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920"/>
          </w:cols>
          <w:pgMar w:left="320" w:top="1440" w:right="659" w:bottom="1440" w:gutter="0" w:footer="0" w:header="0"/>
        </w:sectPr>
      </w:pPr>
    </w:p>
    <w:bookmarkStart w:id="50" w:name="page51"/>
    <w:bookmarkEnd w:id="50"/>
    <w:p>
      <w:pPr>
        <w:spacing w:after="0" w:line="108" w:lineRule="exact"/>
        <w:rPr>
          <w:sz w:val="20"/>
          <w:szCs w:val="20"/>
          <w:color w:val="auto"/>
        </w:rPr>
      </w:pPr>
    </w:p>
    <w:p>
      <w:pPr>
        <w:ind w:left="-240" w:right="80" w:firstLine="1223"/>
        <w:spacing w:after="0" w:line="265" w:lineRule="auto"/>
        <w:tabs>
          <w:tab w:leader="none" w:pos="1611"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Provided no default by Tenant (beyond any applicable notice and cure period) then exists, Landlord hereby agrees to abate Tenant’s obligation to pay monthly installments of Base Rent, Tenant’s Pro Rata Share of Taxes and Tenant’s Pro Rata Share of Operating Expenses for the Adjusted Premises (collectively, the “</w:t>
      </w:r>
      <w:r>
        <w:rPr>
          <w:rFonts w:ascii="Times New Roman" w:cs="Times New Roman" w:eastAsia="Times New Roman" w:hAnsi="Times New Roman"/>
          <w:sz w:val="19"/>
          <w:szCs w:val="19"/>
          <w:b w:val="1"/>
          <w:bCs w:val="1"/>
          <w:color w:val="auto"/>
        </w:rPr>
        <w:t>Adjusted Premises Rent Abatement</w:t>
      </w:r>
      <w:r>
        <w:rPr>
          <w:rFonts w:ascii="Times New Roman" w:cs="Times New Roman" w:eastAsia="Times New Roman" w:hAnsi="Times New Roman"/>
          <w:sz w:val="19"/>
          <w:szCs w:val="19"/>
          <w:color w:val="auto"/>
        </w:rPr>
        <w:t>”) for the eight (8) full calendar months commencing on the Premises Adjustment Date, namely, for the calendar months of October 2026 through May 2027 inclusive (the “</w:t>
      </w:r>
      <w:r>
        <w:rPr>
          <w:rFonts w:ascii="Times New Roman" w:cs="Times New Roman" w:eastAsia="Times New Roman" w:hAnsi="Times New Roman"/>
          <w:sz w:val="19"/>
          <w:szCs w:val="19"/>
          <w:b w:val="1"/>
          <w:bCs w:val="1"/>
          <w:color w:val="auto"/>
        </w:rPr>
        <w:t>Adjusted Premises Rent Abatement Period</w:t>
      </w:r>
      <w:r>
        <w:rPr>
          <w:rFonts w:ascii="Times New Roman" w:cs="Times New Roman" w:eastAsia="Times New Roman" w:hAnsi="Times New Roman"/>
          <w:sz w:val="19"/>
          <w:szCs w:val="19"/>
          <w:color w:val="auto"/>
        </w:rPr>
        <w:t>”). The Adjusted Premises Rent Abatement shall consist of a component of abatement of Base Rent plus a component of abatement of Tenant’s Pro Rata Share of Taxes and Tenant’s Pro Rata Share of Operating Expenses. The amount of the component of the Adjusted Premises Rent Abatement with respect to abatement of Base Rent is equal to One Million Three Hundred Fifty Thousand Two Hundred Forty-Four and No/100 Dollars ($1,350,244.00). The amount of the component of the Adjusted Premises Rent Abatement with respect to Tenant’s Pro Rata Share of Taxes and Tenant’s Pro Rata Share of Operating Expenses shall be provided by Landlord to Tenant upon request by Tenant at any time on or after January 1, 2026.</w:t>
      </w:r>
    </w:p>
    <w:p>
      <w:pPr>
        <w:spacing w:after="0" w:line="193" w:lineRule="exact"/>
        <w:rPr>
          <w:rFonts w:ascii="Times New Roman" w:cs="Times New Roman" w:eastAsia="Times New Roman" w:hAnsi="Times New Roman"/>
          <w:sz w:val="19"/>
          <w:szCs w:val="19"/>
          <w:color w:val="auto"/>
        </w:rPr>
      </w:pPr>
    </w:p>
    <w:p>
      <w:pPr>
        <w:jc w:val="both"/>
        <w:ind w:left="-240" w:firstLine="1223"/>
        <w:spacing w:after="0" w:line="253" w:lineRule="auto"/>
        <w:tabs>
          <w:tab w:leader="none" w:pos="1609"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Adjusted Premises Rent Abatement of Tenant’s Pro Rata Share of Taxes and Tenant’s Pro Rata Share of Operating Expenses shall be deemed to mean an abatement of such actual (and not estimated) amounts of Tenant’s Pro Rata Share of Taxes and Tenant’s Pro Rata Share of Operating Expenses applicable to the Adjusted Premises Rent Abatement Period after any reconciliation or true-up of Taxes and Operating Expenses, as the case may be, at the end of each calendar year, or otherwise as permitted under the Lease, the intent of the parties being that such abatements shall be the full abatement of actual and not estimated Tenant’s Pro Rata Share of Taxes and Tenant’s Pro Rata Share of Operating Expenses.</w:t>
      </w:r>
    </w:p>
    <w:p>
      <w:pPr>
        <w:spacing w:after="0" w:line="192" w:lineRule="exact"/>
        <w:rPr>
          <w:rFonts w:ascii="Times New Roman" w:cs="Times New Roman" w:eastAsia="Times New Roman" w:hAnsi="Times New Roman"/>
          <w:sz w:val="20"/>
          <w:szCs w:val="20"/>
          <w:color w:val="auto"/>
        </w:rPr>
      </w:pPr>
    </w:p>
    <w:p>
      <w:pPr>
        <w:jc w:val="both"/>
        <w:ind w:left="-240" w:firstLine="1223"/>
        <w:spacing w:after="0" w:line="253" w:lineRule="auto"/>
        <w:tabs>
          <w:tab w:leader="none" w:pos="1611"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to the contrary contained herein, Tenant, at its sole option, may elect to reallocate fifty percent (50%) of the Adjusted Premises Rent Abatement towards increasing the total of the Tenant Work Allowance (as such term is defined in Section 3.a of the Tenant Work Letter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to this Seventh Amendment). Should Tenant elect to reallocate such fifty percent (50%) of the Adjusted Premises Rent Abatement to the Tenant Work Allowance, Tenant shall provide written notice to Landlord of such election no later than January 31, 2027.</w:t>
      </w:r>
    </w:p>
    <w:p>
      <w:pPr>
        <w:spacing w:after="0" w:line="205" w:lineRule="exact"/>
        <w:rPr>
          <w:rFonts w:ascii="Times New Roman" w:cs="Times New Roman" w:eastAsia="Times New Roman" w:hAnsi="Times New Roman"/>
          <w:sz w:val="20"/>
          <w:szCs w:val="20"/>
          <w:color w:val="auto"/>
        </w:rPr>
      </w:pPr>
    </w:p>
    <w:p>
      <w:pPr>
        <w:ind w:left="980" w:hanging="644"/>
        <w:spacing w:after="0"/>
        <w:tabs>
          <w:tab w:leader="none" w:pos="98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Option to Extend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firstLine="1303"/>
        <w:spacing w:after="0" w:line="264" w:lineRule="auto"/>
        <w:tabs>
          <w:tab w:leader="none" w:pos="1613"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Option Right</w:t>
      </w:r>
      <w:r>
        <w:rPr>
          <w:rFonts w:ascii="Times New Roman" w:cs="Times New Roman" w:eastAsia="Times New Roman" w:hAnsi="Times New Roman"/>
          <w:sz w:val="19"/>
          <w:szCs w:val="19"/>
          <w:color w:val="auto"/>
        </w:rPr>
        <w:t xml:space="preserve">. Landlord hereby grants Tenant one (1) option to extend the Term for all, but not less than all, of the Adjusted Premises (as the same may be reduced pursuant to the Contraction Option, as defined in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below) (said Adjusted Premises, as the same may be reduced by pursuant to the Contraction Option, are hereinafter referred to as the “</w:t>
      </w:r>
      <w:r>
        <w:rPr>
          <w:rFonts w:ascii="Times New Roman" w:cs="Times New Roman" w:eastAsia="Times New Roman" w:hAnsi="Times New Roman"/>
          <w:sz w:val="19"/>
          <w:szCs w:val="19"/>
          <w:b w:val="1"/>
          <w:bCs w:val="1"/>
          <w:color w:val="auto"/>
        </w:rPr>
        <w:t>Renewal Premises</w:t>
      </w:r>
      <w:r>
        <w:rPr>
          <w:rFonts w:ascii="Times New Roman" w:cs="Times New Roman" w:eastAsia="Times New Roman" w:hAnsi="Times New Roman"/>
          <w:sz w:val="19"/>
          <w:szCs w:val="19"/>
          <w:color w:val="auto"/>
        </w:rPr>
        <w:t>”) leased by Tenant for a period of five (5) years from October 1, 2037 to September 30, 2042 (the “</w:t>
      </w:r>
      <w:r>
        <w:rPr>
          <w:rFonts w:ascii="Times New Roman" w:cs="Times New Roman" w:eastAsia="Times New Roman" w:hAnsi="Times New Roman"/>
          <w:sz w:val="19"/>
          <w:szCs w:val="19"/>
          <w:b w:val="1"/>
          <w:bCs w:val="1"/>
          <w:color w:val="auto"/>
        </w:rPr>
        <w:t>Option Term</w:t>
      </w:r>
      <w:r>
        <w:rPr>
          <w:rFonts w:ascii="Times New Roman" w:cs="Times New Roman" w:eastAsia="Times New Roman" w:hAnsi="Times New Roman"/>
          <w:sz w:val="19"/>
          <w:szCs w:val="19"/>
          <w:color w:val="auto"/>
        </w:rPr>
        <w:t xml:space="preserve">”), which option shall be exercisable only by written notice delivered by Tenant to Landlord as provided below, provided that, as of the date of delivery of such notice, Tenant is not in default under this Lease beyond any applicable notice and cure period. Upon the proper exercise of such option to extend, and provided that, at Landlord’s option, as of the end of the then-applicable Term, Tenant is not in default under this Lease beyond any applicable notice and cure period, the Term shall be extended for the Option Term. The rights contained in this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shall be personal to Tenant and may only be exercised by Tenant (and not any assignee, subtenant or other transferee of Tenant’s interest in this Lease, other than a Related Entity, as such term is defined in Article 21(G) of the Original Lease) if the Tenant occupies the entire Renewal Premises for general office use. If Tenant does not timely exercise its option to extend, as set forth in this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xml:space="preserve">, then the option to extend, as set forth in this </w:t>
      </w:r>
      <w:r>
        <w:rPr>
          <w:rFonts w:ascii="Times New Roman" w:cs="Times New Roman" w:eastAsia="Times New Roman" w:hAnsi="Times New Roman"/>
          <w:sz w:val="19"/>
          <w:szCs w:val="19"/>
          <w:u w:val="single" w:color="auto"/>
          <w:color w:val="auto"/>
        </w:rPr>
        <w:t>Section 7(a)</w:t>
      </w:r>
      <w:r>
        <w:rPr>
          <w:rFonts w:ascii="Times New Roman" w:cs="Times New Roman" w:eastAsia="Times New Roman" w:hAnsi="Times New Roman"/>
          <w:sz w:val="19"/>
          <w:szCs w:val="19"/>
          <w:color w:val="auto"/>
        </w:rPr>
        <w:t>, shall terminate, and Tenant shall have no further options to extend the Term.</w:t>
      </w:r>
    </w:p>
    <w:p>
      <w:pPr>
        <w:spacing w:after="0" w:line="194" w:lineRule="exact"/>
        <w:rPr>
          <w:rFonts w:ascii="Times New Roman" w:cs="Times New Roman" w:eastAsia="Times New Roman" w:hAnsi="Times New Roman"/>
          <w:sz w:val="19"/>
          <w:szCs w:val="19"/>
          <w:color w:val="auto"/>
        </w:rPr>
      </w:pPr>
    </w:p>
    <w:p>
      <w:pPr>
        <w:ind w:left="-320" w:right="20" w:firstLine="1303"/>
        <w:spacing w:after="0" w:line="269" w:lineRule="auto"/>
        <w:tabs>
          <w:tab w:leader="none" w:pos="161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Rent During Option Term</w:t>
      </w:r>
      <w:r>
        <w:rPr>
          <w:rFonts w:ascii="Times New Roman" w:cs="Times New Roman" w:eastAsia="Times New Roman" w:hAnsi="Times New Roman"/>
          <w:sz w:val="20"/>
          <w:szCs w:val="20"/>
          <w:color w:val="auto"/>
        </w:rPr>
        <w:t>. The Base Rent payable by Tenant, on an annual per rentable square foot basis during each Option Term, if applicable (the “</w:t>
      </w:r>
      <w:r>
        <w:rPr>
          <w:rFonts w:ascii="Times New Roman" w:cs="Times New Roman" w:eastAsia="Times New Roman" w:hAnsi="Times New Roman"/>
          <w:sz w:val="20"/>
          <w:szCs w:val="20"/>
          <w:b w:val="1"/>
          <w:bCs w:val="1"/>
          <w:color w:val="auto"/>
        </w:rPr>
        <w:t>Option Rent</w:t>
      </w:r>
      <w:r>
        <w:rPr>
          <w:rFonts w:ascii="Times New Roman" w:cs="Times New Roman" w:eastAsia="Times New Roman" w:hAnsi="Times New Roman"/>
          <w:sz w:val="20"/>
          <w:szCs w:val="20"/>
          <w:color w:val="auto"/>
        </w:rPr>
        <w:t>”), shall be equal</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600"/>
          </w:cols>
          <w:pgMar w:left="640" w:top="1440" w:right="659" w:bottom="1440" w:gutter="0" w:footer="0" w:header="0"/>
        </w:sectPr>
      </w:pPr>
    </w:p>
    <w:bookmarkStart w:id="51" w:name="page52"/>
    <w:bookmarkEnd w:id="51"/>
    <w:p>
      <w:pPr>
        <w:spacing w:after="0" w:line="1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to the Office Fair Market Rent Rate (as defined hereinbelow). The “</w:t>
      </w:r>
      <w:r>
        <w:rPr>
          <w:rFonts w:ascii="Times New Roman" w:cs="Times New Roman" w:eastAsia="Times New Roman" w:hAnsi="Times New Roman"/>
          <w:sz w:val="20"/>
          <w:szCs w:val="20"/>
          <w:b w:val="1"/>
          <w:bCs w:val="1"/>
          <w:color w:val="auto"/>
        </w:rPr>
        <w:t>Office Fair Market Rent Rate</w:t>
      </w:r>
      <w:r>
        <w:rPr>
          <w:rFonts w:ascii="Times New Roman" w:cs="Times New Roman" w:eastAsia="Times New Roman" w:hAnsi="Times New Roman"/>
          <w:sz w:val="20"/>
          <w:szCs w:val="20"/>
          <w:color w:val="auto"/>
        </w:rPr>
        <w:t>” for purposes of determining the Option Rent for the Renewal Premises during the Option Term shall be equal to the base rent, calculated on an annual per rentable square foot basis, including all escalations, at which tenants, as of the commencement of the Option Term, are leasing non-sublease, non-encumbered, non- equity, non-renewal, non-expansion, fully permitted office space comparable in size, location and quality to the Renewal Premises, for a lease term of five (5) years or longer, for general office use, in an arm’s length transaction, which comparable space is located in the Building and in the Comparable Buildings (as defined hereinbelow) (collectively, the “</w:t>
      </w:r>
      <w:r>
        <w:rPr>
          <w:rFonts w:ascii="Times New Roman" w:cs="Times New Roman" w:eastAsia="Times New Roman" w:hAnsi="Times New Roman"/>
          <w:sz w:val="20"/>
          <w:szCs w:val="20"/>
          <w:b w:val="1"/>
          <w:bCs w:val="1"/>
          <w:color w:val="auto"/>
        </w:rPr>
        <w:t>Comparable Office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Transactions</w:t>
      </w:r>
      <w:r>
        <w:rPr>
          <w:rFonts w:ascii="Times New Roman" w:cs="Times New Roman" w:eastAsia="Times New Roman" w:hAnsi="Times New Roman"/>
          <w:sz w:val="20"/>
          <w:szCs w:val="20"/>
          <w:color w:val="auto"/>
        </w:rPr>
        <w:t>”), and which Comparable Office Transactions have been entered into within the nine (9) month period prior to Landlord’s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delivery of the Rent Notice (as defined below). The Office Fair Market Rent for purposes of this Lease, the term “</w:t>
      </w:r>
      <w:r>
        <w:rPr>
          <w:rFonts w:ascii="Times New Roman" w:cs="Times New Roman" w:eastAsia="Times New Roman" w:hAnsi="Times New Roman"/>
          <w:sz w:val="20"/>
          <w:szCs w:val="20"/>
          <w:b w:val="1"/>
          <w:bCs w:val="1"/>
          <w:color w:val="auto"/>
        </w:rPr>
        <w:t>Comparable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Buildings</w:t>
      </w:r>
      <w:r>
        <w:rPr>
          <w:rFonts w:ascii="Times New Roman" w:cs="Times New Roman" w:eastAsia="Times New Roman" w:hAnsi="Times New Roman"/>
          <w:sz w:val="20"/>
          <w:szCs w:val="20"/>
          <w:color w:val="auto"/>
        </w:rPr>
        <w:t>” shall mean other buildings containing offices, which buildings are located in the proximity of the Building and possess similar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attributes.</w:t>
      </w:r>
    </w:p>
    <w:p>
      <w:pPr>
        <w:spacing w:after="0" w:line="204" w:lineRule="exact"/>
        <w:rPr>
          <w:sz w:val="20"/>
          <w:szCs w:val="20"/>
          <w:color w:val="auto"/>
        </w:rPr>
      </w:pPr>
    </w:p>
    <w:p>
      <w:pPr>
        <w:ind w:left="1940" w:hanging="637"/>
        <w:spacing w:after="0"/>
        <w:tabs>
          <w:tab w:leader="none" w:pos="194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w:t>
      </w:r>
      <w:r>
        <w:rPr>
          <w:rFonts w:ascii="Times New Roman" w:cs="Times New Roman" w:eastAsia="Times New Roman" w:hAnsi="Times New Roman"/>
          <w:sz w:val="20"/>
          <w:szCs w:val="20"/>
          <w:color w:val="auto"/>
        </w:rPr>
        <w:t xml:space="preserve">. The option contained in this </w:t>
      </w:r>
      <w:r>
        <w:rPr>
          <w:rFonts w:ascii="Times New Roman" w:cs="Times New Roman" w:eastAsia="Times New Roman" w:hAnsi="Times New Roman"/>
          <w:sz w:val="20"/>
          <w:szCs w:val="20"/>
          <w:u w:val="single" w:color="auto"/>
          <w:color w:val="auto"/>
        </w:rPr>
        <w:t>Section 7(c)</w:t>
      </w:r>
      <w:r>
        <w:rPr>
          <w:rFonts w:ascii="Times New Roman" w:cs="Times New Roman" w:eastAsia="Times New Roman" w:hAnsi="Times New Roman"/>
          <w:sz w:val="20"/>
          <w:szCs w:val="20"/>
          <w:color w:val="auto"/>
        </w:rPr>
        <w:t xml:space="preserve"> shall be exercised by Tenant, if at all, only in the</w:t>
      </w:r>
    </w:p>
    <w:p>
      <w:pPr>
        <w:spacing w:after="0" w:line="21" w:lineRule="exact"/>
        <w:rPr>
          <w:rFonts w:ascii="Times New Roman" w:cs="Times New Roman" w:eastAsia="Times New Roman" w:hAnsi="Times New Roman"/>
          <w:sz w:val="20"/>
          <w:szCs w:val="20"/>
          <w:color w:val="auto"/>
        </w:rPr>
      </w:pPr>
    </w:p>
    <w:p>
      <w:pPr>
        <w:jc w:val="both"/>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manner: (i) Tenant shall deliver written notice to Landlord not less than twelve (12) months, but not more than fifteen (15) months, prior to the expiration of the initial Term; (ii) Landlord, within thirty (30) days after receipt of Tenant’s notice, shall deliver notice (the “</w:t>
      </w:r>
      <w:r>
        <w:rPr>
          <w:rFonts w:ascii="Times New Roman" w:cs="Times New Roman" w:eastAsia="Times New Roman" w:hAnsi="Times New Roman"/>
          <w:sz w:val="20"/>
          <w:szCs w:val="20"/>
          <w:b w:val="1"/>
          <w:bCs w:val="1"/>
          <w:color w:val="auto"/>
        </w:rPr>
        <w:t>Option Rent Notice</w:t>
      </w:r>
      <w:r>
        <w:rPr>
          <w:rFonts w:ascii="Times New Roman" w:cs="Times New Roman" w:eastAsia="Times New Roman" w:hAnsi="Times New Roman"/>
          <w:sz w:val="20"/>
          <w:szCs w:val="20"/>
          <w:color w:val="auto"/>
        </w:rPr>
        <w:t>”) to Tenant setting forth the Option Rent; and (iii) Tenant, within thirty (30) days after receipt of the Option Rent Notice, shall deliver notice (the “</w:t>
      </w:r>
      <w:r>
        <w:rPr>
          <w:rFonts w:ascii="Times New Roman" w:cs="Times New Roman" w:eastAsia="Times New Roman" w:hAnsi="Times New Roman"/>
          <w:sz w:val="20"/>
          <w:szCs w:val="20"/>
          <w:b w:val="1"/>
          <w:bCs w:val="1"/>
          <w:color w:val="auto"/>
        </w:rPr>
        <w:t>Option Exercise Notice</w:t>
      </w:r>
      <w:r>
        <w:rPr>
          <w:rFonts w:ascii="Times New Roman" w:cs="Times New Roman" w:eastAsia="Times New Roman" w:hAnsi="Times New Roman"/>
          <w:sz w:val="20"/>
          <w:szCs w:val="20"/>
          <w:color w:val="auto"/>
        </w:rPr>
        <w:t>”) to Landlord specifying whether (1) Tenant accepts the Option Rent set forth in Landlord’s Option Rent Notice; or (2) Tenant desires to engage in good faith negotiations regarding determination of the Option Rent for a period of up to thirty (30) days following Tenant’s receipt of the Option Exercise Notice (the “</w:t>
      </w:r>
      <w:r>
        <w:rPr>
          <w:rFonts w:ascii="Times New Roman" w:cs="Times New Roman" w:eastAsia="Times New Roman" w:hAnsi="Times New Roman"/>
          <w:sz w:val="20"/>
          <w:szCs w:val="20"/>
          <w:b w:val="1"/>
          <w:bCs w:val="1"/>
          <w:color w:val="auto"/>
        </w:rPr>
        <w:t>Negotiation Period”</w:t>
      </w:r>
      <w:r>
        <w:rPr>
          <w:rFonts w:ascii="Times New Roman" w:cs="Times New Roman" w:eastAsia="Times New Roman" w:hAnsi="Times New Roman"/>
          <w:sz w:val="20"/>
          <w:szCs w:val="20"/>
          <w:color w:val="auto"/>
        </w:rPr>
        <w:t xml:space="preserve">). If the parties are unable to agree upon the Option Rent during the Negotiation Period as provided above, then the Option Rent shall be determined pursuant to the arbitration procedure set forth in </w:t>
      </w:r>
      <w:r>
        <w:rPr>
          <w:rFonts w:ascii="Times New Roman" w:cs="Times New Roman" w:eastAsia="Times New Roman" w:hAnsi="Times New Roman"/>
          <w:sz w:val="20"/>
          <w:szCs w:val="20"/>
          <w:u w:val="single" w:color="auto"/>
          <w:color w:val="auto"/>
        </w:rPr>
        <w:t>Section 7(d)</w:t>
      </w:r>
      <w:r>
        <w:rPr>
          <w:rFonts w:ascii="Times New Roman" w:cs="Times New Roman" w:eastAsia="Times New Roman" w:hAnsi="Times New Roman"/>
          <w:sz w:val="20"/>
          <w:szCs w:val="20"/>
          <w:color w:val="auto"/>
        </w:rPr>
        <w:t xml:space="preserve"> below.</w:t>
      </w:r>
    </w:p>
    <w:p>
      <w:pPr>
        <w:spacing w:after="0" w:line="209" w:lineRule="exact"/>
        <w:rPr>
          <w:rFonts w:ascii="Times New Roman" w:cs="Times New Roman" w:eastAsia="Times New Roman" w:hAnsi="Times New Roman"/>
          <w:sz w:val="20"/>
          <w:szCs w:val="20"/>
          <w:color w:val="auto"/>
        </w:rPr>
      </w:pPr>
    </w:p>
    <w:p>
      <w:pPr>
        <w:jc w:val="both"/>
        <w:ind w:firstLine="1303"/>
        <w:spacing w:after="0" w:line="250" w:lineRule="auto"/>
        <w:tabs>
          <w:tab w:leader="none" w:pos="193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Determination of Option Rent</w:t>
      </w:r>
      <w:r>
        <w:rPr>
          <w:rFonts w:ascii="Times New Roman" w:cs="Times New Roman" w:eastAsia="Times New Roman" w:hAnsi="Times New Roman"/>
          <w:sz w:val="19"/>
          <w:szCs w:val="19"/>
          <w:color w:val="auto"/>
        </w:rPr>
        <w:t>. In the event Tenant elects to determine Option Rent through arbitration, then each party shall make a separate determination of the Option Rent and, within five (5) Business Days after Landlord’s receipt of the Option Exercise Notice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9"/>
          <w:szCs w:val="19"/>
          <w:color w:val="auto"/>
        </w:rPr>
        <w:t>) Business Day referred to as the “</w:t>
      </w:r>
      <w:r>
        <w:rPr>
          <w:rFonts w:ascii="Times New Roman" w:cs="Times New Roman" w:eastAsia="Times New Roman" w:hAnsi="Times New Roman"/>
          <w:sz w:val="19"/>
          <w:szCs w:val="19"/>
          <w:b w:val="1"/>
          <w:bCs w:val="1"/>
          <w:color w:val="auto"/>
        </w:rPr>
        <w:t>Outside Submittal Date</w:t>
      </w:r>
      <w:r>
        <w:rPr>
          <w:rFonts w:ascii="Times New Roman" w:cs="Times New Roman" w:eastAsia="Times New Roman" w:hAnsi="Times New Roman"/>
          <w:sz w:val="19"/>
          <w:szCs w:val="19"/>
          <w:color w:val="auto"/>
        </w:rPr>
        <w:t xml:space="preserve">”), concurrently exchange such determinations and such determinations shall be submitted to arbitration in accordance with </w:t>
      </w:r>
      <w:r>
        <w:rPr>
          <w:rFonts w:ascii="Times New Roman" w:cs="Times New Roman" w:eastAsia="Times New Roman" w:hAnsi="Times New Roman"/>
          <w:sz w:val="19"/>
          <w:szCs w:val="19"/>
          <w:u w:val="single" w:color="auto"/>
          <w:color w:val="auto"/>
        </w:rPr>
        <w:t>Section 7(d)(i)</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Section 7(d)(vi)</w:t>
      </w:r>
      <w:r>
        <w:rPr>
          <w:rFonts w:ascii="Times New Roman" w:cs="Times New Roman" w:eastAsia="Times New Roman" w:hAnsi="Times New Roman"/>
          <w:sz w:val="19"/>
          <w:szCs w:val="19"/>
          <w:color w:val="auto"/>
        </w:rPr>
        <w:t xml:space="preserve"> below.</w:t>
      </w:r>
    </w:p>
    <w:p>
      <w:pPr>
        <w:spacing w:after="0" w:line="204" w:lineRule="exact"/>
        <w:rPr>
          <w:rFonts w:ascii="Times New Roman" w:cs="Times New Roman" w:eastAsia="Times New Roman" w:hAnsi="Times New Roman"/>
          <w:sz w:val="19"/>
          <w:szCs w:val="19"/>
          <w:color w:val="auto"/>
        </w:rPr>
      </w:pPr>
    </w:p>
    <w:p>
      <w:pPr>
        <w:jc w:val="both"/>
        <w:ind w:firstLine="1952"/>
        <w:spacing w:after="0" w:line="253" w:lineRule="auto"/>
        <w:tabs>
          <w:tab w:leader="none" w:pos="2590"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Tenant shall each appoint one arbitrator who shall be, at the option of the appointing party, a real estate broker who shall have been active over the five (5) year period ending on the date of such appointment in the leasing of commercial mixed-use office, retail properties in the central business district of Chicago, Illinois. Each such arbitrator shall be appointed within fifteen (15) days after the Outside Submittal Date. Landlord and Tenant may consult with their selected arbitrators prior to appointment and may select an arbitrator who is favorable to their respective positions. The arbitrators so selected by Landlord and Tenant shall be deemed “</w:t>
      </w:r>
      <w:r>
        <w:rPr>
          <w:rFonts w:ascii="Times New Roman" w:cs="Times New Roman" w:eastAsia="Times New Roman" w:hAnsi="Times New Roman"/>
          <w:sz w:val="20"/>
          <w:szCs w:val="20"/>
          <w:b w:val="1"/>
          <w:bCs w:val="1"/>
          <w:color w:val="auto"/>
        </w:rPr>
        <w:t>Advocate Arbitrators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952"/>
        <w:spacing w:after="0" w:line="251" w:lineRule="auto"/>
        <w:tabs>
          <w:tab w:leader="none" w:pos="2591"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two (2) Advocate Arbitrators so appointed shall be specifically required pursuant to an engagement letter within ten (10) days after the date of the appointment of the last appointed Advocate Arbitrator to agree upon and appoint a third arbitrator (“</w:t>
      </w:r>
      <w:r>
        <w:rPr>
          <w:rFonts w:ascii="Times New Roman" w:cs="Times New Roman" w:eastAsia="Times New Roman" w:hAnsi="Times New Roman"/>
          <w:sz w:val="20"/>
          <w:szCs w:val="20"/>
          <w:b w:val="1"/>
          <w:bCs w:val="1"/>
          <w:color w:val="auto"/>
        </w:rPr>
        <w:t>Neutral Arbitrator</w:t>
      </w:r>
      <w:r>
        <w:rPr>
          <w:rFonts w:ascii="Times New Roman" w:cs="Times New Roman" w:eastAsia="Times New Roman" w:hAnsi="Times New Roman"/>
          <w:sz w:val="20"/>
          <w:szCs w:val="20"/>
          <w:color w:val="auto"/>
        </w:rPr>
        <w:t>”) who shall be qualified under the same criteria set forth hereinabove for qualification of the two Advocate Arbitrators, except that neither the Landlord or Tenant or either parties’ Advocate Arbitrator may, directly or indirectly, consult with the Neutral Arbitrator prior or subsequent to his or her appearance. The Neutral Arbitrator shall be retained via an engagement letter jointly prepared by Landlord’s counsel and Tenant’s counsel.</w:t>
      </w:r>
    </w:p>
    <w:p>
      <w:pPr>
        <w:spacing w:after="0" w:line="3" w:lineRule="exact"/>
        <w:rPr>
          <w:rFonts w:ascii="Times New Roman" w:cs="Times New Roman" w:eastAsia="Times New Roman" w:hAnsi="Times New Roman"/>
          <w:sz w:val="20"/>
          <w:szCs w:val="20"/>
          <w:color w:val="auto"/>
        </w:rPr>
      </w:pPr>
    </w:p>
    <w:p>
      <w:pPr>
        <w:ind w:firstLine="1952"/>
        <w:spacing w:after="0" w:line="253" w:lineRule="auto"/>
        <w:tabs>
          <w:tab w:leader="none" w:pos="2592" w:val="left"/>
        </w:tabs>
        <w:numPr>
          <w:ilvl w:val="1"/>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determination of the Neutral Arbitrator shall be limited solely to the issue of whether Landlord’s or Tenant’s submitted Option Rent is the closest to the actual Option Rent,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920"/>
          </w:cols>
          <w:pgMar w:left="320" w:top="1440" w:right="65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taking into account the requirements of </w:t>
      </w:r>
      <w:r>
        <w:rPr>
          <w:rFonts w:ascii="Times New Roman" w:cs="Times New Roman" w:eastAsia="Times New Roman" w:hAnsi="Times New Roman"/>
          <w:sz w:val="20"/>
          <w:szCs w:val="20"/>
          <w:u w:val="single" w:color="auto"/>
          <w:color w:val="auto"/>
        </w:rPr>
        <w:t>Section 7(b)</w:t>
      </w:r>
      <w:r>
        <w:rPr>
          <w:rFonts w:ascii="Times New Roman" w:cs="Times New Roman" w:eastAsia="Times New Roman" w:hAnsi="Times New Roman"/>
          <w:sz w:val="20"/>
          <w:szCs w:val="20"/>
          <w:color w:val="auto"/>
        </w:rPr>
        <w:t xml:space="preserve"> of this Seventh Amendment, as determined by the Neutral Arbitrator. The Neutral Arbitrator shall, within thirty (30) days after the appointment of the Neutral Arbitrator, select either Landlord’s or Tenant’s submitted Option Rent for the applicable Option Term, and shall notify Landlord and Tenant thereof within such timeframe.</w:t>
      </w:r>
    </w:p>
    <w:p>
      <w:pPr>
        <w:spacing w:after="0" w:line="195" w:lineRule="exact"/>
        <w:rPr>
          <w:sz w:val="20"/>
          <w:szCs w:val="20"/>
          <w:color w:val="auto"/>
        </w:rPr>
      </w:pPr>
    </w:p>
    <w:p>
      <w:pPr>
        <w:ind w:left="2580" w:hanging="627"/>
        <w:spacing w:after="0"/>
        <w:tabs>
          <w:tab w:leader="none" w:pos="258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decision of the Neutral Arbitrator shall be binding upon Landlord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w:t>
      </w:r>
    </w:p>
    <w:p>
      <w:pPr>
        <w:spacing w:after="0" w:line="229" w:lineRule="exact"/>
        <w:rPr>
          <w:sz w:val="20"/>
          <w:szCs w:val="20"/>
          <w:color w:val="auto"/>
        </w:rPr>
      </w:pPr>
    </w:p>
    <w:p>
      <w:pPr>
        <w:jc w:val="both"/>
        <w:ind w:firstLine="1952"/>
        <w:spacing w:after="0" w:line="268" w:lineRule="auto"/>
        <w:tabs>
          <w:tab w:leader="none" w:pos="258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either Landlord or Tenant fails to appoint an Advocate Arbitrator within ten (10) Business Days after the applicable Outside Submittal Date, the Advocate Arbitrator appointed by one of them shall reach a decision, notify Landlord and Tenant thereof, and such arbitrator’s decision shall be binding upon Landlord and Tenant.</w:t>
      </w:r>
    </w:p>
    <w:p>
      <w:pPr>
        <w:spacing w:after="0" w:line="174"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two Advocate Arbitrators fail to agree upon and appoint a Neutral Arbitrator, or both parties fail to appoint Advocate Arbitrators, then the appointment of the Neutral Arbitrator or any Advocate Arbitrator shall be dismissed and the Option Rent to be decided shall be forthwith submitted to arbitration under the provisions of the American Arbitration Association, but subject to the instruction set forth in this </w:t>
      </w:r>
      <w:r>
        <w:rPr>
          <w:rFonts w:ascii="Times New Roman" w:cs="Times New Roman" w:eastAsia="Times New Roman" w:hAnsi="Times New Roman"/>
          <w:sz w:val="20"/>
          <w:szCs w:val="20"/>
          <w:u w:val="single" w:color="auto"/>
          <w:color w:val="auto"/>
        </w:rPr>
        <w:t>Section 7(d)</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left="2600" w:hanging="647"/>
        <w:spacing w:after="0"/>
        <w:tabs>
          <w:tab w:leader="none" w:pos="26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the arbitration shall be equally divided between Landlord and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w:t>
      </w:r>
    </w:p>
    <w:p>
      <w:pPr>
        <w:spacing w:after="0" w:line="2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the event that the Option Rent shall not have been determined pursuant to the terms hereof prior to the commencement of the Option Term, Tenant shall be required to pay the Option Rent initially provided by Landlord to Tenant, and upon the final determination of the Option Rent, the payments made by Tenant shall be reconciled with the actual amounts of Option Rent due, and the appropriate party shall make any corresponding payment to the other party.</w:t>
      </w:r>
    </w:p>
    <w:p>
      <w:pPr>
        <w:spacing w:after="0" w:line="201"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All references to the “Term” in the Lease, including this Seventh Amendment, shall be deemed to include the Option Term, if so exercised by Tenant.</w:t>
      </w:r>
    </w:p>
    <w:p>
      <w:pPr>
        <w:spacing w:after="0" w:line="186" w:lineRule="exact"/>
        <w:rPr>
          <w:sz w:val="20"/>
          <w:szCs w:val="20"/>
          <w:color w:val="auto"/>
        </w:rPr>
      </w:pPr>
    </w:p>
    <w:p>
      <w:pPr>
        <w:ind w:firstLine="655"/>
        <w:spacing w:after="0" w:line="269" w:lineRule="auto"/>
        <w:tabs>
          <w:tab w:leader="none" w:pos="129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Option</w:t>
      </w:r>
      <w:r>
        <w:rPr>
          <w:rFonts w:ascii="Times New Roman" w:cs="Times New Roman" w:eastAsia="Times New Roman" w:hAnsi="Times New Roman"/>
          <w:sz w:val="20"/>
          <w:szCs w:val="20"/>
          <w:color w:val="auto"/>
        </w:rPr>
        <w:t>. Commencing on the Premises Adjustment Date, Section 14 of the Sixth Amendment is hereby deleted in its entirety and Tenant shall have the following termination option (the “</w:t>
      </w:r>
      <w:r>
        <w:rPr>
          <w:rFonts w:ascii="Times New Roman" w:cs="Times New Roman" w:eastAsia="Times New Roman" w:hAnsi="Times New Roman"/>
          <w:sz w:val="20"/>
          <w:szCs w:val="20"/>
          <w:b w:val="1"/>
          <w:bCs w:val="1"/>
          <w:color w:val="auto"/>
        </w:rPr>
        <w:t>Termination Option</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80" w:firstLine="1223"/>
        <w:spacing w:after="0" w:line="251" w:lineRule="auto"/>
        <w:tabs>
          <w:tab w:leader="none" w:pos="1931"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the Lease is then in full force and effect and no default by Tenant after the expiration of any applicable notice and cure periods then exists under the Lease, Tenant shall have the right (the “</w:t>
      </w:r>
      <w:r>
        <w:rPr>
          <w:rFonts w:ascii="Times New Roman" w:cs="Times New Roman" w:eastAsia="Times New Roman" w:hAnsi="Times New Roman"/>
          <w:sz w:val="20"/>
          <w:szCs w:val="20"/>
          <w:b w:val="1"/>
          <w:bCs w:val="1"/>
          <w:color w:val="auto"/>
        </w:rPr>
        <w:t>Termination Option</w:t>
      </w:r>
      <w:r>
        <w:rPr>
          <w:rFonts w:ascii="Times New Roman" w:cs="Times New Roman" w:eastAsia="Times New Roman" w:hAnsi="Times New Roman"/>
          <w:sz w:val="20"/>
          <w:szCs w:val="20"/>
          <w:color w:val="auto"/>
        </w:rPr>
        <w:t>”) upon the delivery of irrevocable notice (the “</w:t>
      </w:r>
      <w:r>
        <w:rPr>
          <w:rFonts w:ascii="Times New Roman" w:cs="Times New Roman" w:eastAsia="Times New Roman" w:hAnsi="Times New Roman"/>
          <w:sz w:val="20"/>
          <w:szCs w:val="20"/>
          <w:b w:val="1"/>
          <w:bCs w:val="1"/>
          <w:color w:val="auto"/>
        </w:rPr>
        <w:t>Termination Notice</w:t>
      </w:r>
      <w:r>
        <w:rPr>
          <w:rFonts w:ascii="Times New Roman" w:cs="Times New Roman" w:eastAsia="Times New Roman" w:hAnsi="Times New Roman"/>
          <w:sz w:val="20"/>
          <w:szCs w:val="20"/>
          <w:color w:val="auto"/>
        </w:rPr>
        <w:t>”) to Landlord delivered not later than September 30, 2033 (the “</w:t>
      </w:r>
      <w:r>
        <w:rPr>
          <w:rFonts w:ascii="Times New Roman" w:cs="Times New Roman" w:eastAsia="Times New Roman" w:hAnsi="Times New Roman"/>
          <w:sz w:val="20"/>
          <w:szCs w:val="20"/>
          <w:b w:val="1"/>
          <w:bCs w:val="1"/>
          <w:color w:val="auto"/>
        </w:rPr>
        <w:t>Termination 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Deadline</w:t>
      </w:r>
      <w:r>
        <w:rPr>
          <w:rFonts w:ascii="Times New Roman" w:cs="Times New Roman" w:eastAsia="Times New Roman" w:hAnsi="Times New Roman"/>
          <w:sz w:val="20"/>
          <w:szCs w:val="20"/>
          <w:color w:val="auto"/>
        </w:rPr>
        <w:t>”) to terminate the Lease as to all of the Adjusted Premises with an effective date of September 30, 2034 (the “</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and the Lease shall terminate in its entirety on the Termination Date. In the event that Tenant elects to terminate the Lease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provided herein, Tenant shall pay to Landlord on the Termination Date a termination fee as calculated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attached hereto and made a part hereof (the “</w:t>
      </w:r>
      <w:r>
        <w:rPr>
          <w:rFonts w:ascii="Times New Roman" w:cs="Times New Roman" w:eastAsia="Times New Roman" w:hAnsi="Times New Roman"/>
          <w:sz w:val="20"/>
          <w:szCs w:val="20"/>
          <w:b w:val="1"/>
          <w:bCs w:val="1"/>
          <w:color w:val="auto"/>
        </w:rPr>
        <w:t>Termination Fee</w:t>
      </w:r>
      <w:r>
        <w:rPr>
          <w:rFonts w:ascii="Times New Roman" w:cs="Times New Roman" w:eastAsia="Times New Roman" w:hAnsi="Times New Roman"/>
          <w:sz w:val="20"/>
          <w:szCs w:val="20"/>
          <w:color w:val="auto"/>
        </w:rPr>
        <w:t>”), equal to the sum of:</w:t>
      </w:r>
    </w:p>
    <w:p>
      <w:pPr>
        <w:spacing w:after="0" w:line="192" w:lineRule="exact"/>
        <w:rPr>
          <w:rFonts w:ascii="Times New Roman" w:cs="Times New Roman" w:eastAsia="Times New Roman" w:hAnsi="Times New Roman"/>
          <w:sz w:val="20"/>
          <w:szCs w:val="20"/>
          <w:color w:val="auto"/>
        </w:rPr>
      </w:pPr>
    </w:p>
    <w:p>
      <w:pPr>
        <w:jc w:val="both"/>
        <w:ind w:firstLine="1790"/>
        <w:spacing w:after="0" w:line="258" w:lineRule="auto"/>
        <w:tabs>
          <w:tab w:leader="none" w:pos="259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unamortized portion of the commission paid to Brokers (as such term is defined in Section 22 below) solely with respect to this Seventh Amendment (provided that Landlord has delivered to Tenant a true, correct and complete copy of the fully-executed agreement and all amendments thereto executed by Landlord and Brokers evidencing the commissions, fees and other sums paid by Landlord to Brokers);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0920"/>
          </w:cols>
          <w:pgMar w:left="320" w:top="1318" w:right="659" w:bottom="1440" w:gutter="0" w:footer="0" w:header="0"/>
        </w:sectPr>
      </w:pPr>
    </w:p>
    <w:bookmarkStart w:id="53" w:name="page54"/>
    <w:bookmarkEnd w:id="53"/>
    <w:p>
      <w:pPr>
        <w:spacing w:after="0" w:line="108" w:lineRule="exact"/>
        <w:rPr>
          <w:sz w:val="20"/>
          <w:szCs w:val="20"/>
          <w:color w:val="auto"/>
        </w:rPr>
      </w:pPr>
    </w:p>
    <w:p>
      <w:pPr>
        <w:ind w:left="2520" w:hanging="647"/>
        <w:spacing w:after="0"/>
        <w:tabs>
          <w:tab w:leader="none" w:pos="25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unamortized portion of the Tenant Work Allowance given to Tenant;</w:t>
      </w:r>
    </w:p>
    <w:p>
      <w:pPr>
        <w:spacing w:after="0" w:line="229" w:lineRule="exact"/>
        <w:rPr>
          <w:rFonts w:ascii="Times New Roman" w:cs="Times New Roman" w:eastAsia="Times New Roman" w:hAnsi="Times New Roman"/>
          <w:sz w:val="20"/>
          <w:szCs w:val="20"/>
          <w:color w:val="auto"/>
        </w:rPr>
      </w:pPr>
    </w:p>
    <w:p>
      <w:pPr>
        <w:ind w:left="2520" w:hanging="648"/>
        <w:spacing w:after="0"/>
        <w:tabs>
          <w:tab w:leader="none" w:pos="25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unamortized portion of the Adjusted Premises Rent Abatement provided under Section 6 above;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w:t>
      </w:r>
    </w:p>
    <w:p>
      <w:pPr>
        <w:spacing w:after="0" w:line="214" w:lineRule="exact"/>
        <w:rPr>
          <w:sz w:val="20"/>
          <w:szCs w:val="20"/>
          <w:color w:val="auto"/>
        </w:rPr>
      </w:pPr>
    </w:p>
    <w:p>
      <w:pPr>
        <w:ind w:left="2500" w:hanging="627"/>
        <w:spacing w:after="0"/>
        <w:tabs>
          <w:tab w:leader="none" w:pos="25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months of then current Rent.</w:t>
      </w:r>
    </w:p>
    <w:p>
      <w:pPr>
        <w:spacing w:after="0" w:line="243" w:lineRule="exact"/>
        <w:rPr>
          <w:sz w:val="20"/>
          <w:szCs w:val="20"/>
          <w:color w:val="auto"/>
        </w:rPr>
      </w:pPr>
    </w:p>
    <w:p>
      <w:pPr>
        <w:ind w:firstLine="565"/>
        <w:spacing w:after="0" w:line="269" w:lineRule="auto"/>
        <w:rPr>
          <w:sz w:val="20"/>
          <w:szCs w:val="20"/>
          <w:color w:val="auto"/>
        </w:rPr>
      </w:pPr>
      <w:r>
        <w:rPr>
          <w:rFonts w:ascii="Times New Roman" w:cs="Times New Roman" w:eastAsia="Times New Roman" w:hAnsi="Times New Roman"/>
          <w:sz w:val="20"/>
          <w:szCs w:val="20"/>
          <w:color w:val="auto"/>
        </w:rPr>
        <w:t>The Termination Fee shall be amortized on a straight-line basis and shall include an interest factor of seven (7%) percent per annum for the time period from the Premises Adjustment Date to the Expiration Date.</w:t>
      </w:r>
    </w:p>
    <w:p>
      <w:pPr>
        <w:spacing w:after="0" w:line="173" w:lineRule="exact"/>
        <w:rPr>
          <w:sz w:val="20"/>
          <w:szCs w:val="20"/>
          <w:color w:val="auto"/>
        </w:rPr>
      </w:pPr>
    </w:p>
    <w:p>
      <w:pPr>
        <w:ind w:left="-80" w:right="20" w:firstLine="1303"/>
        <w:spacing w:after="0" w:line="283" w:lineRule="auto"/>
        <w:tabs>
          <w:tab w:leader="none" w:pos="185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fails to exercise the Termination Option on or prior to the Termination Notice Deadline or to pay the Termination Fee on or prior to the Tenant Termination Date, Tenant shall have no further right to terminate the Lease.</w:t>
      </w:r>
    </w:p>
    <w:p>
      <w:pPr>
        <w:spacing w:after="0" w:line="159" w:lineRule="exact"/>
        <w:rPr>
          <w:rFonts w:ascii="Times New Roman" w:cs="Times New Roman" w:eastAsia="Times New Roman" w:hAnsi="Times New Roman"/>
          <w:sz w:val="20"/>
          <w:szCs w:val="20"/>
          <w:color w:val="auto"/>
        </w:rPr>
      </w:pPr>
    </w:p>
    <w:p>
      <w:pPr>
        <w:jc w:val="both"/>
        <w:ind w:left="-80" w:firstLine="1303"/>
        <w:spacing w:after="0" w:line="257" w:lineRule="auto"/>
        <w:tabs>
          <w:tab w:leader="none" w:pos="1853"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properly exercises the Termination Option and pays the Termination Fee in accordance with this Section 8, then on or before the Termination Date, Tenant will deliver up possession to Landlord of the Termination Space in accordance with the terms and provisions of Paragraph 16 of the Sixth Amendment. If Tenant fails to surrender possession of the Termination Space as aforesaid by the Termination Date, Tenant shall be deemed a holdover tenant in such Termination Space and the provisions of Article 14 of the Original Lease with respect to holding over shall apply.</w:t>
      </w:r>
    </w:p>
    <w:p>
      <w:pPr>
        <w:spacing w:after="0" w:line="186" w:lineRule="exact"/>
        <w:rPr>
          <w:rFonts w:ascii="Times New Roman" w:cs="Times New Roman" w:eastAsia="Times New Roman" w:hAnsi="Times New Roman"/>
          <w:sz w:val="20"/>
          <w:szCs w:val="20"/>
          <w:color w:val="auto"/>
        </w:rPr>
      </w:pPr>
    </w:p>
    <w:p>
      <w:pPr>
        <w:jc w:val="both"/>
        <w:ind w:left="-80" w:firstLine="1303"/>
        <w:spacing w:after="0" w:line="281" w:lineRule="auto"/>
        <w:tabs>
          <w:tab w:leader="none" w:pos="185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Termination Date (provided Tenant has actually surrendered possession of the Termination Space as required), Base Rent, Tenant’s Pro Rata Share of Taxes and Tenant’s Pro Rata Share of Operating Expenses payable by Tenant to Landlord shall be appropriately adjusted. Landlord and Tenant shall execute an amendment to the Lease confirming such adjustments.</w:t>
      </w:r>
    </w:p>
    <w:p>
      <w:pPr>
        <w:spacing w:after="0" w:line="177" w:lineRule="exact"/>
        <w:rPr>
          <w:rFonts w:ascii="Times New Roman" w:cs="Times New Roman" w:eastAsia="Times New Roman" w:hAnsi="Times New Roman"/>
          <w:sz w:val="19"/>
          <w:szCs w:val="19"/>
          <w:color w:val="auto"/>
        </w:rPr>
      </w:pPr>
    </w:p>
    <w:p>
      <w:pPr>
        <w:jc w:val="both"/>
        <w:ind w:firstLine="1223"/>
        <w:spacing w:after="0" w:line="254" w:lineRule="auto"/>
        <w:tabs>
          <w:tab w:leader="none" w:pos="1851"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Option is personal to Tenant and is not assignable. The Termination Option will terminate and be of no further force or effect upon the assignment or sublease of all or any portion of the Adjusted Premises by Tenant, but only with respect to that portion of the Adjusted Premises actually assigned or subleased (such Termination Option remaining in effect as to any portion of the Adjusted Premises not actually assigned or subleased).</w:t>
      </w:r>
    </w:p>
    <w:p>
      <w:pPr>
        <w:spacing w:after="0" w:line="200" w:lineRule="exact"/>
        <w:rPr>
          <w:rFonts w:ascii="Times New Roman" w:cs="Times New Roman" w:eastAsia="Times New Roman" w:hAnsi="Times New Roman"/>
          <w:sz w:val="20"/>
          <w:szCs w:val="20"/>
          <w:color w:val="auto"/>
        </w:rPr>
      </w:pPr>
    </w:p>
    <w:p>
      <w:pPr>
        <w:jc w:val="both"/>
        <w:ind w:firstLine="577"/>
        <w:spacing w:after="0" w:line="250" w:lineRule="auto"/>
        <w:tabs>
          <w:tab w:leader="none" w:pos="120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Contraction Opti</w:t>
      </w:r>
      <w:r>
        <w:rPr>
          <w:rFonts w:ascii="Times New Roman" w:cs="Times New Roman" w:eastAsia="Times New Roman" w:hAnsi="Times New Roman"/>
          <w:sz w:val="20"/>
          <w:szCs w:val="20"/>
          <w:color w:val="auto"/>
        </w:rPr>
        <w:t>on. So long as the Lease is then in full force and effect and no default by Tenant after the expiration of any applicable notice and cure periods then exists under the Lease, then Tenant shall have a one-time right (the “</w:t>
      </w:r>
      <w:r>
        <w:rPr>
          <w:rFonts w:ascii="Times New Roman" w:cs="Times New Roman" w:eastAsia="Times New Roman" w:hAnsi="Times New Roman"/>
          <w:sz w:val="20"/>
          <w:szCs w:val="20"/>
          <w:b w:val="1"/>
          <w:bCs w:val="1"/>
          <w:color w:val="auto"/>
        </w:rPr>
        <w:t>Contraction Option</w:t>
      </w:r>
      <w:r>
        <w:rPr>
          <w:rFonts w:ascii="Times New Roman" w:cs="Times New Roman" w:eastAsia="Times New Roman" w:hAnsi="Times New Roman"/>
          <w:sz w:val="20"/>
          <w:szCs w:val="20"/>
          <w:color w:val="auto"/>
        </w:rPr>
        <w:t>”) to reduce the square footage of the Adjusted Premises by, at Tenant’s option, either (a) not more than 20,677 rentable square feet of space on the tenth (10th) floor of the Building; or (b) not more than 20,677 rentable square feet of space on the seventeenth (17th) floor of the Building, all as determined by Tenant, at its sole discretion, with an effective date at any time between September 30, 2031 and September 30, 2032 as determined by Tenant in its sole and absolute judgment. Tenant shall exercise the Contraction Option, if at all, by delivering written notice to Landlord of such exercise (the “</w:t>
      </w:r>
      <w:r>
        <w:rPr>
          <w:rFonts w:ascii="Times New Roman" w:cs="Times New Roman" w:eastAsia="Times New Roman" w:hAnsi="Times New Roman"/>
          <w:sz w:val="20"/>
          <w:szCs w:val="20"/>
          <w:b w:val="1"/>
          <w:bCs w:val="1"/>
          <w:color w:val="auto"/>
        </w:rPr>
        <w:t>Contraction Notice</w:t>
      </w:r>
      <w:r>
        <w:rPr>
          <w:rFonts w:ascii="Times New Roman" w:cs="Times New Roman" w:eastAsia="Times New Roman" w:hAnsi="Times New Roman"/>
          <w:sz w:val="20"/>
          <w:szCs w:val="20"/>
          <w:color w:val="auto"/>
        </w:rPr>
        <w:t>”) at least twelve (12) months prior to the effective date of such Contraction Option, which Contraction Notice shall state: (1) the exact date between September 30, 2031 and September 30, 3032 that Tenant elects to contract the Adjusted Premises (the “</w:t>
      </w:r>
      <w:r>
        <w:rPr>
          <w:rFonts w:ascii="Times New Roman" w:cs="Times New Roman" w:eastAsia="Times New Roman" w:hAnsi="Times New Roman"/>
          <w:sz w:val="20"/>
          <w:szCs w:val="20"/>
          <w:b w:val="1"/>
          <w:bCs w:val="1"/>
          <w:color w:val="auto"/>
        </w:rPr>
        <w:t>Contraction Date</w:t>
      </w:r>
      <w:r>
        <w:rPr>
          <w:rFonts w:ascii="Times New Roman" w:cs="Times New Roman" w:eastAsia="Times New Roman" w:hAnsi="Times New Roman"/>
          <w:sz w:val="20"/>
          <w:szCs w:val="20"/>
          <w:color w:val="auto"/>
        </w:rPr>
        <w:t>”); and (2) that portion of the Adjusted Premises to be surrendered by Tenant pursuant to the Contraction Option (the “</w:t>
      </w:r>
      <w:r>
        <w:rPr>
          <w:rFonts w:ascii="Times New Roman" w:cs="Times New Roman" w:eastAsia="Times New Roman" w:hAnsi="Times New Roman"/>
          <w:sz w:val="20"/>
          <w:szCs w:val="20"/>
          <w:b w:val="1"/>
          <w:bCs w:val="1"/>
          <w:color w:val="auto"/>
        </w:rPr>
        <w:t>Contraction Space</w:t>
      </w:r>
      <w:r>
        <w:rPr>
          <w:rFonts w:ascii="Times New Roman" w:cs="Times New Roman" w:eastAsia="Times New Roman" w:hAnsi="Times New Roman"/>
          <w:sz w:val="20"/>
          <w:szCs w:val="20"/>
          <w:color w:val="auto"/>
        </w:rPr>
        <w:t>”). The Contraction Option is personal to the Tenant named in this Seventh Amendment and shall not inure to the benefit of any assignee or subtenant, other than a Related Entity, as such term is defined in Article 21(G) of the Original Lease. The Contraction Option is subject to the following terms, conditions and limitations: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840"/>
          </w:cols>
          <w:pgMar w:left="400" w:top="1440" w:right="659" w:bottom="1440" w:gutter="0" w:footer="0" w:header="0"/>
        </w:sectPr>
      </w:pPr>
    </w:p>
    <w:bookmarkStart w:id="54" w:name="page55"/>
    <w:bookmarkEnd w:id="54"/>
    <w:p>
      <w:pPr>
        <w:spacing w:after="0" w:line="108" w:lineRule="exact"/>
        <w:rPr>
          <w:sz w:val="20"/>
          <w:szCs w:val="20"/>
          <w:color w:val="auto"/>
        </w:rPr>
      </w:pPr>
    </w:p>
    <w:p>
      <w:pPr>
        <w:jc w:val="both"/>
        <w:ind w:left="80" w:firstLine="1223"/>
        <w:spacing w:after="0" w:line="258" w:lineRule="auto"/>
        <w:tabs>
          <w:tab w:leader="none" w:pos="193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default by Tenant after the expiration of any applicable notice and cure periods under the Lease shall occur at any time after Tenant’s election to exercise the Contraction Option and continue to exist on the Contraction Date, the exercise by Tenant of the Contraction Option, at Landlord’s election, shall be deemed null and void and of no further force and effect, and Landlord shall have all rights and remedies on account of the occurrence of such default as provided in the Lease.</w:t>
      </w:r>
    </w:p>
    <w:p>
      <w:pPr>
        <w:spacing w:after="0" w:line="185" w:lineRule="exact"/>
        <w:rPr>
          <w:rFonts w:ascii="Times New Roman" w:cs="Times New Roman" w:eastAsia="Times New Roman" w:hAnsi="Times New Roman"/>
          <w:sz w:val="20"/>
          <w:szCs w:val="20"/>
          <w:color w:val="auto"/>
        </w:rPr>
      </w:pPr>
    </w:p>
    <w:p>
      <w:pPr>
        <w:ind w:left="80" w:right="20" w:firstLine="1223"/>
        <w:spacing w:after="0" w:line="283" w:lineRule="auto"/>
        <w:tabs>
          <w:tab w:leader="none" w:pos="1929"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Tenant, on or before the Contraction Date, shall pay to Landlord an amount as calculated on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attached hereto and made a part hereof (the “</w:t>
      </w:r>
      <w:r>
        <w:rPr>
          <w:rFonts w:ascii="Times New Roman" w:cs="Times New Roman" w:eastAsia="Times New Roman" w:hAnsi="Times New Roman"/>
          <w:sz w:val="20"/>
          <w:szCs w:val="20"/>
          <w:b w:val="1"/>
          <w:bCs w:val="1"/>
          <w:color w:val="auto"/>
        </w:rPr>
        <w:t>Contraction Fee</w:t>
      </w:r>
      <w:r>
        <w:rPr>
          <w:rFonts w:ascii="Times New Roman" w:cs="Times New Roman" w:eastAsia="Times New Roman" w:hAnsi="Times New Roman"/>
          <w:sz w:val="20"/>
          <w:szCs w:val="20"/>
          <w:color w:val="auto"/>
        </w:rPr>
        <w:t>”), calculated based upon the square footage reduced, equal to:</w:t>
      </w:r>
    </w:p>
    <w:p>
      <w:pPr>
        <w:spacing w:after="0" w:line="159" w:lineRule="exact"/>
        <w:rPr>
          <w:rFonts w:ascii="Times New Roman" w:cs="Times New Roman" w:eastAsia="Times New Roman" w:hAnsi="Times New Roman"/>
          <w:sz w:val="20"/>
          <w:szCs w:val="20"/>
          <w:color w:val="auto"/>
        </w:rPr>
      </w:pPr>
    </w:p>
    <w:p>
      <w:pPr>
        <w:jc w:val="both"/>
        <w:ind w:left="80" w:firstLine="1872"/>
        <w:spacing w:after="0" w:line="281" w:lineRule="auto"/>
        <w:tabs>
          <w:tab w:leader="none" w:pos="2588"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unamortized portion of the commission paid to Brokers solely with respect to this Seventh Amendment (provided that Landlord has delivered to Tenant a true, correct and complete copy of the fully-executed agreement and all amendments thereto executed by Landlord and Brokers evidencing the commissions, fees and other sums paid by Landlord to Brokers);</w:t>
      </w:r>
    </w:p>
    <w:p>
      <w:pPr>
        <w:spacing w:after="0" w:line="164" w:lineRule="exact"/>
        <w:rPr>
          <w:rFonts w:ascii="Times New Roman" w:cs="Times New Roman" w:eastAsia="Times New Roman" w:hAnsi="Times New Roman"/>
          <w:sz w:val="19"/>
          <w:szCs w:val="19"/>
          <w:color w:val="auto"/>
        </w:rPr>
      </w:pPr>
    </w:p>
    <w:p>
      <w:pPr>
        <w:ind w:left="2600" w:hanging="647"/>
        <w:spacing w:after="0"/>
        <w:tabs>
          <w:tab w:leader="none" w:pos="26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unamortized portion of the Tenant Work Allowance given to Tenant;</w:t>
      </w:r>
    </w:p>
    <w:p>
      <w:pPr>
        <w:spacing w:after="0" w:line="24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unamortized portion of the Adjusted Premises Rent Abatement provided under Section 6 above; and</w:t>
      </w:r>
    </w:p>
    <w:p>
      <w:pPr>
        <w:spacing w:after="0" w:line="240" w:lineRule="exact"/>
        <w:rPr>
          <w:rFonts w:ascii="Times New Roman" w:cs="Times New Roman" w:eastAsia="Times New Roman" w:hAnsi="Times New Roman"/>
          <w:sz w:val="19"/>
          <w:szCs w:val="19"/>
          <w:color w:val="auto"/>
        </w:rPr>
      </w:pPr>
    </w:p>
    <w:p>
      <w:pPr>
        <w:ind w:left="2580" w:hanging="627"/>
        <w:spacing w:after="0"/>
        <w:tabs>
          <w:tab w:leader="none" w:pos="258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two months of then current Rent.</w:t>
      </w:r>
    </w:p>
    <w:p>
      <w:pPr>
        <w:spacing w:after="0" w:line="22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 Contraction Fee shall be amortized on a straight-line basis and shall include an interest factor of seven (7%) percent per annum for the time period from the Premises Adjustment Date to the Expiration Date.</w:t>
      </w:r>
    </w:p>
    <w:p>
      <w:pPr>
        <w:spacing w:after="0" w:line="160" w:lineRule="exact"/>
        <w:rPr>
          <w:sz w:val="20"/>
          <w:szCs w:val="20"/>
          <w:color w:val="auto"/>
        </w:rPr>
      </w:pPr>
    </w:p>
    <w:p>
      <w:pPr>
        <w:jc w:val="both"/>
        <w:ind w:firstLine="1303"/>
        <w:spacing w:after="0" w:line="258" w:lineRule="auto"/>
        <w:tabs>
          <w:tab w:leader="none" w:pos="1933"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on or before the Contraction Date, shall surrender possession of the Contraction Space in accordance with the terms and provisions of Paragraph 16 of the Sixth Amendment. If Tenant fails to surrender possession of the Contraction Space as aforesaid by the Contraction Date, Tenant shall be deemed a holdover tenant in such Contraction Space and the provisions of Article 14 of the Original Lease with respect to holding over shall apply.</w:t>
      </w:r>
    </w:p>
    <w:p>
      <w:pPr>
        <w:spacing w:after="0" w:line="185" w:lineRule="exact"/>
        <w:rPr>
          <w:rFonts w:ascii="Times New Roman" w:cs="Times New Roman" w:eastAsia="Times New Roman" w:hAnsi="Times New Roman"/>
          <w:sz w:val="20"/>
          <w:szCs w:val="20"/>
          <w:color w:val="auto"/>
        </w:rPr>
      </w:pPr>
    </w:p>
    <w:p>
      <w:pPr>
        <w:jc w:val="both"/>
        <w:ind w:firstLine="1303"/>
        <w:spacing w:after="0" w:line="288" w:lineRule="auto"/>
        <w:tabs>
          <w:tab w:leader="none" w:pos="193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Contraction Date (provided Tenant has actually surrendered possession of the Contraction Space as required), Base Rent, Tenant’s Pro Rata Share of Taxes and Tenant’s Pro Rata Share of Operating Expenses payable by Tenant to Landlord shall be appropriately adjusted. Landlord and Tenant shall execute an amendment to the Lease confirming such adjustments.</w:t>
      </w:r>
    </w:p>
    <w:p>
      <w:pPr>
        <w:spacing w:after="0" w:line="158"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by Tenant of the Contraction Option shall be irrevocable.</w:t>
      </w:r>
    </w:p>
    <w:p>
      <w:pPr>
        <w:spacing w:after="0" w:line="229" w:lineRule="exact"/>
        <w:rPr>
          <w:rFonts w:ascii="Times New Roman" w:cs="Times New Roman" w:eastAsia="Times New Roman" w:hAnsi="Times New Roman"/>
          <w:sz w:val="20"/>
          <w:szCs w:val="20"/>
          <w:color w:val="auto"/>
        </w:rPr>
      </w:pPr>
    </w:p>
    <w:p>
      <w:pPr>
        <w:ind w:right="360" w:firstLine="655"/>
        <w:spacing w:after="0" w:line="283"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of First Refusal</w:t>
      </w:r>
      <w:r>
        <w:rPr>
          <w:rFonts w:ascii="Times New Roman" w:cs="Times New Roman" w:eastAsia="Times New Roman" w:hAnsi="Times New Roman"/>
          <w:sz w:val="20"/>
          <w:szCs w:val="20"/>
          <w:color w:val="auto"/>
        </w:rPr>
        <w:t>. Commencing on the Premises Adjustment Date, Section 13 of the Sixth Amendment is hereby deleted in its entirety and Tenant shall have the following right of first refusal:</w:t>
      </w:r>
    </w:p>
    <w:p>
      <w:pPr>
        <w:spacing w:after="0" w:line="159" w:lineRule="exact"/>
        <w:rPr>
          <w:rFonts w:ascii="Times New Roman" w:cs="Times New Roman" w:eastAsia="Times New Roman" w:hAnsi="Times New Roman"/>
          <w:sz w:val="20"/>
          <w:szCs w:val="20"/>
          <w:color w:val="auto"/>
        </w:rPr>
      </w:pPr>
    </w:p>
    <w:p>
      <w:pPr>
        <w:ind w:right="120" w:firstLine="1304"/>
        <w:spacing w:after="0" w:line="241" w:lineRule="auto"/>
        <w:tabs>
          <w:tab w:leader="none" w:pos="1934"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Commencing on the Premises Adjustment Date through September 30, 2035, Tenant shall have a one-time right of first refusal (the “</w:t>
      </w:r>
      <w:r>
        <w:rPr>
          <w:rFonts w:ascii="Times New Roman" w:cs="Times New Roman" w:eastAsia="Times New Roman" w:hAnsi="Times New Roman"/>
          <w:sz w:val="20"/>
          <w:szCs w:val="20"/>
          <w:b w:val="1"/>
          <w:bCs w:val="1"/>
          <w:color w:val="auto"/>
        </w:rPr>
        <w:t>Right of First Refusa</w:t>
      </w:r>
      <w:r>
        <w:rPr>
          <w:rFonts w:ascii="Times New Roman" w:cs="Times New Roman" w:eastAsia="Times New Roman" w:hAnsi="Times New Roman"/>
          <w:sz w:val="20"/>
          <w:szCs w:val="20"/>
          <w:color w:val="auto"/>
        </w:rPr>
        <w:t>l”) with respect to all space located on the seventh (7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floor of the Building (the “</w:t>
      </w:r>
      <w:r>
        <w:rPr>
          <w:rFonts w:ascii="Times New Roman" w:cs="Times New Roman" w:eastAsia="Times New Roman" w:hAnsi="Times New Roman"/>
          <w:sz w:val="20"/>
          <w:szCs w:val="20"/>
          <w:b w:val="1"/>
          <w:bCs w:val="1"/>
          <w:color w:val="auto"/>
        </w:rPr>
        <w:t>Refusal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Space</w:t>
      </w:r>
      <w:r>
        <w:rPr>
          <w:rFonts w:ascii="Times New Roman" w:cs="Times New Roman" w:eastAsia="Times New Roman" w:hAnsi="Times New Roman"/>
          <w:sz w:val="20"/>
          <w:szCs w:val="20"/>
          <w:color w:val="auto"/>
        </w:rPr>
        <w:t>”). Landlord represents and warrants to Tenant that no tenant or other party has any rights to lease the Refusal Space which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superior to Tenant’s Right of First Refusal and Landlord covenants and agrees not to grant any tenant in the Building or other party any rights superior to Tenant’s Right of First Refusal during the Term of the Lease. Tenant’s Right of First Refusal shall be exercised as follows:</w:t>
      </w:r>
    </w:p>
    <w:p>
      <w:pPr>
        <w:spacing w:after="0" w:line="199" w:lineRule="exact"/>
        <w:rPr>
          <w:rFonts w:ascii="Times New Roman" w:cs="Times New Roman" w:eastAsia="Times New Roman" w:hAnsi="Times New Roman"/>
          <w:sz w:val="20"/>
          <w:szCs w:val="20"/>
          <w:color w:val="auto"/>
        </w:rPr>
      </w:pPr>
    </w:p>
    <w:p>
      <w:pPr>
        <w:jc w:val="both"/>
        <w:ind w:firstLine="1952"/>
        <w:spacing w:after="0" w:line="270" w:lineRule="auto"/>
        <w:tabs>
          <w:tab w:leader="none" w:pos="2590" w:val="left"/>
        </w:tabs>
        <w:numPr>
          <w:ilvl w:val="2"/>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Landlord has a prospective tenant (a “</w:t>
      </w:r>
      <w:r>
        <w:rPr>
          <w:rFonts w:ascii="Times New Roman" w:cs="Times New Roman" w:eastAsia="Times New Roman" w:hAnsi="Times New Roman"/>
          <w:sz w:val="20"/>
          <w:szCs w:val="20"/>
          <w:b w:val="1"/>
          <w:bCs w:val="1"/>
          <w:color w:val="auto"/>
        </w:rPr>
        <w:t>Prospect</w:t>
      </w:r>
      <w:r>
        <w:rPr>
          <w:rFonts w:ascii="Times New Roman" w:cs="Times New Roman" w:eastAsia="Times New Roman" w:hAnsi="Times New Roman"/>
          <w:sz w:val="20"/>
          <w:szCs w:val="20"/>
          <w:color w:val="auto"/>
        </w:rPr>
        <w:t>”) interested in leasing all or any portion of the Refusal Space, Landlord shall give Tenant written notice (the “</w:t>
      </w:r>
      <w:r>
        <w:rPr>
          <w:rFonts w:ascii="Times New Roman" w:cs="Times New Roman" w:eastAsia="Times New Roman" w:hAnsi="Times New Roman"/>
          <w:sz w:val="20"/>
          <w:szCs w:val="20"/>
          <w:b w:val="1"/>
          <w:bCs w:val="1"/>
          <w:color w:val="auto"/>
        </w:rPr>
        <w:t>First Refusal Notice</w:t>
      </w:r>
      <w:r>
        <w:rPr>
          <w:rFonts w:ascii="Times New Roman" w:cs="Times New Roman" w:eastAsia="Times New Roman" w:hAnsi="Times New Roman"/>
          <w:sz w:val="20"/>
          <w:szCs w:val="20"/>
          <w:color w:val="auto"/>
        </w:rPr>
        <w:t>”) of the terms under which Landlord is prepared to lease the Refusal Space (or portion thereof if the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20"/>
          </w:cols>
          <w:pgMar w:left="320" w:top="1440" w:right="659" w:bottom="1440" w:gutter="0" w:footer="0" w:header="0"/>
        </w:sectPr>
      </w:pPr>
    </w:p>
    <w:bookmarkStart w:id="55" w:name="page56"/>
    <w:bookmarkEnd w:id="55"/>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Prospect is interested in leasing less than all of the Refusal Space) to such Prospect, which First Refusal Notice shall include a true, correct and complete copy of the terms upon which such Prospect is willing to lease the First Refusal Space, and Tenant may lease the Refusal Space (or portion thereof if the Prospect is interested in leasing less than all of the Refusal Space), under such terms, by providing Landlord with notice of exercise (“</w:t>
      </w: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within seven (7) Business Days after Tenant’s receipt of the First Refusal Notice, except that Tenant shall have no such Right of First Refusal and Landlord need not provide Tenant with an First Refusal Notice if a default under the Lease by Tenant after the expiration of any applicable notice and cure periods exists at the time Landlord would otherwise deliver the First Refusal Notice.</w:t>
      </w:r>
    </w:p>
    <w:p>
      <w:pPr>
        <w:spacing w:after="0" w:line="193" w:lineRule="exact"/>
        <w:rPr>
          <w:sz w:val="20"/>
          <w:szCs w:val="20"/>
          <w:color w:val="auto"/>
        </w:rPr>
      </w:pPr>
    </w:p>
    <w:p>
      <w:pPr>
        <w:jc w:val="both"/>
        <w:ind w:firstLine="1952"/>
        <w:spacing w:after="0" w:line="249" w:lineRule="auto"/>
        <w:tabs>
          <w:tab w:leader="none" w:pos="2591" w:val="left"/>
        </w:tabs>
        <w:numPr>
          <w:ilvl w:val="2"/>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 provides a Notice of Exercise, then the term for the Refusal Space shall commence upon the commencement date stated in the First Refusal Notice and thereupon such Refusal Space shall be considered as part of the Adjusted Premises, provided that all of the economic terms stated in the First Refusal Notice (other than the expiration date) shall govern Tenant’s leasing of the Refusal Space and, to the extent that they do not conflict with the economic terms of the First Refusal Notice, the terms and conditions of the Lease shall apply to the Refusal Space. Landlord, at Landlord’s sole cost and expense, shall demolish any existing improvements in the Refusal Space and deliver the Refusal Space to Tenant in a “vanilla box” condition, broom clean and free of debris and all personalty. In addition, if the First Refusal Notice specifies work to be performed by Landlord in the Refusal Space, Landlord at Landlord’s sole cost and expense, shall perform such work in the Refusal Space. The Refusal Space shall be coterminous with Tenant’s existing Term and Landlord shall provide Tenant with an abatement of Rent with respect to the Refusal Space for a period of one hundred and fifty (150) days after Landlord’s delivery of the Refusal Space for build-out and otherwise preparing the Refusal Space for occupancy. Any concessions granted by Landlord to the Prospect in the First Refusal Notice shall be granted to Tenant and prorated proportionately.</w:t>
      </w:r>
    </w:p>
    <w:p>
      <w:pPr>
        <w:spacing w:after="0" w:line="214" w:lineRule="exact"/>
        <w:rPr>
          <w:rFonts w:ascii="Times New Roman" w:cs="Times New Roman" w:eastAsia="Times New Roman" w:hAnsi="Times New Roman"/>
          <w:sz w:val="20"/>
          <w:szCs w:val="20"/>
          <w:color w:val="auto"/>
        </w:rPr>
      </w:pPr>
    </w:p>
    <w:p>
      <w:pPr>
        <w:jc w:val="both"/>
        <w:ind w:firstLine="1952"/>
        <w:spacing w:after="0" w:line="264" w:lineRule="auto"/>
        <w:tabs>
          <w:tab w:leader="none" w:pos="2592" w:val="left"/>
        </w:tabs>
        <w:numPr>
          <w:ilvl w:val="2"/>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foregoing, if (1) Tenant was entitled to exercise its Right of First Refusal, but did not provide Landlord with a Notice of Exercise within the ten (10) Business Day period provided above, and (2) Landlord does not enter into a lease for the Refusal Space with the Prospect upon the terms set forth in the First Refusal Notice within a period of one hundred and eighty (180) day period following the date of the First Refusal Notice, Tenant shall once again have a Right of First Refusal with respect to such Refusal Space (exercisable within ten (10) Business Days after Tenant’s receipt of the subsequent First Refusal Notice). In addition, Tenant shall once again have the Right of First Refusal with respect to the Refusal Space if, within such one hundred and eighty (180), Landlord proposes to lease the Refusal Space to the Prospect or any other prospect on terms that are substantially different than those set forth in the First Refusal Notice. For purposes hereof, the terms offered to a prospect shall be deemed to be substantially the same as those set forth in the First Refusal Notice as long as there is no more than a seven and one half percent (7.5%) reduction in the “bottom line” cost per rentable square foot of the Refusal Space to the Prospect when compared with the “bottom line” cost per rentable square foot under the First Refusal Notice, considering all of the economic terms of both deals, respectively, including, without limitation, the net rent, any tax or expense escalation or other financial escalation and any financial concessions.</w:t>
      </w:r>
    </w:p>
    <w:p>
      <w:pPr>
        <w:spacing w:after="0" w:line="190" w:lineRule="exact"/>
        <w:rPr>
          <w:rFonts w:ascii="Times New Roman" w:cs="Times New Roman" w:eastAsia="Times New Roman" w:hAnsi="Times New Roman"/>
          <w:sz w:val="19"/>
          <w:szCs w:val="19"/>
          <w:color w:val="auto"/>
        </w:rPr>
      </w:pPr>
    </w:p>
    <w:p>
      <w:pPr>
        <w:jc w:val="both"/>
        <w:ind w:firstLine="1304"/>
        <w:spacing w:after="0" w:line="265" w:lineRule="auto"/>
        <w:tabs>
          <w:tab w:leader="none" w:pos="1932"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Tenant exercises its Right of First Refusal, Landlord shall prepare an amendment (the “</w:t>
      </w:r>
      <w:r>
        <w:rPr>
          <w:rFonts w:ascii="Times New Roman" w:cs="Times New Roman" w:eastAsia="Times New Roman" w:hAnsi="Times New Roman"/>
          <w:sz w:val="19"/>
          <w:szCs w:val="19"/>
          <w:b w:val="1"/>
          <w:bCs w:val="1"/>
          <w:color w:val="auto"/>
        </w:rPr>
        <w:t>Refusal Space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Amendment</w:t>
      </w:r>
      <w:r>
        <w:rPr>
          <w:rFonts w:ascii="Times New Roman" w:cs="Times New Roman" w:eastAsia="Times New Roman" w:hAnsi="Times New Roman"/>
          <w:sz w:val="19"/>
          <w:szCs w:val="19"/>
          <w:color w:val="auto"/>
        </w:rPr>
        <w:t>”) adding the Refusal Space to the Adjusted Premises on the terms set forth in the First Refusal Notice and reflecting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changes in the calculation of Tenant’s Pro Rata Share and other appropriate terms. A copy of the Refusal Space Amendment shall be: (i) sent to Tenant within thirty (30) days after Landlord’s receipt of the Notice of Exercise, (ii) revised by Landlord, if necessary, to incorporate any changes by Tenant that are necessary to accurately reflect the terms and conditions of Tenant’s Right of First Refusal; and</w:t>
      </w:r>
    </w:p>
    <w:p>
      <w:pPr>
        <w:spacing w:after="0" w:line="1" w:lineRule="exact"/>
        <w:rPr>
          <w:rFonts w:ascii="Times New Roman" w:cs="Times New Roman" w:eastAsia="Times New Roman" w:hAnsi="Times New Roman"/>
          <w:sz w:val="19"/>
          <w:szCs w:val="19"/>
          <w:color w:val="auto"/>
        </w:rPr>
      </w:pPr>
    </w:p>
    <w:p>
      <w:pPr>
        <w:jc w:val="both"/>
        <w:ind w:firstLine="8"/>
        <w:spacing w:after="0" w:line="279" w:lineRule="auto"/>
        <w:tabs>
          <w:tab w:leader="none" w:pos="347"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executed by Tenant and returned to Landlord thereafter, but an otherwise valid exercise of the Right of First Refusal contained herein shall, at either party’s option, be fully effective whether or not the Refusal Space Amendment is executed. Tenant’s Right of First Refusal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920"/>
          </w:cols>
          <w:pgMar w:left="320" w:top="1440" w:right="659" w:bottom="1440" w:gutter="0" w:footer="0" w:header="0"/>
        </w:sectPr>
      </w:pPr>
    </w:p>
    <w:bookmarkStart w:id="56" w:name="page57"/>
    <w:bookmarkEnd w:id="56"/>
    <w:p>
      <w:pPr>
        <w:spacing w:after="0" w:line="10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shall continue in full force and effect from time to time for any space located on the seventh (7th) floor of the Building until all such space on the seventh (7th) floor of the Building shall be the subject to a First Refusal Notice.</w:t>
      </w:r>
    </w:p>
    <w:p>
      <w:pPr>
        <w:spacing w:after="0" w:line="160" w:lineRule="exact"/>
        <w:rPr>
          <w:sz w:val="20"/>
          <w:szCs w:val="20"/>
          <w:color w:val="auto"/>
        </w:rPr>
      </w:pPr>
    </w:p>
    <w:p>
      <w:pPr>
        <w:ind w:firstLine="655"/>
        <w:spacing w:after="0" w:line="269" w:lineRule="auto"/>
        <w:tabs>
          <w:tab w:leader="none" w:pos="1278"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Signage</w:t>
      </w:r>
      <w:r>
        <w:rPr>
          <w:rFonts w:ascii="Times New Roman" w:cs="Times New Roman" w:eastAsia="Times New Roman" w:hAnsi="Times New Roman"/>
          <w:sz w:val="20"/>
          <w:szCs w:val="20"/>
          <w:color w:val="auto"/>
        </w:rPr>
        <w:t>. Tenant’s existing signage rights as set forth in Article 38 of the Original Lease and Paragraph 11 of the Sixth Amendment shall remain in full force and effect throughout the Term, subject to the following:</w:t>
      </w:r>
    </w:p>
    <w:p>
      <w:pPr>
        <w:spacing w:after="0" w:line="186" w:lineRule="exact"/>
        <w:rPr>
          <w:rFonts w:ascii="Times New Roman" w:cs="Times New Roman" w:eastAsia="Times New Roman" w:hAnsi="Times New Roman"/>
          <w:sz w:val="20"/>
          <w:szCs w:val="20"/>
          <w:color w:val="auto"/>
        </w:rPr>
      </w:pPr>
    </w:p>
    <w:p>
      <w:pPr>
        <w:jc w:val="both"/>
        <w:ind w:firstLine="1303"/>
        <w:spacing w:after="0" w:line="253" w:lineRule="auto"/>
        <w:tabs>
          <w:tab w:leader="none" w:pos="193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Top Sign</w:t>
      </w:r>
      <w:r>
        <w:rPr>
          <w:rFonts w:ascii="Times New Roman" w:cs="Times New Roman" w:eastAsia="Times New Roman" w:hAnsi="Times New Roman"/>
          <w:sz w:val="20"/>
          <w:szCs w:val="20"/>
          <w:color w:val="auto"/>
        </w:rPr>
        <w:t>. In the event that Tenant shall lease less than three (3) full floors in the Building, Tenant, at Tenant’s sole cost and expense, shall remove the Sign (as defined in Article 38 of the Original Lease) from the top west side of the Building and repair any damage caused by the Sign to the surface where the Sign was affixed. For greater certainty, the Exterior Monument Sign (as defined below), the Building Lobby Sign (as defined below) and all lobby directory identification shall remain even if Tenant shall lease less than three (3) full floors in the Building.</w:t>
      </w:r>
    </w:p>
    <w:p>
      <w:pPr>
        <w:spacing w:after="0" w:line="191" w:lineRule="exact"/>
        <w:rPr>
          <w:rFonts w:ascii="Times New Roman" w:cs="Times New Roman" w:eastAsia="Times New Roman" w:hAnsi="Times New Roman"/>
          <w:sz w:val="20"/>
          <w:szCs w:val="20"/>
          <w:color w:val="auto"/>
        </w:rPr>
      </w:pPr>
    </w:p>
    <w:p>
      <w:pPr>
        <w:jc w:val="both"/>
        <w:ind w:firstLine="1303"/>
        <w:spacing w:after="0" w:line="252" w:lineRule="auto"/>
        <w:tabs>
          <w:tab w:leader="none" w:pos="1930"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Exterior Monument Sign</w:t>
      </w:r>
      <w:r>
        <w:rPr>
          <w:rFonts w:ascii="Times New Roman" w:cs="Times New Roman" w:eastAsia="Times New Roman" w:hAnsi="Times New Roman"/>
          <w:sz w:val="20"/>
          <w:szCs w:val="20"/>
          <w:color w:val="auto"/>
        </w:rPr>
        <w:t>. Landlord, at Landlord’s sole cost and expense, shall update Tenant’s identification on the exterior monument sign of the Building (the “</w:t>
      </w:r>
      <w:r>
        <w:rPr>
          <w:rFonts w:ascii="Times New Roman" w:cs="Times New Roman" w:eastAsia="Times New Roman" w:hAnsi="Times New Roman"/>
          <w:sz w:val="20"/>
          <w:szCs w:val="20"/>
          <w:b w:val="1"/>
          <w:bCs w:val="1"/>
          <w:color w:val="auto"/>
        </w:rPr>
        <w:t>Exterior Monument Sign</w:t>
      </w:r>
      <w:r>
        <w:rPr>
          <w:rFonts w:ascii="Times New Roman" w:cs="Times New Roman" w:eastAsia="Times New Roman" w:hAnsi="Times New Roman"/>
          <w:sz w:val="20"/>
          <w:szCs w:val="20"/>
          <w:color w:val="auto"/>
        </w:rPr>
        <w:t>”) to Tenant’s specifications, so long as they are consistent with and conform with the aesthetics of the Exterior Monument Sign’s standards, within ninety (90) days after notice from Tenant. Tenant’s notice will specify the final layout, including what logo of Huron to display on the Exterior Monument sign, and shall be subject to Landlord’s approval, which shall not be unreasonably withheld, conditioned or delayed. Landlord shall be responsible for any required City of Chicago permitting or other code compliance in connection with the Exterior Monument Sign. Tenant, upon vacation of the Adjusted Premises, shall be responsible, at Tenant’s sole cost and expense, for the repair, painting, and/or replacement of the building fascia surface where the Exterior Monument Sign is attached. Any modifications to the Exterior Monument Sign subsequent to such update shall be performed at Tenant’s sole cost and expense and shall be subject to Landlord’s approval, which shall not be unreasonably withheld, conditioned or delayed.</w:t>
      </w:r>
    </w:p>
    <w:p>
      <w:pPr>
        <w:spacing w:after="0" w:line="190" w:lineRule="exact"/>
        <w:rPr>
          <w:rFonts w:ascii="Times New Roman" w:cs="Times New Roman" w:eastAsia="Times New Roman" w:hAnsi="Times New Roman"/>
          <w:sz w:val="20"/>
          <w:szCs w:val="20"/>
          <w:color w:val="auto"/>
        </w:rPr>
      </w:pPr>
    </w:p>
    <w:p>
      <w:pPr>
        <w:jc w:val="both"/>
        <w:ind w:firstLine="1303"/>
        <w:spacing w:after="0" w:line="253" w:lineRule="auto"/>
        <w:tabs>
          <w:tab w:leader="none" w:pos="193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Lobby Sign</w:t>
      </w:r>
      <w:r>
        <w:rPr>
          <w:rFonts w:ascii="Times New Roman" w:cs="Times New Roman" w:eastAsia="Times New Roman" w:hAnsi="Times New Roman"/>
          <w:sz w:val="20"/>
          <w:szCs w:val="20"/>
          <w:color w:val="auto"/>
        </w:rPr>
        <w:t>. Tenant, at Tenant’s sole cost and expense, shall have the right to install and maintain throughout the Term, its company name, logo, or both, in the lobby signage of the Building (“</w:t>
      </w:r>
      <w:r>
        <w:rPr>
          <w:rFonts w:ascii="Times New Roman" w:cs="Times New Roman" w:eastAsia="Times New Roman" w:hAnsi="Times New Roman"/>
          <w:sz w:val="20"/>
          <w:szCs w:val="20"/>
          <w:b w:val="1"/>
          <w:bCs w:val="1"/>
          <w:color w:val="auto"/>
        </w:rPr>
        <w:t>Building Lobby Sign</w:t>
      </w:r>
      <w:r>
        <w:rPr>
          <w:rFonts w:ascii="Times New Roman" w:cs="Times New Roman" w:eastAsia="Times New Roman" w:hAnsi="Times New Roman"/>
          <w:sz w:val="20"/>
          <w:szCs w:val="20"/>
          <w:color w:val="auto"/>
        </w:rPr>
        <w:t xml:space="preserve">”), in design and at such locations as described on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 and made a part hereof and as otherwise mutually agreed upon by Landlord and Tenant. Any modifications to the Building Lobby Sign which are not indicated on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shall be performed at Tenant’s sole cost and expense and shall be subject to Landlord’s approval, which shall not be unreasonably withheld, conditioned or delayed. Tenant shall be responsible, at Tenant’s sole cost and expense, for the repair, maintenance, and/or replacement of that portion or portions of the Building Lobby Sign specifically identifying Tenant.</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Sign and the Exterior Monument Sign shall at all times be subject to the approval of the City of Chicago, if required, and shall be in compliance with all applicable laws and codes. Landlord shall be responsible for such compliance. Landlord shall not impose any fees or charges upon Tenant for the Sign, the Exterior Monument Sign or the Building Lobby Signage at any time during the Term of the Lease, except as a standard component of Operating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920"/>
          </w:cols>
          <w:pgMar w:left="320" w:top="1440" w:right="659" w:bottom="1440" w:gutter="0" w:footer="0" w:header="0"/>
        </w:sectPr>
      </w:pPr>
    </w:p>
    <w:bookmarkStart w:id="57" w:name="page58"/>
    <w:bookmarkEnd w:id="57"/>
    <w:p>
      <w:pPr>
        <w:spacing w:after="0" w:line="108" w:lineRule="exact"/>
        <w:rPr>
          <w:sz w:val="20"/>
          <w:szCs w:val="20"/>
          <w:color w:val="auto"/>
        </w:rPr>
      </w:pPr>
    </w:p>
    <w:p>
      <w:pPr>
        <w:ind w:left="-20" w:firstLine="656"/>
        <w:spacing w:after="0" w:line="283" w:lineRule="auto"/>
        <w:tabs>
          <w:tab w:leader="none" w:pos="126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Back-Up Generator</w:t>
      </w:r>
      <w:r>
        <w:rPr>
          <w:rFonts w:ascii="Times New Roman" w:cs="Times New Roman" w:eastAsia="Times New Roman" w:hAnsi="Times New Roman"/>
          <w:sz w:val="20"/>
          <w:szCs w:val="20"/>
          <w:color w:val="auto"/>
        </w:rPr>
        <w:t>. If desired or required by Tenant, Landlord and Tenant shall work together diligently and in good faith to establish a mutually agreeable location in the Building for a back- up generator.</w:t>
      </w:r>
    </w:p>
    <w:p>
      <w:pPr>
        <w:spacing w:after="0" w:line="159" w:lineRule="exact"/>
        <w:rPr>
          <w:rFonts w:ascii="Times New Roman" w:cs="Times New Roman" w:eastAsia="Times New Roman" w:hAnsi="Times New Roman"/>
          <w:sz w:val="20"/>
          <w:szCs w:val="20"/>
          <w:color w:val="auto"/>
        </w:rPr>
      </w:pPr>
    </w:p>
    <w:p>
      <w:pPr>
        <w:ind w:left="1280" w:hanging="644"/>
        <w:spacing w:after="0"/>
        <w:tabs>
          <w:tab w:leader="none" w:pos="12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Conference Room</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left="60" w:right="320" w:firstLine="1223"/>
        <w:spacing w:after="0" w:line="251" w:lineRule="auto"/>
        <w:tabs>
          <w:tab w:leader="none" w:pos="1911"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have the right to reserve and use the on-site conference room in the Building (the “</w:t>
      </w:r>
      <w:r>
        <w:rPr>
          <w:rFonts w:ascii="Times New Roman" w:cs="Times New Roman" w:eastAsia="Times New Roman" w:hAnsi="Times New Roman"/>
          <w:sz w:val="20"/>
          <w:szCs w:val="20"/>
          <w:b w:val="1"/>
          <w:bCs w:val="1"/>
          <w:color w:val="auto"/>
        </w:rPr>
        <w:t>Conference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Room</w:t>
      </w:r>
      <w:r>
        <w:rPr>
          <w:rFonts w:ascii="Times New Roman" w:cs="Times New Roman" w:eastAsia="Times New Roman" w:hAnsi="Times New Roman"/>
          <w:sz w:val="20"/>
          <w:szCs w:val="20"/>
          <w:color w:val="auto"/>
        </w:rPr>
        <w:t>”), on an exclusive basis during any such use, at all times during the Term of the Lease during business hours, on a first come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serve basis, upon twenty-four (24) hours’ prior notice utilizing Landlord’s standard reservation process with the on-site property manager for the Building (the “</w:t>
      </w:r>
      <w:r>
        <w:rPr>
          <w:rFonts w:ascii="Times New Roman" w:cs="Times New Roman" w:eastAsia="Times New Roman" w:hAnsi="Times New Roman"/>
          <w:sz w:val="20"/>
          <w:szCs w:val="20"/>
          <w:b w:val="1"/>
          <w:bCs w:val="1"/>
          <w:color w:val="auto"/>
        </w:rPr>
        <w:t>Conference Room Reservation</w:t>
      </w:r>
      <w:r>
        <w:rPr>
          <w:rFonts w:ascii="Times New Roman" w:cs="Times New Roman" w:eastAsia="Times New Roman" w:hAnsi="Times New Roman"/>
          <w:sz w:val="20"/>
          <w:szCs w:val="20"/>
          <w:color w:val="auto"/>
        </w:rPr>
        <w:t>”), which reservation process shall be fair and non- discriminatory. In no event shall Landlord allow another tenant’s reservation to supersede a confirmed reservation made by Tenant. Each Conference Room Reservation shall be made in four (4) hour increments. Tenant may utilize the Conference Room free of charge for no less than four (4) full days during any calendar year of the Term of the Lease, based on availability and following the above- referenced reservation process and shall not be charged for any electricity or internet service in the Conference Room, except as a standard component of Operating Expenses. For greater clarity, “one full day” shall mean eight (8) hours of time duration. Accordingly, if Tenant makes a four (4) hour duration reservation, that would constitute for a “half-day” conference room reservation.</w:t>
      </w:r>
    </w:p>
    <w:p>
      <w:pPr>
        <w:spacing w:after="0" w:line="190" w:lineRule="exact"/>
        <w:rPr>
          <w:rFonts w:ascii="Times New Roman" w:cs="Times New Roman" w:eastAsia="Times New Roman" w:hAnsi="Times New Roman"/>
          <w:sz w:val="20"/>
          <w:szCs w:val="20"/>
          <w:color w:val="auto"/>
        </w:rPr>
      </w:pPr>
    </w:p>
    <w:p>
      <w:pPr>
        <w:ind w:left="60" w:right="320" w:firstLine="1223"/>
        <w:spacing w:after="0" w:line="283" w:lineRule="auto"/>
        <w:tabs>
          <w:tab w:leader="none" w:pos="190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Conference Room shall be maintained by Landlord at all times in good condition and equipped with standard equipment, including but not limited to, audio-visual systems, wireless internet and video conferencing capabilities.</w:t>
      </w:r>
    </w:p>
    <w:p>
      <w:pPr>
        <w:spacing w:after="0" w:line="159" w:lineRule="exact"/>
        <w:rPr>
          <w:rFonts w:ascii="Times New Roman" w:cs="Times New Roman" w:eastAsia="Times New Roman" w:hAnsi="Times New Roman"/>
          <w:sz w:val="20"/>
          <w:szCs w:val="20"/>
          <w:color w:val="auto"/>
        </w:rPr>
      </w:pPr>
    </w:p>
    <w:p>
      <w:pPr>
        <w:jc w:val="both"/>
        <w:ind w:left="-20" w:right="320" w:firstLine="1303"/>
        <w:spacing w:after="0" w:line="251" w:lineRule="auto"/>
        <w:tabs>
          <w:tab w:leader="none" w:pos="191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covenants that it shall not materially alter, reduce, remove, or convert the Conference Room for another purpose during the Term of the Lease, provided that upon reasonable prior notice to Tenant, Landlord may close-off or restrict access to the Conference Room on a temporary basis for purposes of permitting or facilitating any construction, alteration or improvements to the Conference Room. If Tenant has a bona fide need to book the Conference Room during the Landlord’s planned closure/restriction period, the Landlord will work in good faith to reasonably accommodate the Tenant’s need for the Conference Room. Notwithstanding the foregoing, Landlord shall be permitted to close-off or restrict access to the Conference Room for cosmetic alterations or other minor work, up to a maximum of fourteen (14) days, without prior notice to Tenant, and provided Tenant does not have any pre-existing confirmed bookings for the Conference Room during such period of closure or restriction.</w:t>
      </w:r>
    </w:p>
    <w:p>
      <w:pPr>
        <w:spacing w:after="0" w:line="208" w:lineRule="exact"/>
        <w:rPr>
          <w:rFonts w:ascii="Times New Roman" w:cs="Times New Roman" w:eastAsia="Times New Roman" w:hAnsi="Times New Roman"/>
          <w:sz w:val="20"/>
          <w:szCs w:val="20"/>
          <w:color w:val="auto"/>
        </w:rPr>
      </w:pPr>
    </w:p>
    <w:p>
      <w:pPr>
        <w:jc w:val="both"/>
        <w:ind w:left="60" w:right="320" w:firstLine="1223"/>
        <w:spacing w:after="0" w:line="261" w:lineRule="auto"/>
        <w:tabs>
          <w:tab w:leader="none" w:pos="1909"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Conference Room is provided to Tenant solely for use by Tenant and its employees, invitees and/or visitors and Tenant’s right to use the Conference Room may not be transferred, assigned, subleased or otherwise alienated by Tenant without Landlord’s prior approval.</w:t>
      </w:r>
    </w:p>
    <w:p>
      <w:pPr>
        <w:spacing w:after="0" w:line="181" w:lineRule="exact"/>
        <w:rPr>
          <w:rFonts w:ascii="Times New Roman" w:cs="Times New Roman" w:eastAsia="Times New Roman" w:hAnsi="Times New Roman"/>
          <w:sz w:val="20"/>
          <w:szCs w:val="20"/>
          <w:color w:val="auto"/>
        </w:rPr>
      </w:pPr>
    </w:p>
    <w:p>
      <w:pPr>
        <w:ind w:left="1920" w:hanging="637"/>
        <w:spacing w:after="0"/>
        <w:tabs>
          <w:tab w:leader="none" w:pos="192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be responsible solely for damages to the Conference Room resulting from its own gross negligence</w:t>
      </w:r>
    </w:p>
    <w:p>
      <w:pPr>
        <w:spacing w:after="0" w:line="28" w:lineRule="exact"/>
        <w:rPr>
          <w:sz w:val="20"/>
          <w:szCs w:val="20"/>
          <w:color w:val="auto"/>
        </w:rPr>
      </w:pPr>
    </w:p>
    <w:p>
      <w:pPr>
        <w:jc w:val="both"/>
        <w:ind w:left="60" w:right="320"/>
        <w:spacing w:after="0" w:line="248" w:lineRule="auto"/>
        <w:rPr>
          <w:sz w:val="20"/>
          <w:szCs w:val="20"/>
          <w:color w:val="auto"/>
        </w:rPr>
      </w:pPr>
      <w:r>
        <w:rPr>
          <w:rFonts w:ascii="Times New Roman" w:cs="Times New Roman" w:eastAsia="Times New Roman" w:hAnsi="Times New Roman"/>
          <w:sz w:val="20"/>
          <w:szCs w:val="20"/>
          <w:color w:val="auto"/>
        </w:rPr>
        <w:t>or willful misuse, and not for general wear and tear or damages caused by other building occupants or Landlord. Tenant’s use of the Conference Room shall be at Tenant’s sole risk and Tenant acknowledges and agrees that absent Landlord’s gross negligence or willful misconduct, Landlord shall have no liability whatsoever to Tenant, its employees and/or visitors, or for other personal injury or property damage or theft relating to or in connection with the use of the Conference Room granted herein.</w:t>
      </w:r>
    </w:p>
    <w:p>
      <w:pPr>
        <w:spacing w:after="0" w:line="209" w:lineRule="exact"/>
        <w:rPr>
          <w:sz w:val="20"/>
          <w:szCs w:val="20"/>
          <w:color w:val="auto"/>
        </w:rPr>
      </w:pPr>
    </w:p>
    <w:p>
      <w:pPr>
        <w:ind w:left="1280" w:hanging="644"/>
        <w:spacing w:after="0"/>
        <w:tabs>
          <w:tab w:leader="none" w:pos="128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Gym/Fitness Center Memberships</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jc w:val="both"/>
        <w:ind w:left="-20" w:right="200" w:firstLine="1304"/>
        <w:spacing w:after="0" w:line="263" w:lineRule="auto"/>
        <w:tabs>
          <w:tab w:leader="none" w:pos="1914"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shall provide Tenant with ten (10) memberships (the “</w:t>
      </w:r>
      <w:r>
        <w:rPr>
          <w:rFonts w:ascii="Times New Roman" w:cs="Times New Roman" w:eastAsia="Times New Roman" w:hAnsi="Times New Roman"/>
          <w:sz w:val="20"/>
          <w:szCs w:val="20"/>
          <w:b w:val="1"/>
          <w:bCs w:val="1"/>
          <w:color w:val="auto"/>
        </w:rPr>
        <w:t>Memberships</w:t>
      </w:r>
      <w:r>
        <w:rPr>
          <w:rFonts w:ascii="Times New Roman" w:cs="Times New Roman" w:eastAsia="Times New Roman" w:hAnsi="Times New Roman"/>
          <w:sz w:val="20"/>
          <w:szCs w:val="20"/>
          <w:color w:val="auto"/>
        </w:rPr>
        <w:t>”) to the on-site gym/fitness center in the Building (the “</w:t>
      </w:r>
      <w:r>
        <w:rPr>
          <w:rFonts w:ascii="Times New Roman" w:cs="Times New Roman" w:eastAsia="Times New Roman" w:hAnsi="Times New Roman"/>
          <w:sz w:val="20"/>
          <w:szCs w:val="20"/>
          <w:b w:val="1"/>
          <w:bCs w:val="1"/>
          <w:color w:val="auto"/>
        </w:rPr>
        <w:t>Fitness Center</w:t>
      </w:r>
      <w:r>
        <w:rPr>
          <w:rFonts w:ascii="Times New Roman" w:cs="Times New Roman" w:eastAsia="Times New Roman" w:hAnsi="Times New Roman"/>
          <w:sz w:val="20"/>
          <w:szCs w:val="20"/>
          <w:color w:val="auto"/>
        </w:rPr>
        <w:t>”) for use by Tenant and its employees and designees at all times and from time to time during the Term of the Lease. Tenant shall have the right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20"/>
          </w:cols>
          <w:pgMar w:left="340" w:top="1440" w:right="339" w:bottom="1440" w:gutter="0" w:footer="0" w:header="0"/>
        </w:sectPr>
      </w:pPr>
    </w:p>
    <w:bookmarkStart w:id="58" w:name="page59"/>
    <w:bookmarkEnd w:id="58"/>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designate which of its employees and designees shall be entitled to use such Memberships and may change which employees and designees are entitled to use such Memberships from time to time during the Term of the Lease upon notice thereof to Landlord. Five (5) of the Memberships shall be “executive” memberships as no charge to Tenant and the remaining five (5) Memberships shall be at fifty percent (50%) of the fee customarily charged by Landlord from time to time, which fee shall be reasonable and commensurate with the services provided and the same as (or less than) the fee charged to other users of the Fitness Center.</w:t>
      </w:r>
    </w:p>
    <w:p>
      <w:pPr>
        <w:spacing w:after="0" w:line="205" w:lineRule="exact"/>
        <w:rPr>
          <w:sz w:val="20"/>
          <w:szCs w:val="20"/>
          <w:color w:val="auto"/>
        </w:rPr>
      </w:pPr>
    </w:p>
    <w:p>
      <w:pPr>
        <w:ind w:left="1300"/>
        <w:spacing w:after="0"/>
        <w:tabs>
          <w:tab w:leader="none" w:pos="192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20"/>
          <w:szCs w:val="20"/>
          <w:color w:val="auto"/>
        </w:rPr>
        <w:t>The Fitness Center shall be maintained by Landlord at all times in good condition and equipped with standard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equipment.</w:t>
      </w:r>
    </w:p>
    <w:p>
      <w:pPr>
        <w:spacing w:after="0" w:line="221" w:lineRule="exact"/>
        <w:rPr>
          <w:sz w:val="20"/>
          <w:szCs w:val="20"/>
          <w:color w:val="auto"/>
        </w:rPr>
      </w:pPr>
    </w:p>
    <w:p>
      <w:pPr>
        <w:jc w:val="both"/>
        <w:ind w:right="220" w:firstLine="1303"/>
        <w:spacing w:after="0" w:line="254" w:lineRule="auto"/>
        <w:tabs>
          <w:tab w:leader="none" w:pos="193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covenants that it shall not materially alter, reduce, remove, or convert the Fitness Center for another purpose during the Term of the Lease, provided that upon reasonable prior notice to Tenant, Landlord may close-off or restrict access to the Fitness Center on a temporary basis for purposes of permitting or facilitating any construction, alteration or improvements to the Fitness Center.</w:t>
      </w:r>
    </w:p>
    <w:p>
      <w:pPr>
        <w:spacing w:after="0" w:line="200" w:lineRule="exact"/>
        <w:rPr>
          <w:rFonts w:ascii="Times New Roman" w:cs="Times New Roman" w:eastAsia="Times New Roman" w:hAnsi="Times New Roman"/>
          <w:sz w:val="20"/>
          <w:szCs w:val="20"/>
          <w:color w:val="auto"/>
        </w:rPr>
      </w:pPr>
    </w:p>
    <w:p>
      <w:pPr>
        <w:jc w:val="both"/>
        <w:ind w:left="80" w:right="220" w:firstLine="1223"/>
        <w:spacing w:after="0" w:line="261" w:lineRule="auto"/>
        <w:tabs>
          <w:tab w:leader="none" w:pos="1929"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Fitness Center is provided to Tenant solely for use by Tenant and its employees and designees and Tenant’s right to use the Fitness Center may not be transferred, assigned, subleased or otherwise alienated by Tenant without Landlord’s prior approval.</w:t>
      </w:r>
    </w:p>
    <w:p>
      <w:pPr>
        <w:spacing w:after="0" w:line="181" w:lineRule="exact"/>
        <w:rPr>
          <w:rFonts w:ascii="Times New Roman" w:cs="Times New Roman" w:eastAsia="Times New Roman" w:hAnsi="Times New Roman"/>
          <w:sz w:val="20"/>
          <w:szCs w:val="20"/>
          <w:color w:val="auto"/>
        </w:rPr>
      </w:pPr>
    </w:p>
    <w:p>
      <w:pPr>
        <w:jc w:val="both"/>
        <w:ind w:right="220" w:firstLine="1303"/>
        <w:spacing w:after="0" w:line="257" w:lineRule="auto"/>
        <w:tabs>
          <w:tab w:leader="none" w:pos="1933"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be responsible solely for damages to the Fitness Center resulting from its own gross negligence or willful misuse, and not for general wear and tear or damages caused by other building occupants or Landlord. Tenant’s use of the Fitness Center shall be at Tenant’s sole risk and Tenant acknowledges and agrees that absent Landlord’s gross negligence or willful misconduct, Landlord shall have no liability whatsoever to Tenant, its employees and/or visitors, or for other personal injury or property damage or theft relating to or in connection with the use of the Fitness Center granted herein.</w:t>
      </w:r>
    </w:p>
    <w:p>
      <w:pPr>
        <w:spacing w:after="0" w:line="186" w:lineRule="exact"/>
        <w:rPr>
          <w:rFonts w:ascii="Times New Roman" w:cs="Times New Roman" w:eastAsia="Times New Roman" w:hAnsi="Times New Roman"/>
          <w:sz w:val="20"/>
          <w:szCs w:val="20"/>
          <w:color w:val="auto"/>
        </w:rPr>
      </w:pPr>
    </w:p>
    <w:p>
      <w:pPr>
        <w:jc w:val="both"/>
        <w:ind w:right="220" w:firstLine="655"/>
        <w:spacing w:after="0" w:line="250" w:lineRule="auto"/>
        <w:tabs>
          <w:tab w:leader="none" w:pos="12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Dialtone Coffee Shop</w:t>
      </w:r>
      <w:r>
        <w:rPr>
          <w:rFonts w:ascii="Times New Roman" w:cs="Times New Roman" w:eastAsia="Times New Roman" w:hAnsi="Times New Roman"/>
          <w:sz w:val="20"/>
          <w:szCs w:val="20"/>
          <w:color w:val="auto"/>
        </w:rPr>
        <w:t>. Landlord, at Landlord’s sole cost and expense, agrees to construct, open and operate a coffee shop under its “Dialtone” concept, or another comparable coffee concept, on the ground floor of the Building within its currently vacant retail space (the “</w:t>
      </w:r>
      <w:r>
        <w:rPr>
          <w:rFonts w:ascii="Times New Roman" w:cs="Times New Roman" w:eastAsia="Times New Roman" w:hAnsi="Times New Roman"/>
          <w:sz w:val="20"/>
          <w:szCs w:val="20"/>
          <w:b w:val="1"/>
          <w:bCs w:val="1"/>
          <w:color w:val="auto"/>
        </w:rPr>
        <w:t>Coffee Shop</w:t>
      </w:r>
      <w:r>
        <w:rPr>
          <w:rFonts w:ascii="Times New Roman" w:cs="Times New Roman" w:eastAsia="Times New Roman" w:hAnsi="Times New Roman"/>
          <w:sz w:val="20"/>
          <w:szCs w:val="20"/>
          <w:color w:val="auto"/>
        </w:rPr>
        <w:t>”). The Coffee Shop tenant will pay its pro rata share of Operating Expenses and Taxes pursuant to a triple net lease and no cost to construct or operate the Coffee Shop shall be charged back to Tenant as a component of Operating Expenses. Landlord shall cause the Coffee Shop to be open and operating for business no later than the Premises Adjustment Date and to be operating at all times during the Coffee Shop Working Hours (as defined below) thereafter. If Landlord fails to cause the Coffee Shop to be open and continuously operating by the Premises Adjustment Date, Landlord shall pay to Tenant the amount of Twenty Thousand and No/100 Dollars ($20,000.00) per month (or pro-rated for a part thereof), which shall be applied as a credit against Rent (including Base Rent, Tenant’s Pro Rata Share of Taxes and Tenant’s Pro Rata Share of Operating Expenses) due under the Lease until the Coffee Shop is open and continuously operating. For purposes hereof, the term “</w:t>
      </w:r>
      <w:r>
        <w:rPr>
          <w:rFonts w:ascii="Times New Roman" w:cs="Times New Roman" w:eastAsia="Times New Roman" w:hAnsi="Times New Roman"/>
          <w:sz w:val="20"/>
          <w:szCs w:val="20"/>
          <w:b w:val="1"/>
          <w:bCs w:val="1"/>
          <w:color w:val="auto"/>
        </w:rPr>
        <w:t>Coffee Shop Working Hours</w:t>
      </w:r>
      <w:r>
        <w:rPr>
          <w:rFonts w:ascii="Times New Roman" w:cs="Times New Roman" w:eastAsia="Times New Roman" w:hAnsi="Times New Roman"/>
          <w:sz w:val="20"/>
          <w:szCs w:val="20"/>
          <w:color w:val="auto"/>
        </w:rPr>
        <w:t>” shall mean 7:00 a.m. to 5:00 p.m. on Business Days, subject to force majeure (as such term is defined in Article 10 of the Original Lease).</w:t>
      </w:r>
    </w:p>
    <w:p>
      <w:pPr>
        <w:spacing w:after="0" w:line="199" w:lineRule="exact"/>
        <w:rPr>
          <w:rFonts w:ascii="Times New Roman" w:cs="Times New Roman" w:eastAsia="Times New Roman" w:hAnsi="Times New Roman"/>
          <w:sz w:val="20"/>
          <w:szCs w:val="20"/>
          <w:color w:val="auto"/>
        </w:rPr>
      </w:pPr>
    </w:p>
    <w:p>
      <w:pPr>
        <w:jc w:val="both"/>
        <w:ind w:right="220" w:firstLine="655"/>
        <w:spacing w:after="0" w:line="253" w:lineRule="auto"/>
        <w:tabs>
          <w:tab w:leader="none" w:pos="128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and Lobby Improvements</w:t>
      </w:r>
      <w:r>
        <w:rPr>
          <w:rFonts w:ascii="Times New Roman" w:cs="Times New Roman" w:eastAsia="Times New Roman" w:hAnsi="Times New Roman"/>
          <w:sz w:val="20"/>
          <w:szCs w:val="20"/>
          <w:color w:val="auto"/>
        </w:rPr>
        <w:t xml:space="preserve">. Landlord covenants and agrees to repair, renovate and improve those elements of the Building and the Building lobby to a quality consistent with Comparable Buildings, including, without limitation, those elements set forth on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color w:val="auto"/>
        </w:rPr>
        <w:t xml:space="preserve"> attached hereto and made a part hereof (collectively, the “</w:t>
      </w:r>
      <w:r>
        <w:rPr>
          <w:rFonts w:ascii="Times New Roman" w:cs="Times New Roman" w:eastAsia="Times New Roman" w:hAnsi="Times New Roman"/>
          <w:sz w:val="20"/>
          <w:szCs w:val="20"/>
          <w:b w:val="1"/>
          <w:bCs w:val="1"/>
          <w:color w:val="auto"/>
        </w:rPr>
        <w:t>Building Improvements</w:t>
      </w:r>
      <w:r>
        <w:rPr>
          <w:rFonts w:ascii="Times New Roman" w:cs="Times New Roman" w:eastAsia="Times New Roman" w:hAnsi="Times New Roman"/>
          <w:sz w:val="20"/>
          <w:szCs w:val="20"/>
          <w:color w:val="auto"/>
        </w:rPr>
        <w:t>”), all to the reasonable satisfaction of Tenant. Landlord’s work on the Building Improvements shall commence on or prior to the Effective Date and shall be completed on or prior to the Premises Adjustment Date.</w:t>
      </w:r>
    </w:p>
    <w:p>
      <w:pPr>
        <w:spacing w:after="0" w:line="20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Management and Operations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140"/>
          </w:cols>
          <w:pgMar w:left="320" w:top="1440" w:right="439" w:bottom="1440" w:gutter="0" w:footer="0" w:header="0"/>
        </w:sectPr>
      </w:pPr>
    </w:p>
    <w:bookmarkStart w:id="59" w:name="page60"/>
    <w:bookmarkEnd w:id="59"/>
    <w:p>
      <w:pPr>
        <w:spacing w:after="0" w:line="108" w:lineRule="exact"/>
        <w:rPr>
          <w:sz w:val="20"/>
          <w:szCs w:val="20"/>
          <w:color w:val="auto"/>
        </w:rPr>
      </w:pPr>
    </w:p>
    <w:p>
      <w:pPr>
        <w:jc w:val="both"/>
        <w:ind w:firstLine="1223"/>
        <w:spacing w:after="0" w:line="253" w:lineRule="auto"/>
        <w:tabs>
          <w:tab w:leader="none" w:pos="185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parties covenant and agree that Tenant’s Building management and operations as set forth in Paragraph 9 of the Sixth Amendment (including, without limitation, Exhibit B attached to the Sixth Amendment) shall remain in full force and effect throughout the Term of the Lease. In addition, Landlord, through its designated property management personnel at the Building, shall meet with Tenant, on not less than a monthly basis throughout the Term of the Lease, at a mutually convenient time and place (including by videoconference if agreed), for the purpose of reviewing and discussing matters relating to Building security, mechanical systems, janitorial services and general Building operations. It is understood by both Landlord and Tenant that failure to hold a monthly meeting shall not constitute a default under the Lease.</w:t>
      </w:r>
    </w:p>
    <w:p>
      <w:pPr>
        <w:spacing w:after="0" w:line="192" w:lineRule="exact"/>
        <w:rPr>
          <w:rFonts w:ascii="Times New Roman" w:cs="Times New Roman" w:eastAsia="Times New Roman" w:hAnsi="Times New Roman"/>
          <w:sz w:val="20"/>
          <w:szCs w:val="20"/>
          <w:color w:val="auto"/>
        </w:rPr>
      </w:pPr>
    </w:p>
    <w:p>
      <w:pPr>
        <w:jc w:val="both"/>
        <w:ind w:firstLine="1223"/>
        <w:spacing w:after="0" w:line="261" w:lineRule="auto"/>
        <w:tabs>
          <w:tab w:leader="none" w:pos="1849"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at all times during the Term of the Lease, shall cause all Building security and other personnel to wear professional standardized uniforms at all times while on duty, which Landlord shall regulate on an on-going basis. Such uniforms shall include, without limitation, suits coats and ties.</w:t>
      </w:r>
    </w:p>
    <w:p>
      <w:pPr>
        <w:spacing w:after="0" w:line="181" w:lineRule="exact"/>
        <w:rPr>
          <w:rFonts w:ascii="Times New Roman" w:cs="Times New Roman" w:eastAsia="Times New Roman" w:hAnsi="Times New Roman"/>
          <w:sz w:val="20"/>
          <w:szCs w:val="20"/>
          <w:color w:val="auto"/>
        </w:rPr>
      </w:pPr>
    </w:p>
    <w:p>
      <w:pPr>
        <w:ind w:left="1220" w:hanging="644"/>
        <w:spacing w:after="0"/>
        <w:tabs>
          <w:tab w:leader="none" w:pos="12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Security</w:t>
      </w:r>
      <w:r>
        <w:rPr>
          <w:rFonts w:ascii="Times New Roman" w:cs="Times New Roman" w:eastAsia="Times New Roman" w:hAnsi="Times New Roman"/>
          <w:sz w:val="20"/>
          <w:szCs w:val="20"/>
          <w:color w:val="auto"/>
        </w:rPr>
        <w:t>.</w:t>
      </w:r>
    </w:p>
    <w:p>
      <w:pPr>
        <w:spacing w:after="0" w:line="242" w:lineRule="exact"/>
        <w:rPr>
          <w:rFonts w:ascii="Times New Roman" w:cs="Times New Roman" w:eastAsia="Times New Roman" w:hAnsi="Times New Roman"/>
          <w:sz w:val="20"/>
          <w:szCs w:val="20"/>
          <w:color w:val="auto"/>
        </w:rPr>
      </w:pPr>
    </w:p>
    <w:p>
      <w:pPr>
        <w:jc w:val="both"/>
        <w:ind w:firstLine="1223"/>
        <w:spacing w:after="0" w:line="253" w:lineRule="auto"/>
        <w:tabs>
          <w:tab w:leader="none" w:pos="18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covenants and agrees to provide such security measures for the Building as are provided in Comparable Buildings. In addition, on or before the Premises Adjustment Date, Landlord agrees to add a keycard swipe in the garage at the Building lobby entrance granting access from the garage to the Building lobby. Tenant may, upon Landlord’s prior written approval, not to be unreasonably be withheld, conditioned or delayed, furnish such additional security services for the Premises, as Tenant reasonably requires, at Tenant’s sole cost and expense.</w:t>
      </w:r>
    </w:p>
    <w:p>
      <w:pPr>
        <w:spacing w:after="0" w:line="191" w:lineRule="exact"/>
        <w:rPr>
          <w:rFonts w:ascii="Times New Roman" w:cs="Times New Roman" w:eastAsia="Times New Roman" w:hAnsi="Times New Roman"/>
          <w:sz w:val="20"/>
          <w:szCs w:val="20"/>
          <w:color w:val="auto"/>
        </w:rPr>
      </w:pPr>
    </w:p>
    <w:p>
      <w:pPr>
        <w:jc w:val="both"/>
        <w:ind w:firstLine="1223"/>
        <w:spacing w:after="0" w:line="257" w:lineRule="auto"/>
        <w:tabs>
          <w:tab w:leader="none" w:pos="184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at all times during the Term of the Lease, shall require and cause all Building security and other personnel stationed at the Building lobby desk to be in a standing position so that visitors to the Building and other invitees and guests will be visible to such Building security and other personnel. The parties acknowledge and agree that as of the Effective Date hereof, such standing is permitted and otherwise authorized by applicable union laws, rules and regulations, but such standing shall be subject to any future changes in union laws, rules or regulations which expressly prohibit such standing.</w:t>
      </w:r>
    </w:p>
    <w:p>
      <w:pPr>
        <w:spacing w:after="0" w:line="186" w:lineRule="exact"/>
        <w:rPr>
          <w:rFonts w:ascii="Times New Roman" w:cs="Times New Roman" w:eastAsia="Times New Roman" w:hAnsi="Times New Roman"/>
          <w:sz w:val="20"/>
          <w:szCs w:val="20"/>
          <w:color w:val="auto"/>
        </w:rPr>
      </w:pPr>
    </w:p>
    <w:p>
      <w:pPr>
        <w:jc w:val="both"/>
        <w:ind w:firstLine="1223"/>
        <w:spacing w:after="0" w:line="251" w:lineRule="auto"/>
        <w:tabs>
          <w:tab w:leader="none" w:pos="1851"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at all times during the Term of the Lease, shall cause one security guard to be present at the Building lobby desk during the hours from 6:00 a.m. to 6:00 p.m. on Business Days, and from 7:00 a.m. to 5:00 p.m. on all days which are not Business Days. In the event that such guard leaves the Building lobby desk for any reason whatsoever during such hours, a substitute security guard or other Building employee shall fill in for such security guard at the Building lobby desk during his or her absence, and, as applicable, in the event of an emergency or other situation that requires such guard to temporarily and promptly leave the desk, Landlord shall place in a conspicuous position on the lobby security desk a notice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attached hereto and made a part hereof (or such other notice which is mutually acceptable in form and substance to Landlord and Tenant) setting forth an accurate and reliable means of communication with Building security and Building management.</w:t>
      </w:r>
    </w:p>
    <w:p>
      <w:pPr>
        <w:spacing w:after="0" w:line="208" w:lineRule="exact"/>
        <w:rPr>
          <w:rFonts w:ascii="Times New Roman" w:cs="Times New Roman" w:eastAsia="Times New Roman" w:hAnsi="Times New Roman"/>
          <w:sz w:val="20"/>
          <w:szCs w:val="20"/>
          <w:color w:val="auto"/>
        </w:rPr>
      </w:pPr>
    </w:p>
    <w:p>
      <w:pPr>
        <w:ind w:right="20" w:firstLine="1223"/>
        <w:spacing w:after="0" w:line="269" w:lineRule="auto"/>
        <w:tabs>
          <w:tab w:leader="none" w:pos="1849"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at all times during the Term of the Lease, shall cause one security guard to be present at the Building primarily stationed at the Building lobby desk during the hours from 6:01</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p.m. to 5:59 a.m. on Business Days and from 5:01 p.m. to 6:59 a.m. on all days which are not Business Days. In the event that such guard leaves the desk for any reason whatsoever during such hours, Landlord shall place in a conspicuous position on the lobby security desk a notice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(or such other notice which is mutually acceptable in form and substance to Landlord and Tenant) setting forth an accurate and reliable means of communication with Building security and Building management.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840"/>
          </w:cols>
          <w:pgMar w:left="400" w:top="1440" w:right="659" w:bottom="1440" w:gutter="0" w:footer="0" w:header="0"/>
        </w:sectPr>
      </w:pPr>
    </w:p>
    <w:bookmarkStart w:id="60" w:name="page61"/>
    <w:bookmarkEnd w:id="60"/>
    <w:p>
      <w:pPr>
        <w:spacing w:after="0" w:line="104" w:lineRule="exact"/>
        <w:rPr>
          <w:sz w:val="20"/>
          <w:szCs w:val="20"/>
          <w:color w:val="auto"/>
        </w:rPr>
      </w:pPr>
    </w:p>
    <w:p>
      <w:pPr>
        <w:jc w:val="both"/>
        <w:ind w:left="-320" w:firstLine="655"/>
        <w:spacing w:after="0" w:line="251" w:lineRule="auto"/>
        <w:tabs>
          <w:tab w:leader="none" w:pos="96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 Security System</w:t>
      </w:r>
      <w:r>
        <w:rPr>
          <w:rFonts w:ascii="Times New Roman" w:cs="Times New Roman" w:eastAsia="Times New Roman" w:hAnsi="Times New Roman"/>
          <w:sz w:val="20"/>
          <w:szCs w:val="20"/>
          <w:color w:val="auto"/>
        </w:rPr>
        <w:t>. Tenant shall have the right to install or cause to be installed a security system (“</w:t>
      </w:r>
      <w:r>
        <w:rPr>
          <w:rFonts w:ascii="Times New Roman" w:cs="Times New Roman" w:eastAsia="Times New Roman" w:hAnsi="Times New Roman"/>
          <w:sz w:val="20"/>
          <w:szCs w:val="20"/>
          <w:b w:val="1"/>
          <w:bCs w:val="1"/>
          <w:color w:val="auto"/>
        </w:rPr>
        <w:t>Tenant’s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Security System</w:t>
      </w:r>
      <w:r>
        <w:rPr>
          <w:rFonts w:ascii="Times New Roman" w:cs="Times New Roman" w:eastAsia="Times New Roman" w:hAnsi="Times New Roman"/>
          <w:sz w:val="20"/>
          <w:szCs w:val="20"/>
          <w:color w:val="auto"/>
        </w:rPr>
        <w:t>”) that serves the Adjusted Premises to control access to and in the Adjusted Premises, at Tenant’s sole cost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 subject to Landlord’s prior consent, which consent shall not unreasonably withheld, conditioned or delayed, provided that such security system solely serves the Adjusted Premises and does not impact Landlord’s base building security system. Tenant, at its option, may connect Tenant’s Security System to Landlord’s security system for the Building. Tenant shall not be required to remove typical components of Tenant’s Security System, such as control panels, keypads, sensors, detectors, cameras, alarms and associated wiring, at the end of the Term of the Lease or upon the earlier termination of the Lease, but any structures or materials improvements constructed by Tenant with respect to Tenant’s Security System shall be removed by Tenant, at Tenant’s cost, at the end of the Term of the Lease or upon the earlier termination of the Lease. Landlord shall cooperate with Tenant in the event that Tenant elects to upgrade its security system and protocols and/or access system and protocols from time to time during the Term of the Lease so that such systems and protocols are compatible with Building security and access.</w:t>
      </w:r>
    </w:p>
    <w:p>
      <w:pPr>
        <w:spacing w:after="0" w:line="193" w:lineRule="exact"/>
        <w:rPr>
          <w:rFonts w:ascii="Times New Roman" w:cs="Times New Roman" w:eastAsia="Times New Roman" w:hAnsi="Times New Roman"/>
          <w:sz w:val="20"/>
          <w:szCs w:val="20"/>
          <w:color w:val="auto"/>
        </w:rPr>
      </w:pPr>
    </w:p>
    <w:p>
      <w:pPr>
        <w:jc w:val="both"/>
        <w:ind w:left="-320" w:firstLine="655"/>
        <w:spacing w:after="0" w:line="253" w:lineRule="auto"/>
        <w:tabs>
          <w:tab w:leader="none" w:pos="96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In addition to the notice provisions set forth in the Lease, Landlord agrees that in the event of any emergency affecting the Building or the Adjusted Premises (or, until the Premises Surrender Date, the Surrendered Premises), including but not limited to, fire, flood, utility outage, security incident or any other condition that could impact Tenant’s operations or employee safety, Landlord shall provide Tenant with electronic notification, by text message (to Lori Mazza @ (312) 898-6307) and/or email (to Lori Mazza @ lmazza@hcg.com), or in such other manner or to such other telephone number or email or other address, as Tenant shall designate to Landlord from time to time, with such notice to be delivered as promptly as reasonably possible, so that Tenant may notify its employees prior to the commencement of business hours of such emergency.</w:t>
      </w:r>
    </w:p>
    <w:p>
      <w:pPr>
        <w:spacing w:after="0" w:line="192" w:lineRule="exact"/>
        <w:rPr>
          <w:rFonts w:ascii="Times New Roman" w:cs="Times New Roman" w:eastAsia="Times New Roman" w:hAnsi="Times New Roman"/>
          <w:sz w:val="20"/>
          <w:szCs w:val="20"/>
          <w:color w:val="auto"/>
        </w:rPr>
      </w:pPr>
    </w:p>
    <w:p>
      <w:pPr>
        <w:ind w:left="-320" w:right="20" w:firstLine="655"/>
        <w:spacing w:after="0" w:line="283" w:lineRule="auto"/>
        <w:tabs>
          <w:tab w:leader="none" w:pos="96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Parking</w:t>
      </w:r>
      <w:r>
        <w:rPr>
          <w:rFonts w:ascii="Times New Roman" w:cs="Times New Roman" w:eastAsia="Times New Roman" w:hAnsi="Times New Roman"/>
          <w:sz w:val="20"/>
          <w:szCs w:val="20"/>
          <w:color w:val="auto"/>
        </w:rPr>
        <w:t>. Tenant’s right to use parking shall be as provided in Paragraph 12 of the Sixth Amendment notwithstanding any change to the Premises as provided herein.</w:t>
      </w:r>
    </w:p>
    <w:p>
      <w:pPr>
        <w:spacing w:after="0" w:line="159" w:lineRule="exact"/>
        <w:rPr>
          <w:rFonts w:ascii="Times New Roman" w:cs="Times New Roman" w:eastAsia="Times New Roman" w:hAnsi="Times New Roman"/>
          <w:sz w:val="20"/>
          <w:szCs w:val="20"/>
          <w:color w:val="auto"/>
        </w:rPr>
      </w:pPr>
    </w:p>
    <w:p>
      <w:pPr>
        <w:jc w:val="both"/>
        <w:ind w:left="-320" w:firstLine="655"/>
        <w:spacing w:after="0" w:line="251" w:lineRule="auto"/>
        <w:tabs>
          <w:tab w:leader="none" w:pos="96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Brokers</w:t>
      </w:r>
      <w:r>
        <w:rPr>
          <w:rFonts w:ascii="Times New Roman" w:cs="Times New Roman" w:eastAsia="Times New Roman" w:hAnsi="Times New Roman"/>
          <w:sz w:val="20"/>
          <w:szCs w:val="20"/>
          <w:color w:val="auto"/>
        </w:rPr>
        <w:t>. Landlord and Tenant each represent and warrant to the other that they have had no dealings with any real estate broker or agent in connection with the negotiation of this Seventh Amendment, other than Stream Realty Partners, which represents Landlord (“</w:t>
      </w:r>
      <w:r>
        <w:rPr>
          <w:rFonts w:ascii="Times New Roman" w:cs="Times New Roman" w:eastAsia="Times New Roman" w:hAnsi="Times New Roman"/>
          <w:sz w:val="20"/>
          <w:szCs w:val="20"/>
          <w:b w:val="1"/>
          <w:bCs w:val="1"/>
          <w:color w:val="auto"/>
        </w:rPr>
        <w:t>Landlord’s Broker</w:t>
      </w:r>
      <w:r>
        <w:rPr>
          <w:rFonts w:ascii="Times New Roman" w:cs="Times New Roman" w:eastAsia="Times New Roman" w:hAnsi="Times New Roman"/>
          <w:sz w:val="20"/>
          <w:szCs w:val="20"/>
          <w:color w:val="auto"/>
        </w:rPr>
        <w:t>”), and Cresa, LLC, which represents Tenant (“</w:t>
      </w:r>
      <w:r>
        <w:rPr>
          <w:rFonts w:ascii="Times New Roman" w:cs="Times New Roman" w:eastAsia="Times New Roman" w:hAnsi="Times New Roman"/>
          <w:sz w:val="20"/>
          <w:szCs w:val="20"/>
          <w:b w:val="1"/>
          <w:bCs w:val="1"/>
          <w:color w:val="auto"/>
        </w:rPr>
        <w:t>Tenant’s Broker</w:t>
      </w:r>
      <w:r>
        <w:rPr>
          <w:rFonts w:ascii="Times New Roman" w:cs="Times New Roman" w:eastAsia="Times New Roman" w:hAnsi="Times New Roman"/>
          <w:sz w:val="20"/>
          <w:szCs w:val="20"/>
          <w:color w:val="auto"/>
        </w:rPr>
        <w:t xml:space="preserve">”) (Landlord’s Broker and Tenant’s Broker are hereinafter sometimes together referred to as the </w:t>
      </w:r>
      <w:r>
        <w:rPr>
          <w:rFonts w:ascii="Arial" w:cs="Arial" w:eastAsia="Arial" w:hAnsi="Arial"/>
          <w:sz w:val="20"/>
          <w:szCs w:val="20"/>
          <w:color w:val="auto"/>
        </w:rPr>
        <w:t>“</w:t>
      </w:r>
      <w:r>
        <w:rPr>
          <w:rFonts w:ascii="Times New Roman" w:cs="Times New Roman" w:eastAsia="Times New Roman" w:hAnsi="Times New Roman"/>
          <w:sz w:val="20"/>
          <w:szCs w:val="20"/>
          <w:b w:val="1"/>
          <w:bCs w:val="1"/>
          <w:color w:val="auto"/>
        </w:rPr>
        <w:t>Brokers</w:t>
      </w:r>
      <w:r>
        <w:rPr>
          <w:rFonts w:ascii="Arial" w:cs="Arial" w:eastAsia="Arial" w:hAnsi="Arial"/>
          <w:sz w:val="20"/>
          <w:szCs w:val="20"/>
          <w:color w:val="auto"/>
        </w:rPr>
        <w:t>”</w:t>
      </w:r>
      <w:r>
        <w:rPr>
          <w:rFonts w:ascii="Times New Roman" w:cs="Times New Roman" w:eastAsia="Times New Roman" w:hAnsi="Times New Roman"/>
          <w:sz w:val="20"/>
          <w:szCs w:val="20"/>
          <w:color w:val="auto"/>
        </w:rPr>
        <w:t>), and that they know of no other real estate broker or agent who is entitled to a commission in connection with this Seventh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though, or under the indemnifying party. The terms of this Section 22 shall survive the expiration or earlier termination of the Term of the Lease. Landlord agrees to pay all to Brokers all amounts owing to Brokers with respect to this Seventh Amendment pursuant to a separate commission agreement between Landlord and Brokers and such amounts shall not be passed on to Tenant, whether as a component of Operating Expenses, Additional Rent or otherwise.</w:t>
      </w:r>
    </w:p>
    <w:p>
      <w:pPr>
        <w:spacing w:after="0" w:line="190" w:lineRule="exact"/>
        <w:rPr>
          <w:rFonts w:ascii="Times New Roman" w:cs="Times New Roman" w:eastAsia="Times New Roman" w:hAnsi="Times New Roman"/>
          <w:sz w:val="20"/>
          <w:szCs w:val="20"/>
          <w:color w:val="auto"/>
        </w:rPr>
      </w:pPr>
    </w:p>
    <w:p>
      <w:pPr>
        <w:ind w:left="980" w:hanging="644"/>
        <w:spacing w:after="0"/>
        <w:tabs>
          <w:tab w:leader="none" w:pos="98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Representations, Warranties and Covenants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20" w:firstLine="1303"/>
        <w:spacing w:after="0" w:line="258" w:lineRule="auto"/>
        <w:tabs>
          <w:tab w:leader="none" w:pos="1613"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hereby represents and warrants to Tenant that, as of the date hereof, the Building, other than the Existing Premises, is in compliance with all codes, laws, statues, rules and regulations promulgated by any federal, state or local governmental agency having jurisdiction over the Building, including, without limitation, the Americans with Disabilities Act of 1990 (42 U.S.C. §12-101 et. seq.) (the “</w:t>
      </w:r>
      <w:r>
        <w:rPr>
          <w:rFonts w:ascii="Times New Roman" w:cs="Times New Roman" w:eastAsia="Times New Roman" w:hAnsi="Times New Roman"/>
          <w:sz w:val="20"/>
          <w:szCs w:val="20"/>
          <w:b w:val="1"/>
          <w:bCs w:val="1"/>
          <w:color w:val="auto"/>
        </w:rPr>
        <w:t>ADA</w:t>
      </w:r>
      <w:r>
        <w:rPr>
          <w:rFonts w:ascii="Times New Roman" w:cs="Times New Roman" w:eastAsia="Times New Roman" w:hAnsi="Times New Roman"/>
          <w:sz w:val="20"/>
          <w:szCs w:val="20"/>
          <w:color w:val="auto"/>
        </w:rPr>
        <w:t>”) and the regulations issued thereunder, as amended from time to time (collectively,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600"/>
          </w:cols>
          <w:pgMar w:left="640" w:top="1440" w:right="659" w:bottom="1440" w:gutter="0" w:footer="0" w:header="0"/>
        </w:sectPr>
      </w:pPr>
    </w:p>
    <w:bookmarkStart w:id="61" w:name="page62"/>
    <w:bookmarkEnd w:id="61"/>
    <w:p>
      <w:pPr>
        <w:spacing w:after="0" w:line="10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Laws</w:t>
      </w:r>
      <w:r>
        <w:rPr>
          <w:rFonts w:ascii="Times New Roman" w:cs="Times New Roman" w:eastAsia="Times New Roman" w:hAnsi="Times New Roman"/>
          <w:sz w:val="20"/>
          <w:szCs w:val="20"/>
          <w:color w:val="auto"/>
        </w:rPr>
        <w:t>”). Landlord hereby covenants that, after the date hereof, the Building, other than the Existing Premises, shall be in compliance with all Laws.</w:t>
      </w:r>
    </w:p>
    <w:p>
      <w:pPr>
        <w:spacing w:after="0" w:line="156" w:lineRule="exact"/>
        <w:rPr>
          <w:sz w:val="20"/>
          <w:szCs w:val="20"/>
          <w:color w:val="auto"/>
        </w:rPr>
      </w:pPr>
    </w:p>
    <w:p>
      <w:pPr>
        <w:jc w:val="both"/>
        <w:ind w:firstLine="1303"/>
        <w:spacing w:after="0" w:line="251" w:lineRule="auto"/>
        <w:tabs>
          <w:tab w:leader="none" w:pos="193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hereby represents and warrants to Tenant that, as of the date hereof: (a) Landlord is a duly organized and validly existing Delaware limited liability company and is authorized to transact business under the laws of the State of Illinois; (b) Landlord has full power and authority to enter into this Seventh Amendment and to perform its obligations under this Seventh Amendment; (c) the execution, delivery and performance of this Seventh Amendment by Landlord have been duly and validly authorized by all necessary action on the part of Landlord and all required consents and approvals for the entry into and performance by Landlord hereunder have been duly obtained; and (d) this Seventh Amendment is a legal, valid and binding obligation of Landlord, enforceable against Landlord in accordance with its terms, subject to the effect of applicable bankruptcy, insolvency, reorganization, arrangement, moratorium or other similar laws affecting the rights of creditors generally.</w:t>
      </w:r>
    </w:p>
    <w:p>
      <w:pPr>
        <w:spacing w:after="0" w:line="195" w:lineRule="exact"/>
        <w:rPr>
          <w:rFonts w:ascii="Times New Roman" w:cs="Times New Roman" w:eastAsia="Times New Roman" w:hAnsi="Times New Roman"/>
          <w:sz w:val="20"/>
          <w:szCs w:val="20"/>
          <w:color w:val="auto"/>
        </w:rPr>
      </w:pPr>
    </w:p>
    <w:p>
      <w:pPr>
        <w:jc w:val="both"/>
        <w:ind w:firstLine="1303"/>
        <w:spacing w:after="0" w:line="253" w:lineRule="auto"/>
        <w:tabs>
          <w:tab w:leader="none" w:pos="1933"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hereby represents and warrants to Landlord that, as of the date hereof: (a) Tenant is a duly organized and validly existing Delaware limited liability company and is authorized to transact business under the laws of the State of Illinois; (b) Tenant has full power and authority to enter into this Seventh Amendment and to perform its obligations under this Seventh Amendment; (c) the execution, delivery and performance of this Seventh Amendment by Tenant have been duly and validly authorized by all necessary action on the part of Tenant and all required consents and approvals for the entry into and performance by Tenant hereunder have been duly obtained; and (d) this Seventh Amendment is a legal, valid and binding obligation of Tenant, enforceable against Tenant in accordance with its terms, subject to the effect of applicable bankruptcy, insolvency, reorganization, arrangement, moratorium or other similar laws affecting the rights of creditors generally.</w:t>
      </w:r>
    </w:p>
    <w:p>
      <w:pPr>
        <w:spacing w:after="0" w:line="193" w:lineRule="exact"/>
        <w:rPr>
          <w:rFonts w:ascii="Times New Roman" w:cs="Times New Roman" w:eastAsia="Times New Roman" w:hAnsi="Times New Roman"/>
          <w:sz w:val="20"/>
          <w:szCs w:val="20"/>
          <w:color w:val="auto"/>
        </w:rPr>
      </w:pPr>
    </w:p>
    <w:p>
      <w:pPr>
        <w:ind w:firstLine="655"/>
        <w:spacing w:after="0" w:line="269"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Captions</w:t>
      </w:r>
      <w:r>
        <w:rPr>
          <w:rFonts w:ascii="Times New Roman" w:cs="Times New Roman" w:eastAsia="Times New Roman" w:hAnsi="Times New Roman"/>
          <w:sz w:val="20"/>
          <w:szCs w:val="20"/>
          <w:color w:val="auto"/>
        </w:rPr>
        <w:t>. The captions used in this Seventh Amendment are for convenience only and shall have no effect upon the interpretation of this Seventh Amendment.</w:t>
      </w:r>
    </w:p>
    <w:p>
      <w:pPr>
        <w:spacing w:after="0" w:line="186" w:lineRule="exact"/>
        <w:rPr>
          <w:rFonts w:ascii="Times New Roman" w:cs="Times New Roman" w:eastAsia="Times New Roman" w:hAnsi="Times New Roman"/>
          <w:sz w:val="20"/>
          <w:szCs w:val="20"/>
          <w:color w:val="auto"/>
        </w:rPr>
      </w:pPr>
    </w:p>
    <w:p>
      <w:pPr>
        <w:jc w:val="both"/>
        <w:ind w:firstLine="655"/>
        <w:spacing w:after="0" w:line="261"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Ratification of Lease</w:t>
      </w:r>
      <w:r>
        <w:rPr>
          <w:rFonts w:ascii="Times New Roman" w:cs="Times New Roman" w:eastAsia="Times New Roman" w:hAnsi="Times New Roman"/>
          <w:sz w:val="20"/>
          <w:szCs w:val="20"/>
          <w:color w:val="auto"/>
        </w:rPr>
        <w:t>. Except as expressly amended by this Seventh Amendment, the Lease shall remain in full force and effect and, as hereby amended, is ratified and confirmed by the parties hereto. In the event of a conflict between the provisions of the Lease and the provisions of this Seventh Amendment, the provisions of this Seventh Amendment shall control and prevail.</w:t>
      </w:r>
    </w:p>
    <w:p>
      <w:pPr>
        <w:spacing w:after="0" w:line="177" w:lineRule="exact"/>
        <w:rPr>
          <w:rFonts w:ascii="Times New Roman" w:cs="Times New Roman" w:eastAsia="Times New Roman" w:hAnsi="Times New Roman"/>
          <w:sz w:val="20"/>
          <w:szCs w:val="20"/>
          <w:color w:val="auto"/>
        </w:rPr>
      </w:pPr>
    </w:p>
    <w:p>
      <w:pPr>
        <w:jc w:val="both"/>
        <w:ind w:firstLine="655"/>
        <w:spacing w:after="0" w:line="263"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Day Defined</w:t>
      </w:r>
      <w:r>
        <w:rPr>
          <w:rFonts w:ascii="Times New Roman" w:cs="Times New Roman" w:eastAsia="Times New Roman" w:hAnsi="Times New Roman"/>
          <w:sz w:val="20"/>
          <w:szCs w:val="20"/>
          <w:color w:val="auto"/>
        </w:rPr>
        <w:t>. As used herein and in the Lease, the terms “</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Business Days</w:t>
      </w:r>
      <w:r>
        <w:rPr>
          <w:rFonts w:ascii="Times New Roman" w:cs="Times New Roman" w:eastAsia="Times New Roman" w:hAnsi="Times New Roman"/>
          <w:sz w:val="20"/>
          <w:szCs w:val="20"/>
          <w:color w:val="auto"/>
        </w:rPr>
        <w:t>,” as applicable, shall mean Monday through Friday, except New Year’s Day, Martin Luther King Jr.’s Birthday, Memorial Day, Juneteenth, Independence Day, Labor Day, Thanksgiving Day, the day after Thanksgiving and Christmas Day.</w:t>
      </w:r>
    </w:p>
    <w:p>
      <w:pPr>
        <w:spacing w:after="0" w:line="192" w:lineRule="exact"/>
        <w:rPr>
          <w:rFonts w:ascii="Times New Roman" w:cs="Times New Roman" w:eastAsia="Times New Roman" w:hAnsi="Times New Roman"/>
          <w:sz w:val="20"/>
          <w:szCs w:val="20"/>
          <w:color w:val="auto"/>
        </w:rPr>
      </w:pPr>
    </w:p>
    <w:p>
      <w:pPr>
        <w:jc w:val="both"/>
        <w:ind w:firstLine="655"/>
        <w:spacing w:after="0" w:line="251" w:lineRule="auto"/>
        <w:tabs>
          <w:tab w:leader="none" w:pos="128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xml:space="preserve">. This Seventh Amendment may be executed in two or more counterparts, each of which is deemed an original and all of which together constitute one and the same instrument. All such counterparts shall be construed together and shall constitute one instrument, but in making proof hereof it shall only be necessary to produce one such counterpart. The signature pages of various counterparts may be combined onto one document. To facilitate execution of this Seventh Amendment, the parties may execute and exchange signature pages by facsimile or via electronic mail (*.pdf or similar file types). The parties further agree that counterparts of this Seventh Amendment may be signed electronically via Adobe Sign, DocuSign protocol or other electronic platform. All such signatures may be used in the place of original </w:t>
      </w:r>
      <w:r>
        <w:rPr>
          <w:rFonts w:ascii="Arial" w:cs="Arial" w:eastAsia="Arial" w:hAnsi="Arial"/>
          <w:sz w:val="20"/>
          <w:szCs w:val="20"/>
          <w:color w:val="auto"/>
        </w:rPr>
        <w:t>“</w:t>
      </w:r>
      <w:r>
        <w:rPr>
          <w:rFonts w:ascii="Times New Roman" w:cs="Times New Roman" w:eastAsia="Times New Roman" w:hAnsi="Times New Roman"/>
          <w:sz w:val="20"/>
          <w:szCs w:val="20"/>
          <w:color w:val="auto"/>
        </w:rPr>
        <w:t>wet ink</w:t>
      </w:r>
      <w:r>
        <w:rPr>
          <w:rFonts w:ascii="Arial" w:cs="Arial" w:eastAsia="Arial" w:hAnsi="Arial"/>
          <w:sz w:val="20"/>
          <w:szCs w:val="20"/>
          <w:color w:val="auto"/>
        </w:rPr>
        <w:t>”</w:t>
      </w:r>
      <w:r>
        <w:rPr>
          <w:rFonts w:ascii="Times New Roman" w:cs="Times New Roman" w:eastAsia="Times New Roman" w:hAnsi="Times New Roman"/>
          <w:sz w:val="20"/>
          <w:szCs w:val="20"/>
          <w:color w:val="auto"/>
        </w:rPr>
        <w:t xml:space="preserve"> signatures to this Seventh Amendment and shall have the same legal effect as the physical delivery of an original signature.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0920"/>
          </w:cols>
          <w:pgMar w:left="320" w:top="1440" w:right="659" w:bottom="1440" w:gutter="0" w:footer="0" w:header="0"/>
        </w:sectPr>
      </w:pPr>
    </w:p>
    <w:bookmarkStart w:id="62" w:name="page63"/>
    <w:bookmarkEnd w:id="62"/>
    <w:p>
      <w:pPr>
        <w:spacing w:after="0" w:line="200" w:lineRule="exact"/>
        <w:rPr>
          <w:sz w:val="20"/>
          <w:szCs w:val="20"/>
          <w:color w:val="auto"/>
        </w:rPr>
      </w:pPr>
    </w:p>
    <w:p>
      <w:pPr>
        <w:spacing w:after="0" w:line="3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WITNESS WHEREOF, Landlord and Tenant have caused this Seventh Amendment to be executed as of the Effective Date.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LANDLORD:</w:t>
            </w:r>
          </w:p>
        </w:tc>
        <w:tc>
          <w:tcPr>
            <w:tcW w:w="2940" w:type="dxa"/>
            <w:vAlign w:val="bottom"/>
            <w:gridSpan w:val="3"/>
          </w:tcPr>
          <w:p>
            <w:pPr>
              <w:ind w:left="1800"/>
              <w:spacing w:after="0"/>
              <w:rPr>
                <w:sz w:val="20"/>
                <w:szCs w:val="20"/>
                <w:color w:val="auto"/>
              </w:rPr>
            </w:pPr>
            <w:r>
              <w:rPr>
                <w:rFonts w:ascii="Times New Roman" w:cs="Times New Roman" w:eastAsia="Times New Roman" w:hAnsi="Times New Roman"/>
                <w:sz w:val="20"/>
                <w:szCs w:val="20"/>
                <w:b w:val="1"/>
                <w:bCs w:val="1"/>
                <w:color w:val="auto"/>
              </w:rPr>
              <w:t>TENANT:</w:t>
            </w:r>
          </w:p>
        </w:tc>
        <w:tc>
          <w:tcPr>
            <w:tcW w:w="3460" w:type="dxa"/>
            <w:vAlign w:val="bottom"/>
          </w:tcPr>
          <w:p>
            <w:pPr>
              <w:spacing w:after="0"/>
              <w:rPr>
                <w:sz w:val="19"/>
                <w:szCs w:val="19"/>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r>
      <w:tr>
        <w:trPr>
          <w:trHeight w:val="281"/>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ONNI VAN BUREN CHICAGO LLC,</w:t>
            </w:r>
          </w:p>
        </w:tc>
        <w:tc>
          <w:tcPr>
            <w:tcW w:w="6400" w:type="dxa"/>
            <w:vAlign w:val="bottom"/>
            <w:gridSpan w:val="4"/>
          </w:tcPr>
          <w:p>
            <w:pPr>
              <w:ind w:left="1800"/>
              <w:spacing w:after="0"/>
              <w:rPr>
                <w:sz w:val="20"/>
                <w:szCs w:val="20"/>
                <w:color w:val="auto"/>
              </w:rPr>
            </w:pPr>
            <w:r>
              <w:rPr>
                <w:rFonts w:ascii="Times New Roman" w:cs="Times New Roman" w:eastAsia="Times New Roman" w:hAnsi="Times New Roman"/>
                <w:sz w:val="20"/>
                <w:szCs w:val="20"/>
                <w:color w:val="auto"/>
              </w:rPr>
              <w:t>HURON CONSULTING SERVICES LLC,</w:t>
            </w:r>
          </w:p>
        </w:tc>
      </w:tr>
      <w:tr>
        <w:trPr>
          <w:trHeight w:val="258"/>
        </w:trPr>
        <w:tc>
          <w:tcPr>
            <w:tcW w:w="45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 Delaware limited liability company</w:t>
            </w:r>
          </w:p>
        </w:tc>
        <w:tc>
          <w:tcPr>
            <w:tcW w:w="6400" w:type="dxa"/>
            <w:vAlign w:val="bottom"/>
            <w:gridSpan w:val="4"/>
          </w:tcPr>
          <w:p>
            <w:pPr>
              <w:ind w:left="1800"/>
              <w:spacing w:after="0"/>
              <w:rPr>
                <w:sz w:val="20"/>
                <w:szCs w:val="20"/>
                <w:color w:val="auto"/>
              </w:rPr>
            </w:pPr>
            <w:r>
              <w:rPr>
                <w:rFonts w:ascii="Times New Roman" w:cs="Times New Roman" w:eastAsia="Times New Roman" w:hAnsi="Times New Roman"/>
                <w:sz w:val="20"/>
                <w:szCs w:val="20"/>
                <w:color w:val="auto"/>
              </w:rPr>
              <w:t>a Delaware limited liability company</w:t>
            </w:r>
          </w:p>
        </w:tc>
      </w:tr>
      <w:tr>
        <w:trPr>
          <w:trHeight w:val="676"/>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/s/ Giulio De Cotiis</w:t>
            </w:r>
          </w:p>
        </w:tc>
        <w:tc>
          <w:tcPr>
            <w:tcW w:w="2940" w:type="dxa"/>
            <w:vAlign w:val="bottom"/>
            <w:gridSpan w:val="3"/>
          </w:tcPr>
          <w:p>
            <w:pPr>
              <w:ind w:left="1800"/>
              <w:spacing w:after="0"/>
              <w:rPr>
                <w:sz w:val="20"/>
                <w:szCs w:val="20"/>
                <w:color w:val="auto"/>
              </w:rPr>
            </w:pPr>
            <w:r>
              <w:rPr>
                <w:rFonts w:ascii="Times New Roman" w:cs="Times New Roman" w:eastAsia="Times New Roman" w:hAnsi="Times New Roman"/>
                <w:sz w:val="20"/>
                <w:szCs w:val="20"/>
                <w:color w:val="auto"/>
              </w:rPr>
              <w:t>By:</w:t>
            </w: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John Kelly</w:t>
            </w:r>
          </w:p>
        </w:tc>
      </w:tr>
      <w:tr>
        <w:trPr>
          <w:trHeight w:val="247"/>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Giulio De Cotiis</w:t>
            </w:r>
          </w:p>
        </w:tc>
        <w:tc>
          <w:tcPr>
            <w:tcW w:w="2940" w:type="dxa"/>
            <w:vAlign w:val="bottom"/>
            <w:gridSpan w:val="3"/>
          </w:tcPr>
          <w:p>
            <w:pPr>
              <w:ind w:left="1800"/>
              <w:spacing w:after="0"/>
              <w:rPr>
                <w:sz w:val="20"/>
                <w:szCs w:val="20"/>
                <w:color w:val="auto"/>
              </w:rPr>
            </w:pPr>
            <w:r>
              <w:rPr>
                <w:rFonts w:ascii="Times New Roman" w:cs="Times New Roman" w:eastAsia="Times New Roman" w:hAnsi="Times New Roman"/>
                <w:sz w:val="20"/>
                <w:szCs w:val="20"/>
                <w:color w:val="auto"/>
              </w:rPr>
              <w:t>Name:</w:t>
            </w:r>
          </w:p>
        </w:tc>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John Kelly</w:t>
            </w:r>
          </w:p>
        </w:tc>
      </w:tr>
      <w:tr>
        <w:trPr>
          <w:trHeight w:val="258"/>
        </w:trPr>
        <w:tc>
          <w:tcPr>
            <w:tcW w:w="11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4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2940" w:type="dxa"/>
            <w:vAlign w:val="bottom"/>
            <w:gridSpan w:val="3"/>
          </w:tcPr>
          <w:p>
            <w:pPr>
              <w:ind w:left="1800"/>
              <w:spacing w:after="0"/>
              <w:rPr>
                <w:sz w:val="20"/>
                <w:szCs w:val="20"/>
                <w:color w:val="auto"/>
              </w:rPr>
            </w:pPr>
            <w:r>
              <w:rPr>
                <w:rFonts w:ascii="Times New Roman" w:cs="Times New Roman" w:eastAsia="Times New Roman" w:hAnsi="Times New Roman"/>
                <w:sz w:val="20"/>
                <w:szCs w:val="20"/>
                <w:color w:val="auto"/>
              </w:rPr>
              <w:t>Title:</w:t>
            </w:r>
          </w:p>
        </w:tc>
        <w:tc>
          <w:tcPr>
            <w:tcW w:w="34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CFO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0960"/>
          </w:cols>
          <w:pgMar w:left="440" w:top="1440" w:right="49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550 WEST VAN BUREN STREET CHICAGO, ILLINOIS 60607</w:t>
      </w:r>
    </w:p>
    <w:p>
      <w:pPr>
        <w:sectPr>
          <w:pgSz w:w="11900" w:h="16838" w:orient="portrait"/>
          <w:cols w:equalWidth="0" w:num="1">
            <w:col w:w="9019"/>
          </w:cols>
          <w:pgMar w:left="1440" w:top="1395"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OUTLINE OF SURRENDERED PREMISES</w:t>
      </w:r>
    </w:p>
    <w:p>
      <w:pPr>
        <w:sectPr>
          <w:pgSz w:w="11900" w:h="16838" w:orient="portrait"/>
          <w:cols w:equalWidth="0" w:num="1">
            <w:col w:w="9019"/>
          </w:cols>
          <w:pgMar w:left="1440" w:top="1395" w:right="1440" w:bottom="1440" w:gutter="0" w:footer="0" w:header="0"/>
          <w:type w:val="continuous"/>
        </w:sectPr>
      </w:pPr>
    </w:p>
    <w:bookmarkStart w:id="64" w:name="page65"/>
    <w:bookmarkEnd w:id="64"/>
    <w:p>
      <w:pPr>
        <w:ind w:left="2880"/>
        <w:spacing w:after="0"/>
        <w:rPr>
          <w:sz w:val="20"/>
          <w:szCs w:val="20"/>
          <w:color w:val="auto"/>
        </w:rPr>
      </w:pPr>
      <w:r>
        <w:rPr>
          <w:rFonts w:ascii="Times New Roman" w:cs="Times New Roman" w:eastAsia="Times New Roman" w:hAnsi="Times New Roman"/>
          <w:sz w:val="20"/>
          <w:szCs w:val="20"/>
          <w:b w:val="1"/>
          <w:bCs w:val="1"/>
          <w:color w:val="auto"/>
        </w:rPr>
        <w:t>550 WEST VAN BUREN STREET CHICAGO, ILLINOIS 60607</w:t>
      </w:r>
    </w:p>
    <w:p>
      <w:pPr>
        <w:spacing w:after="0" w:line="2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EXHIBIT B TENANT WORK LETTER</w:t>
      </w:r>
    </w:p>
    <w:p>
      <w:pPr>
        <w:spacing w:after="0" w:line="200" w:lineRule="exact"/>
        <w:rPr>
          <w:sz w:val="20"/>
          <w:szCs w:val="20"/>
          <w:color w:val="auto"/>
        </w:rPr>
      </w:pPr>
    </w:p>
    <w:p>
      <w:pPr>
        <w:spacing w:after="0" w:line="286" w:lineRule="exact"/>
        <w:rPr>
          <w:sz w:val="20"/>
          <w:szCs w:val="20"/>
          <w:color w:val="auto"/>
        </w:rPr>
      </w:pPr>
    </w:p>
    <w:p>
      <w:pPr>
        <w:jc w:val="both"/>
        <w:ind w:firstLine="647"/>
        <w:spacing w:after="0" w:line="270" w:lineRule="auto"/>
        <w:rPr>
          <w:sz w:val="20"/>
          <w:szCs w:val="20"/>
          <w:color w:val="auto"/>
        </w:rPr>
      </w:pPr>
      <w:r>
        <w:rPr>
          <w:rFonts w:ascii="Times New Roman" w:cs="Times New Roman" w:eastAsia="Times New Roman" w:hAnsi="Times New Roman"/>
          <w:sz w:val="20"/>
          <w:szCs w:val="20"/>
          <w:color w:val="auto"/>
        </w:rPr>
        <w:t>This Work Letter (this “</w:t>
      </w:r>
      <w:r>
        <w:rPr>
          <w:rFonts w:ascii="Times New Roman" w:cs="Times New Roman" w:eastAsia="Times New Roman" w:hAnsi="Times New Roman"/>
          <w:sz w:val="20"/>
          <w:szCs w:val="20"/>
          <w:b w:val="1"/>
          <w:bCs w:val="1"/>
          <w:color w:val="auto"/>
        </w:rPr>
        <w:t>Work Letter</w:t>
      </w:r>
      <w:r>
        <w:rPr>
          <w:rFonts w:ascii="Times New Roman" w:cs="Times New Roman" w:eastAsia="Times New Roman" w:hAnsi="Times New Roman"/>
          <w:sz w:val="20"/>
          <w:szCs w:val="20"/>
          <w:color w:val="auto"/>
        </w:rPr>
        <w:t>”) sets forth the agreement between Landlord and Tenant with respect to Tenant’s construction of the Tenant Work within the Adjusted Premises. Capitalized terms not defined herein shall have the same meanings ascribed to such terms in the Lease.</w:t>
      </w:r>
    </w:p>
    <w:p>
      <w:pPr>
        <w:spacing w:after="0" w:line="169"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b w:val="1"/>
          <w:bCs w:val="1"/>
          <w:color w:val="auto"/>
        </w:rPr>
      </w:pPr>
    </w:p>
    <w:p>
      <w:pPr>
        <w:jc w:val="both"/>
        <w:ind w:left="1300" w:hanging="644"/>
        <w:spacing w:after="0" w:line="254" w:lineRule="auto"/>
        <w:tabs>
          <w:tab w:leader="none" w:pos="1289"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Tenant Work</w:t>
      </w:r>
      <w:r>
        <w:rPr>
          <w:rFonts w:ascii="Times New Roman" w:cs="Times New Roman" w:eastAsia="Times New Roman" w:hAnsi="Times New Roman"/>
          <w:sz w:val="20"/>
          <w:szCs w:val="20"/>
          <w:color w:val="auto"/>
        </w:rPr>
        <w:t>” shall mean all of the improvements, fixtures and equipment with respect to the Adjusted Premises shown or called for by the Tenant Work Plans prepared by Tenant from time to time and approved by Landlord from time to time. The Tenant Work may be for all or any portion of the Adjusted Premises from time to time, as determined by Tenant in it sole and absolute judgment, and need not be for all of the Adjusted Premises at one time or otherwise. For clarity, Tenant may perform the Tenant Work with respect to a portion of the Adjusted Premises (and not necessarily all of the Adjusted Premises) at any time and from time to time commencing on the Effective Date.</w:t>
      </w:r>
    </w:p>
    <w:p>
      <w:pPr>
        <w:spacing w:after="0" w:line="200" w:lineRule="exact"/>
        <w:rPr>
          <w:rFonts w:ascii="Times New Roman" w:cs="Times New Roman" w:eastAsia="Times New Roman" w:hAnsi="Times New Roman"/>
          <w:sz w:val="20"/>
          <w:szCs w:val="20"/>
          <w:color w:val="auto"/>
        </w:rPr>
      </w:pPr>
    </w:p>
    <w:p>
      <w:pPr>
        <w:jc w:val="both"/>
        <w:ind w:left="1300" w:hanging="644"/>
        <w:spacing w:after="0" w:line="263" w:lineRule="auto"/>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Tenant’s Design Professionals</w:t>
      </w:r>
      <w:r>
        <w:rPr>
          <w:rFonts w:ascii="Times New Roman" w:cs="Times New Roman" w:eastAsia="Times New Roman" w:hAnsi="Times New Roman"/>
          <w:sz w:val="20"/>
          <w:szCs w:val="20"/>
          <w:color w:val="auto"/>
        </w:rPr>
        <w:t>” shall mean such Illinois licensed architect as Tenant shall engage to prepare the Tenant Work Plans (“</w:t>
      </w:r>
      <w:r>
        <w:rPr>
          <w:rFonts w:ascii="Times New Roman" w:cs="Times New Roman" w:eastAsia="Times New Roman" w:hAnsi="Times New Roman"/>
          <w:sz w:val="20"/>
          <w:szCs w:val="20"/>
          <w:b w:val="1"/>
          <w:bCs w:val="1"/>
          <w:color w:val="auto"/>
        </w:rPr>
        <w:t>Tenant’s Architect</w:t>
      </w:r>
      <w:r>
        <w:rPr>
          <w:rFonts w:ascii="Times New Roman" w:cs="Times New Roman" w:eastAsia="Times New Roman" w:hAnsi="Times New Roman"/>
          <w:sz w:val="20"/>
          <w:szCs w:val="20"/>
          <w:color w:val="auto"/>
        </w:rPr>
        <w:t>”) and such other architects and engineers as shall be directly or indirectly engaged by Tenant in connection with the Tenant Work.</w:t>
      </w:r>
    </w:p>
    <w:p>
      <w:pPr>
        <w:spacing w:after="0" w:line="175"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Tenant Work</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Preparation and Approval of Tenant Work Plans</w:t>
      </w:r>
    </w:p>
    <w:p>
      <w:pPr>
        <w:spacing w:after="0" w:line="242" w:lineRule="exact"/>
        <w:rPr>
          <w:rFonts w:ascii="Times New Roman" w:cs="Times New Roman" w:eastAsia="Times New Roman" w:hAnsi="Times New Roman"/>
          <w:sz w:val="20"/>
          <w:szCs w:val="20"/>
          <w:color w:val="auto"/>
        </w:rPr>
      </w:pPr>
    </w:p>
    <w:p>
      <w:pPr>
        <w:jc w:val="both"/>
        <w:ind w:left="1960" w:hanging="656"/>
        <w:spacing w:after="0" w:line="250" w:lineRule="auto"/>
        <w:tabs>
          <w:tab w:leader="none" w:pos="1959"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prepare complete architectural drawings and specifications and complete engineered mechanical, structural and electrical working drawings for improvements to the Adjusted Premises showing the subdivision, layout, finish and decoration work desired by Tenant, and any internal or external communications or special utility facilities or other improvements within common areas of the Building (collectively “</w:t>
      </w:r>
      <w:r>
        <w:rPr>
          <w:rFonts w:ascii="Times New Roman" w:cs="Times New Roman" w:eastAsia="Times New Roman" w:hAnsi="Times New Roman"/>
          <w:sz w:val="20"/>
          <w:szCs w:val="20"/>
          <w:b w:val="1"/>
          <w:bCs w:val="1"/>
          <w:color w:val="auto"/>
        </w:rPr>
        <w:t>Tenant Work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Plans</w:t>
      </w:r>
      <w:r>
        <w:rPr>
          <w:rFonts w:ascii="Times New Roman" w:cs="Times New Roman" w:eastAsia="Times New Roman" w:hAnsi="Times New Roman"/>
          <w:sz w:val="20"/>
          <w:szCs w:val="20"/>
          <w:color w:val="auto"/>
        </w:rPr>
        <w:t>”). The Tenant Work Plans shall: (1) include preliminary locations and dimensions; (2) contain sufficient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content and detail for use to obtain any required building permits and preparation of “shop drawings” (if applicable); and (3) show all items of such work in reasonable detail (collectively, the “</w:t>
      </w:r>
      <w:r>
        <w:rPr>
          <w:rFonts w:ascii="Times New Roman" w:cs="Times New Roman" w:eastAsia="Times New Roman" w:hAnsi="Times New Roman"/>
          <w:sz w:val="20"/>
          <w:szCs w:val="20"/>
          <w:b w:val="1"/>
          <w:bCs w:val="1"/>
          <w:color w:val="auto"/>
        </w:rPr>
        <w:t>Tenant Building Plan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Requirements</w:t>
      </w:r>
      <w:r>
        <w:rPr>
          <w:rFonts w:ascii="Times New Roman" w:cs="Times New Roman" w:eastAsia="Times New Roman" w:hAnsi="Times New Roman"/>
          <w:sz w:val="20"/>
          <w:szCs w:val="20"/>
          <w:color w:val="auto"/>
        </w:rPr>
        <w:t>”). The Tenant Work Plans shall be prepared by Tenant’s Design Professionals. Tenant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submit to Landlord the Tenant Work Plans accompanied by a list of each sheet of the Tenant Work Plans being submitted (including date and last revision date).</w:t>
      </w:r>
    </w:p>
    <w:p>
      <w:pPr>
        <w:spacing w:after="0" w:line="196" w:lineRule="exact"/>
        <w:rPr>
          <w:rFonts w:ascii="Times New Roman" w:cs="Times New Roman" w:eastAsia="Times New Roman" w:hAnsi="Times New Roman"/>
          <w:sz w:val="20"/>
          <w:szCs w:val="20"/>
          <w:color w:val="auto"/>
        </w:rPr>
      </w:pPr>
    </w:p>
    <w:p>
      <w:pPr>
        <w:jc w:val="both"/>
        <w:ind w:left="1960" w:hanging="656"/>
        <w:spacing w:after="0" w:line="288" w:lineRule="auto"/>
        <w:tabs>
          <w:tab w:leader="none" w:pos="1959" w:val="left"/>
        </w:tabs>
        <w:numPr>
          <w:ilvl w:val="2"/>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Landlord shall have ten (10) Business Days from its receipt of the Tenant Work Plans to approve or disapprove the Tenant Work Plans so submitted to Landlord, and to notify Tenant of its approval or reasons for withholding approval. Landlord, if it shall disapprove any Tenant Work Plans, shall deliver to Tenant, concurrently</w:t>
      </w:r>
    </w:p>
    <w:p>
      <w:pPr>
        <w:sectPr>
          <w:pgSz w:w="11900" w:h="16838" w:orient="portrait"/>
          <w:cols w:equalWidth="0" w:num="1">
            <w:col w:w="10920"/>
          </w:cols>
          <w:pgMar w:left="320" w:top="1395" w:right="659" w:bottom="1440" w:gutter="0" w:footer="0" w:header="0"/>
        </w:sectPr>
      </w:pPr>
    </w:p>
    <w:bookmarkStart w:id="65" w:name="page66"/>
    <w:bookmarkEnd w:id="65"/>
    <w:p>
      <w:pPr>
        <w:spacing w:after="0" w:line="108" w:lineRule="exact"/>
        <w:rPr>
          <w:sz w:val="20"/>
          <w:szCs w:val="20"/>
          <w:color w:val="auto"/>
        </w:rPr>
      </w:pPr>
    </w:p>
    <w:p>
      <w:pPr>
        <w:jc w:val="both"/>
        <w:ind w:left="1304"/>
        <w:spacing w:after="0" w:line="261" w:lineRule="auto"/>
        <w:rPr>
          <w:sz w:val="20"/>
          <w:szCs w:val="20"/>
          <w:color w:val="auto"/>
        </w:rPr>
      </w:pPr>
      <w:r>
        <w:rPr>
          <w:rFonts w:ascii="Times New Roman" w:cs="Times New Roman" w:eastAsia="Times New Roman" w:hAnsi="Times New Roman"/>
          <w:sz w:val="20"/>
          <w:szCs w:val="20"/>
          <w:color w:val="auto"/>
        </w:rPr>
        <w:t>with such notice of disapproval, a reasonably specific statement of its reasons for disapproval and of any specific revisions which Landlord proposes to remedy the matter (it being understood that Landlord shall not be required to propose any such specific revisions).</w:t>
      </w:r>
    </w:p>
    <w:p>
      <w:pPr>
        <w:spacing w:after="0" w:line="181" w:lineRule="exact"/>
        <w:rPr>
          <w:sz w:val="20"/>
          <w:szCs w:val="20"/>
          <w:color w:val="auto"/>
        </w:rPr>
      </w:pPr>
    </w:p>
    <w:p>
      <w:pPr>
        <w:jc w:val="both"/>
        <w:ind w:left="1304" w:hanging="656"/>
        <w:spacing w:after="0" w:line="268" w:lineRule="auto"/>
        <w:tabs>
          <w:tab w:leader="none" w:pos="13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that the Tenant Work Plans so submitted to Landlord conform to the Tenant Building Plan Requirements, Landlord will not unreasonably withhold, condition or delay its approval of the Tenant Work Plans.</w:t>
      </w:r>
    </w:p>
    <w:p>
      <w:pPr>
        <w:spacing w:after="0" w:line="174" w:lineRule="exact"/>
        <w:rPr>
          <w:rFonts w:ascii="Times New Roman" w:cs="Times New Roman" w:eastAsia="Times New Roman" w:hAnsi="Times New Roman"/>
          <w:sz w:val="20"/>
          <w:szCs w:val="20"/>
          <w:color w:val="auto"/>
        </w:rPr>
      </w:pPr>
    </w:p>
    <w:p>
      <w:pPr>
        <w:jc w:val="both"/>
        <w:ind w:left="1304" w:hanging="656"/>
        <w:spacing w:after="0" w:line="261" w:lineRule="auto"/>
        <w:tabs>
          <w:tab w:leader="none" w:pos="13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Landlord disapproves of the Tenant Work Plans and requests any specific revisions to the Tenant Work Plans, Tenant shall make such changes and, within ten (10) Business Days after its receipt of Landlord’s requested revisions, shall submit the revised Tenant Work Plans to Landlord.</w:t>
      </w:r>
    </w:p>
    <w:p>
      <w:pPr>
        <w:spacing w:after="0" w:line="181" w:lineRule="exact"/>
        <w:rPr>
          <w:rFonts w:ascii="Times New Roman" w:cs="Times New Roman" w:eastAsia="Times New Roman" w:hAnsi="Times New Roman"/>
          <w:sz w:val="20"/>
          <w:szCs w:val="20"/>
          <w:color w:val="auto"/>
        </w:rPr>
      </w:pPr>
    </w:p>
    <w:p>
      <w:pPr>
        <w:ind w:left="1304" w:hanging="656"/>
        <w:spacing w:after="0" w:line="283" w:lineRule="auto"/>
        <w:tabs>
          <w:tab w:leader="none" w:pos="13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procedure provided for in this Section 2.a.2 shall be repeated for each revised and resubmitted version of the Tenant Work Plans until Landlord shall have approved the Tenant Work Plans.</w:t>
      </w:r>
    </w:p>
    <w:p>
      <w:pPr>
        <w:spacing w:after="0" w:line="159" w:lineRule="exact"/>
        <w:rPr>
          <w:rFonts w:ascii="Times New Roman" w:cs="Times New Roman" w:eastAsia="Times New Roman" w:hAnsi="Times New Roman"/>
          <w:sz w:val="20"/>
          <w:szCs w:val="20"/>
          <w:color w:val="auto"/>
        </w:rPr>
      </w:pPr>
    </w:p>
    <w:p>
      <w:pPr>
        <w:ind w:left="1304" w:hanging="656"/>
        <w:spacing w:after="0" w:line="283" w:lineRule="auto"/>
        <w:tabs>
          <w:tab w:leader="none" w:pos="1303"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Tenant Work Plans submitted by or on behalf of Tenant shall be submitted on both on paper (half size format) and on a thumb or flash drive.</w:t>
      </w:r>
    </w:p>
    <w:p>
      <w:pPr>
        <w:spacing w:after="0" w:line="159" w:lineRule="exact"/>
        <w:rPr>
          <w:rFonts w:ascii="Times New Roman" w:cs="Times New Roman" w:eastAsia="Times New Roman" w:hAnsi="Times New Roman"/>
          <w:sz w:val="20"/>
          <w:szCs w:val="20"/>
          <w:color w:val="auto"/>
        </w:rPr>
      </w:pPr>
    </w:p>
    <w:p>
      <w:pPr>
        <w:jc w:val="both"/>
        <w:ind w:left="644" w:hanging="644"/>
        <w:spacing w:after="0" w:line="257" w:lineRule="auto"/>
        <w:tabs>
          <w:tab w:leader="none" w:pos="6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 Work</w:t>
      </w:r>
      <w:r>
        <w:rPr>
          <w:rFonts w:ascii="Times New Roman" w:cs="Times New Roman" w:eastAsia="Times New Roman" w:hAnsi="Times New Roman"/>
          <w:sz w:val="20"/>
          <w:szCs w:val="20"/>
          <w:color w:val="auto"/>
        </w:rPr>
        <w:t>. Tenant shall perform the Tenant Work at its sole cost and expense (subject to the provisions of Section 3 below) in accordance with Tenant Work Plans approved by Landlord and the requirements of this Work Letter. Tenant shall not install any portion of the Tenant Work until Landlord shall have approved the Tenant Work Plans for such portion thereof. Tenant shall prosecute such Tenant Work with commercially reasonable diligence, subject to force majeure (as such term is defined in Article 10 of the Original Lease).</w:t>
      </w:r>
    </w:p>
    <w:p>
      <w:pPr>
        <w:spacing w:after="0" w:line="186" w:lineRule="exact"/>
        <w:rPr>
          <w:rFonts w:ascii="Times New Roman" w:cs="Times New Roman" w:eastAsia="Times New Roman" w:hAnsi="Times New Roman"/>
          <w:sz w:val="20"/>
          <w:szCs w:val="20"/>
          <w:color w:val="auto"/>
        </w:rPr>
      </w:pPr>
    </w:p>
    <w:p>
      <w:pPr>
        <w:jc w:val="both"/>
        <w:ind w:left="644" w:hanging="644"/>
        <w:spacing w:after="0" w:line="261" w:lineRule="auto"/>
        <w:tabs>
          <w:tab w:leader="none" w:pos="633"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 Contractors</w:t>
      </w:r>
      <w:r>
        <w:rPr>
          <w:rFonts w:ascii="Times New Roman" w:cs="Times New Roman" w:eastAsia="Times New Roman" w:hAnsi="Times New Roman"/>
          <w:sz w:val="20"/>
          <w:szCs w:val="20"/>
          <w:color w:val="auto"/>
        </w:rPr>
        <w:t>. All Tenant Work shall be performed by Tenant Contractors approved in accordance with Section 7 below (“</w:t>
      </w:r>
      <w:r>
        <w:rPr>
          <w:rFonts w:ascii="Times New Roman" w:cs="Times New Roman" w:eastAsia="Times New Roman" w:hAnsi="Times New Roman"/>
          <w:sz w:val="20"/>
          <w:szCs w:val="20"/>
          <w:b w:val="1"/>
          <w:bCs w:val="1"/>
          <w:color w:val="auto"/>
        </w:rPr>
        <w:t>Tenant Contractors</w:t>
      </w:r>
      <w:r>
        <w:rPr>
          <w:rFonts w:ascii="Times New Roman" w:cs="Times New Roman" w:eastAsia="Times New Roman" w:hAnsi="Times New Roman"/>
          <w:sz w:val="20"/>
          <w:szCs w:val="20"/>
          <w:color w:val="auto"/>
        </w:rPr>
        <w:t>”). No such Tenant Contractor shall commence the performance of Tenant Work until such Tenant Contractor shall have been so approved by Landlord.</w:t>
      </w:r>
    </w:p>
    <w:p>
      <w:pPr>
        <w:spacing w:after="0" w:line="181" w:lineRule="exact"/>
        <w:rPr>
          <w:rFonts w:ascii="Times New Roman" w:cs="Times New Roman" w:eastAsia="Times New Roman" w:hAnsi="Times New Roman"/>
          <w:sz w:val="20"/>
          <w:szCs w:val="20"/>
          <w:color w:val="auto"/>
        </w:rPr>
      </w:pPr>
    </w:p>
    <w:p>
      <w:pPr>
        <w:jc w:val="both"/>
        <w:ind w:left="644" w:hanging="644"/>
        <w:spacing w:after="0" w:line="268" w:lineRule="auto"/>
        <w:tabs>
          <w:tab w:leader="none" w:pos="6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Insurance Requirements</w:t>
      </w:r>
      <w:r>
        <w:rPr>
          <w:rFonts w:ascii="Times New Roman" w:cs="Times New Roman" w:eastAsia="Times New Roman" w:hAnsi="Times New Roman"/>
          <w:sz w:val="20"/>
          <w:szCs w:val="20"/>
          <w:color w:val="auto"/>
        </w:rPr>
        <w:t>. No Tenant Contractor shall commence performance of Tenant Work unless Tenant and such Tenant Contractor shall have submitted to Landlord certificates of insurance demonstrating compliance with the requirement of Section 8 of this Work Letter.</w:t>
      </w:r>
    </w:p>
    <w:p>
      <w:pPr>
        <w:spacing w:after="0" w:line="174" w:lineRule="exact"/>
        <w:rPr>
          <w:rFonts w:ascii="Times New Roman" w:cs="Times New Roman" w:eastAsia="Times New Roman" w:hAnsi="Times New Roman"/>
          <w:sz w:val="20"/>
          <w:szCs w:val="20"/>
          <w:color w:val="auto"/>
        </w:rPr>
      </w:pPr>
    </w:p>
    <w:p>
      <w:pPr>
        <w:jc w:val="both"/>
        <w:ind w:left="644" w:hanging="644"/>
        <w:spacing w:after="0" w:line="281" w:lineRule="auto"/>
        <w:tabs>
          <w:tab w:leader="none" w:pos="633"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Governmental Approvals</w:t>
      </w:r>
      <w:r>
        <w:rPr>
          <w:rFonts w:ascii="Times New Roman" w:cs="Times New Roman" w:eastAsia="Times New Roman" w:hAnsi="Times New Roman"/>
          <w:sz w:val="19"/>
          <w:szCs w:val="19"/>
          <w:color w:val="auto"/>
        </w:rPr>
        <w:t>. Tenant shall not perform any portion of the Tenant Work for which any Governmental Approval (as such term is defined in Section 5.c below) is required to be obtained prior to the performance thereof unless Tenant shall have obtained (and, at Landlord’s request, furnished Landlord with a copy of) such Governmental Approval.</w:t>
      </w:r>
    </w:p>
    <w:p>
      <w:pPr>
        <w:spacing w:after="0" w:line="164" w:lineRule="exact"/>
        <w:rPr>
          <w:rFonts w:ascii="Times New Roman" w:cs="Times New Roman" w:eastAsia="Times New Roman" w:hAnsi="Times New Roman"/>
          <w:sz w:val="19"/>
          <w:szCs w:val="19"/>
          <w:color w:val="auto"/>
        </w:rPr>
      </w:pPr>
    </w:p>
    <w:p>
      <w:pPr>
        <w:ind w:left="644" w:hanging="644"/>
        <w:spacing w:after="0"/>
        <w:tabs>
          <w:tab w:leader="none" w:pos="64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Tenant Work Changes</w:t>
      </w:r>
      <w:r>
        <w:rPr>
          <w:rFonts w:ascii="Times New Roman" w:cs="Times New Roman" w:eastAsia="Times New Roman" w:hAnsi="Times New Roman"/>
          <w:sz w:val="20"/>
          <w:szCs w:val="20"/>
          <w:color w:val="auto"/>
        </w:rPr>
        <w:t>.</w:t>
      </w:r>
    </w:p>
    <w:p>
      <w:pPr>
        <w:spacing w:after="0" w:line="238" w:lineRule="exact"/>
        <w:rPr>
          <w:rFonts w:ascii="Times New Roman" w:cs="Times New Roman" w:eastAsia="Times New Roman" w:hAnsi="Times New Roman"/>
          <w:sz w:val="20"/>
          <w:szCs w:val="20"/>
          <w:color w:val="auto"/>
        </w:rPr>
      </w:pPr>
    </w:p>
    <w:p>
      <w:pPr>
        <w:jc w:val="both"/>
        <w:ind w:left="644" w:right="20" w:firstLine="4"/>
        <w:spacing w:after="0" w:line="263" w:lineRule="auto"/>
        <w:tabs>
          <w:tab w:leader="none" w:pos="1292"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w:t>
      </w:r>
      <w:r>
        <w:rPr>
          <w:rFonts w:ascii="Times New Roman" w:cs="Times New Roman" w:eastAsia="Times New Roman" w:hAnsi="Times New Roman"/>
          <w:sz w:val="20"/>
          <w:szCs w:val="20"/>
          <w:b w:val="1"/>
          <w:bCs w:val="1"/>
          <w:color w:val="auto"/>
        </w:rPr>
        <w:t>Tenant Work Changes</w:t>
      </w:r>
      <w:r>
        <w:rPr>
          <w:rFonts w:ascii="Times New Roman" w:cs="Times New Roman" w:eastAsia="Times New Roman" w:hAnsi="Times New Roman"/>
          <w:sz w:val="20"/>
          <w:szCs w:val="20"/>
          <w:color w:val="auto"/>
        </w:rPr>
        <w:t>” shall mean any change in the Tenant Work Plans for any portion of the Tenant Work (or in any portion of the Tenant Work) after Landlord shall have approved the Tenant Work Plans for such portion of the Tenant Work.</w:t>
      </w:r>
    </w:p>
    <w:p>
      <w:pPr>
        <w:sectPr>
          <w:pgSz w:w="11900" w:h="16838" w:orient="portrait"/>
          <w:cols w:equalWidth="0" w:num="1">
            <w:col w:w="10264"/>
          </w:cols>
          <w:pgMar w:left="976" w:top="1440" w:right="659" w:bottom="1440" w:gutter="0" w:footer="0" w:header="0"/>
        </w:sectPr>
      </w:pPr>
    </w:p>
    <w:bookmarkStart w:id="66" w:name="page67"/>
    <w:bookmarkEnd w:id="66"/>
    <w:p>
      <w:pPr>
        <w:spacing w:after="0" w:line="108" w:lineRule="exact"/>
        <w:rPr>
          <w:sz w:val="20"/>
          <w:szCs w:val="20"/>
          <w:color w:val="auto"/>
        </w:rPr>
      </w:pPr>
    </w:p>
    <w:p>
      <w:pPr>
        <w:ind w:left="644"/>
        <w:spacing w:after="0" w:line="283" w:lineRule="auto"/>
        <w:rPr>
          <w:sz w:val="20"/>
          <w:szCs w:val="20"/>
          <w:color w:val="auto"/>
        </w:rPr>
      </w:pPr>
      <w:r>
        <w:rPr>
          <w:rFonts w:ascii="Times New Roman" w:cs="Times New Roman" w:eastAsia="Times New Roman" w:hAnsi="Times New Roman"/>
          <w:sz w:val="20"/>
          <w:szCs w:val="20"/>
          <w:color w:val="auto"/>
        </w:rPr>
        <w:t>2. All Tenant Work Changes and any other Tenant Work Changes for which Tenant requests Landlord’s approval shall be subject to Landlord’s approval in accordance with Section 2.a of this Work Letter.</w:t>
      </w:r>
    </w:p>
    <w:p>
      <w:pPr>
        <w:spacing w:after="0" w:line="159" w:lineRule="exact"/>
        <w:rPr>
          <w:sz w:val="20"/>
          <w:szCs w:val="20"/>
          <w:color w:val="auto"/>
        </w:rPr>
      </w:pPr>
    </w:p>
    <w:p>
      <w:pPr>
        <w:ind w:left="644" w:hanging="644"/>
        <w:spacing w:after="0" w:line="295" w:lineRule="auto"/>
        <w:tabs>
          <w:tab w:leader="none" w:pos="64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Improper Work</w:t>
      </w:r>
      <w:r>
        <w:rPr>
          <w:rFonts w:ascii="Times New Roman" w:cs="Times New Roman" w:eastAsia="Times New Roman" w:hAnsi="Times New Roman"/>
          <w:sz w:val="19"/>
          <w:szCs w:val="19"/>
          <w:color w:val="auto"/>
        </w:rPr>
        <w:t>. If Tenant shall perform any work not reflected on Tenant Work Plans approved by Landlord or a Tenant Work Change not approved by Landlord, then Tenant, upon Landlord’s demand, shall remove or correct the same.</w:t>
      </w:r>
    </w:p>
    <w:p>
      <w:pPr>
        <w:spacing w:after="0" w:line="164" w:lineRule="exact"/>
        <w:rPr>
          <w:rFonts w:ascii="Times New Roman" w:cs="Times New Roman" w:eastAsia="Times New Roman" w:hAnsi="Times New Roman"/>
          <w:sz w:val="19"/>
          <w:szCs w:val="19"/>
          <w:color w:val="auto"/>
        </w:rPr>
      </w:pPr>
    </w:p>
    <w:p>
      <w:pPr>
        <w:jc w:val="both"/>
        <w:ind w:left="644" w:hanging="644"/>
        <w:spacing w:after="0" w:line="251" w:lineRule="auto"/>
        <w:tabs>
          <w:tab w:leader="none" w:pos="6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Landlord’s Approval</w:t>
      </w:r>
      <w:r>
        <w:rPr>
          <w:rFonts w:ascii="Times New Roman" w:cs="Times New Roman" w:eastAsia="Times New Roman" w:hAnsi="Times New Roman"/>
          <w:sz w:val="20"/>
          <w:szCs w:val="20"/>
          <w:color w:val="auto"/>
        </w:rPr>
        <w:t>. Landlord shall have no liability to Tenant or to any third party by virtue of the existence or exercise of its consent or approval rights in this Section 2. Additionally, neither review nor approval by Landlord of any of the Tenant Work Plans shall constitute a representation or warranty by Landlord that such items either (i) are complete or suitable for their intended purpose, (ii) comply with applicable Laws and any insurance requirements, or (iii) conform to the requirements of this Work Letter, it being expressly agreed by Tenant that Landlord assumes no responsibility or liability whatsoever to Tenant or to any other person or entity for such completeness, suitability, compliance or conformance.</w:t>
      </w:r>
    </w:p>
    <w:p>
      <w:pPr>
        <w:spacing w:after="0" w:line="206" w:lineRule="exact"/>
        <w:rPr>
          <w:rFonts w:ascii="Times New Roman" w:cs="Times New Roman" w:eastAsia="Times New Roman" w:hAnsi="Times New Roman"/>
          <w:sz w:val="20"/>
          <w:szCs w:val="20"/>
          <w:color w:val="auto"/>
        </w:rPr>
      </w:pPr>
    </w:p>
    <w:p>
      <w:pPr>
        <w:jc w:val="both"/>
        <w:ind w:left="644" w:hanging="644"/>
        <w:spacing w:after="0" w:line="251"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Landlord Fees</w:t>
      </w:r>
      <w:r>
        <w:rPr>
          <w:rFonts w:ascii="Times New Roman" w:cs="Times New Roman" w:eastAsia="Times New Roman" w:hAnsi="Times New Roman"/>
          <w:sz w:val="20"/>
          <w:szCs w:val="20"/>
          <w:color w:val="auto"/>
        </w:rPr>
        <w:t>. Landlord shall not charge Tenant, and Tenant shall not be required to pay to Landlord, any review, supervision, management, consulting or other fee or charge in connection with the Tenant Work from time to time during the Term of the Lease (as the same may be extended), or the review of the Tenant Work Plans or any other plans, specifications or drawings in connection therewith, and Tenant shall in no event be required to pay any out-of-pocket expenses incurred by Landlord in connection therewith, whether for review or otherwise. Tenant shall pay all consumption costs incurred on a monthly basis in connection with Tenant’s supplemental air-conditioning and sprinklers which are required in connection with the Tenant Work, but shall not be required to pay any tap-in charges for connecting such supplemental air-conditioning or sprinklers.</w:t>
      </w:r>
    </w:p>
    <w:p>
      <w:pPr>
        <w:spacing w:after="0" w:line="195" w:lineRule="exact"/>
        <w:rPr>
          <w:rFonts w:ascii="Times New Roman" w:cs="Times New Roman" w:eastAsia="Times New Roman" w:hAnsi="Times New Roman"/>
          <w:sz w:val="20"/>
          <w:szCs w:val="20"/>
          <w:color w:val="auto"/>
        </w:rPr>
      </w:pPr>
    </w:p>
    <w:p>
      <w:pPr>
        <w:jc w:val="both"/>
        <w:ind w:left="644" w:hanging="644"/>
        <w:spacing w:after="0" w:line="252" w:lineRule="auto"/>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Protection of Building and Removal of Construction Debris</w:t>
      </w:r>
      <w:r>
        <w:rPr>
          <w:rFonts w:ascii="Times New Roman" w:cs="Times New Roman" w:eastAsia="Times New Roman" w:hAnsi="Times New Roman"/>
          <w:sz w:val="20"/>
          <w:szCs w:val="20"/>
          <w:color w:val="auto"/>
        </w:rPr>
        <w:t>. Tenant will take all reasonable and customary precautionary steps to protect its facilities and the facilities of others affected by the Tenant Work and to properly police same. Tenant shall keep the Adjusted Premises, fire stairs, all common areas and adjacent areas free from accumulations of waste materials or rubbish caused by Tenant or Tenant Contractors. Landlord may require daily removal of waste materials and rubbish if required for fire prevention and life safety reasons or applicable Laws, and reserves the right to remove such waste materials and rubbish at the expense of Tenant if Tenant, after written notice of such failure from Landlord, fails to comply with Landlord’s reasonable requirements relating to such removal. At the completion of the Tenant Work, Tenant Contractors shall forthwith remove all rubbish and all tools, equipment and surplus materials from and about the Adjusted Premises and the Building.</w:t>
      </w:r>
    </w:p>
    <w:p>
      <w:pPr>
        <w:spacing w:after="0" w:line="189" w:lineRule="exact"/>
        <w:rPr>
          <w:rFonts w:ascii="Times New Roman" w:cs="Times New Roman" w:eastAsia="Times New Roman" w:hAnsi="Times New Roman"/>
          <w:sz w:val="20"/>
          <w:szCs w:val="20"/>
          <w:color w:val="auto"/>
        </w:rPr>
      </w:pPr>
    </w:p>
    <w:p>
      <w:pPr>
        <w:jc w:val="both"/>
        <w:ind w:left="644" w:hanging="644"/>
        <w:spacing w:after="0" w:line="269" w:lineRule="auto"/>
        <w:tabs>
          <w:tab w:leader="none" w:pos="644"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Damage by Tenant Contractors</w:t>
      </w:r>
      <w:r>
        <w:rPr>
          <w:rFonts w:ascii="Times New Roman" w:cs="Times New Roman" w:eastAsia="Times New Roman" w:hAnsi="Times New Roman"/>
          <w:sz w:val="19"/>
          <w:szCs w:val="19"/>
          <w:color w:val="auto"/>
        </w:rPr>
        <w:t>. Tenant shall include in any written agreement it enters into with a Tenant Contractor a provision that requires such Tenant Contractor to repair any damage caused by such Tenant Contractor (or any other Tenant Contractors with which such Tenant Contractor has subcontracted) to any portion of the Building or to any property of Landlord or other tenants of the Building in connection with the performance by such Tenant Contractors of the Tenant Work, and Tenant shall use commercially reasonable efforts to cause such Tenant Contractors to repair such damages. Tenant shall reasonably cooperate with Landlord in the enforcement by Landlord of any third party beneficiary</w:t>
      </w:r>
    </w:p>
    <w:p>
      <w:pPr>
        <w:sectPr>
          <w:pgSz w:w="11900" w:h="16838" w:orient="portrait"/>
          <w:cols w:equalWidth="0" w:num="1">
            <w:col w:w="10264"/>
          </w:cols>
          <w:pgMar w:left="976" w:top="1440" w:right="659" w:bottom="1440" w:gutter="0" w:footer="0" w:header="0"/>
        </w:sectPr>
      </w:pPr>
    </w:p>
    <w:bookmarkStart w:id="67" w:name="page68"/>
    <w:bookmarkEnd w:id="67"/>
    <w:p>
      <w:pPr>
        <w:spacing w:after="0" w:line="108" w:lineRule="exact"/>
        <w:rPr>
          <w:sz w:val="20"/>
          <w:szCs w:val="20"/>
          <w:color w:val="auto"/>
        </w:rPr>
      </w:pPr>
    </w:p>
    <w:p>
      <w:pPr>
        <w:jc w:val="both"/>
        <w:ind w:left="1292"/>
        <w:spacing w:after="0" w:line="261" w:lineRule="auto"/>
        <w:rPr>
          <w:sz w:val="20"/>
          <w:szCs w:val="20"/>
          <w:color w:val="auto"/>
        </w:rPr>
      </w:pPr>
      <w:r>
        <w:rPr>
          <w:rFonts w:ascii="Times New Roman" w:cs="Times New Roman" w:eastAsia="Times New Roman" w:hAnsi="Times New Roman"/>
          <w:sz w:val="20"/>
          <w:szCs w:val="20"/>
          <w:color w:val="auto"/>
        </w:rPr>
        <w:t>rights it may have under any such written agreements, provided such cooperation shall be at no material cost to Tenant, and absent the negligence or misconduct of Landlord and Landlord’s agents and representatives, Tenant shall indemnify and hold harmless Landlord in connection with the enforcement by Landlord of such rights.</w:t>
      </w:r>
    </w:p>
    <w:p>
      <w:pPr>
        <w:spacing w:after="0" w:line="181" w:lineRule="exact"/>
        <w:rPr>
          <w:sz w:val="20"/>
          <w:szCs w:val="20"/>
          <w:color w:val="auto"/>
        </w:rPr>
      </w:pPr>
    </w:p>
    <w:p>
      <w:pPr>
        <w:jc w:val="both"/>
        <w:ind w:left="1292" w:hanging="644"/>
        <w:spacing w:after="0" w:line="276" w:lineRule="auto"/>
        <w:tabs>
          <w:tab w:leader="none" w:pos="1288"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Accidents</w:t>
      </w:r>
      <w:r>
        <w:rPr>
          <w:rFonts w:ascii="Times New Roman" w:cs="Times New Roman" w:eastAsia="Times New Roman" w:hAnsi="Times New Roman"/>
          <w:sz w:val="19"/>
          <w:szCs w:val="19"/>
          <w:color w:val="auto"/>
        </w:rPr>
        <w:t>. Tenant shall cause Tenant Contractors to take all reasonable safety precautions with respect to the Tenant Work, and to comply with all applicable Laws for the safety of persons or property. Tenant shall report (and shall require Tenant Contractors to report) to Landlord any property damage or injury to any of Tenant’s agents or employees and shall furnish Landlord a copy of any accident report filed with its insurance carrier promptly after its occurrence.</w:t>
      </w:r>
    </w:p>
    <w:p>
      <w:pPr>
        <w:spacing w:after="0" w:line="183" w:lineRule="exact"/>
        <w:rPr>
          <w:rFonts w:ascii="Times New Roman" w:cs="Times New Roman" w:eastAsia="Times New Roman" w:hAnsi="Times New Roman"/>
          <w:sz w:val="19"/>
          <w:szCs w:val="19"/>
          <w:color w:val="auto"/>
        </w:rPr>
      </w:pPr>
    </w:p>
    <w:p>
      <w:pPr>
        <w:jc w:val="both"/>
        <w:ind w:left="1292" w:hanging="644"/>
        <w:spacing w:after="0" w:line="253" w:lineRule="auto"/>
        <w:tabs>
          <w:tab w:leader="none" w:pos="1279"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Standard Materials</w:t>
      </w:r>
      <w:r>
        <w:rPr>
          <w:rFonts w:ascii="Times New Roman" w:cs="Times New Roman" w:eastAsia="Times New Roman" w:hAnsi="Times New Roman"/>
          <w:sz w:val="20"/>
          <w:szCs w:val="20"/>
          <w:color w:val="auto"/>
        </w:rPr>
        <w:t>. Tenant acknowledges and agrees that Landlord has established building standard materials and criteria for certain improvements to be installed by all tenants of the Building as part of each such tenant’s improvements within its leased premises (the “</w:t>
      </w:r>
      <w:r>
        <w:rPr>
          <w:rFonts w:ascii="Times New Roman" w:cs="Times New Roman" w:eastAsia="Times New Roman" w:hAnsi="Times New Roman"/>
          <w:sz w:val="20"/>
          <w:szCs w:val="20"/>
          <w:b w:val="1"/>
          <w:bCs w:val="1"/>
          <w:color w:val="auto"/>
        </w:rPr>
        <w:t>Building Standard Materials</w:t>
      </w:r>
      <w:r>
        <w:rPr>
          <w:rFonts w:ascii="Times New Roman" w:cs="Times New Roman" w:eastAsia="Times New Roman" w:hAnsi="Times New Roman"/>
          <w:sz w:val="20"/>
          <w:szCs w:val="20"/>
          <w:color w:val="auto"/>
        </w:rPr>
        <w:t>”). Tenant shall utilize such Building Standard Materials, as applicable to the Tenant Work, as part of the Tenant Work, and the cost thereof shall be borne by Tenant.</w:t>
      </w:r>
    </w:p>
    <w:p>
      <w:pPr>
        <w:spacing w:after="0" w:line="191" w:lineRule="exact"/>
        <w:rPr>
          <w:rFonts w:ascii="Times New Roman" w:cs="Times New Roman" w:eastAsia="Times New Roman" w:hAnsi="Times New Roman"/>
          <w:sz w:val="20"/>
          <w:szCs w:val="20"/>
          <w:color w:val="auto"/>
        </w:rPr>
      </w:pPr>
    </w:p>
    <w:p>
      <w:pPr>
        <w:jc w:val="both"/>
        <w:ind w:left="1292" w:hanging="644"/>
        <w:spacing w:after="0" w:line="264" w:lineRule="auto"/>
        <w:tabs>
          <w:tab w:leader="none" w:pos="1292" w:val="left"/>
        </w:tabs>
        <w:numPr>
          <w:ilvl w:val="1"/>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Certain Tenant Work Performed by Landlord</w:t>
      </w:r>
      <w:r>
        <w:rPr>
          <w:rFonts w:ascii="Times New Roman" w:cs="Times New Roman" w:eastAsia="Times New Roman" w:hAnsi="Times New Roman"/>
          <w:sz w:val="19"/>
          <w:szCs w:val="19"/>
          <w:color w:val="auto"/>
        </w:rPr>
        <w:t>. Landlord shall have the right, but not the obligation, to perform, on behalf of and for the account of Tenant, any work of or relating to Tenant Work in an emergency situation (as determined by Landlord in its reasonable judgment) after notice thereof to Tenant as reasonably practical. The cost for the performance of such work by Landlord shall be borne by Tenant, at Landlord’s cost therefor plus Landlord’s fee in an amount equal to five percent (5%) of the cost of such work. In the event that any work of or relating to Tenant Work affects a structural component of the Building, Tenant shall give notice thereof to Landlord and Landlord shall respond to Tenant within five</w:t>
      </w:r>
    </w:p>
    <w:p>
      <w:pPr>
        <w:spacing w:after="0" w:line="4" w:lineRule="exact"/>
        <w:rPr>
          <w:rFonts w:ascii="Times New Roman" w:cs="Times New Roman" w:eastAsia="Times New Roman" w:hAnsi="Times New Roman"/>
          <w:sz w:val="19"/>
          <w:szCs w:val="19"/>
          <w:color w:val="auto"/>
        </w:rPr>
      </w:pPr>
    </w:p>
    <w:p>
      <w:pPr>
        <w:jc w:val="both"/>
        <w:ind w:left="1292" w:firstLine="4"/>
        <w:spacing w:after="0" w:line="246" w:lineRule="auto"/>
        <w:tabs>
          <w:tab w:leader="none" w:pos="1593" w:val="left"/>
        </w:tabs>
        <w:numPr>
          <w:ilvl w:val="2"/>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receipt of such notice indicating whether Landlord desires to perform on behalf of and for the account of Tenant any of such work which is the subject of such notice. Landlord’s failure to respond during such five</w:t>
      </w:r>
    </w:p>
    <w:p>
      <w:pPr>
        <w:spacing w:after="0" w:line="1" w:lineRule="exact"/>
        <w:rPr>
          <w:rFonts w:ascii="Times New Roman" w:cs="Times New Roman" w:eastAsia="Times New Roman" w:hAnsi="Times New Roman"/>
          <w:sz w:val="20"/>
          <w:szCs w:val="20"/>
          <w:color w:val="auto"/>
        </w:rPr>
      </w:pPr>
    </w:p>
    <w:p>
      <w:pPr>
        <w:jc w:val="both"/>
        <w:ind w:left="1292" w:firstLine="4"/>
        <w:spacing w:after="0" w:line="251" w:lineRule="auto"/>
        <w:tabs>
          <w:tab w:leader="none" w:pos="1584"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 period shall be deemed an agreement that Landlord does not desire to perform on behalf of or for the account of Tenant any of such work which is the subject of such notice. For purposes hereof, a “structural component” of the Building shall mean the roof, the foundation and the exterior walls of the Building, any staircase in the Building and all load bearing elements of the Building. Landlord in any event shall prepare all of the lockset cylinders Tenant desires to install in the Adjusted Premises as part of the Tenant Work in accordance with the procedure established therefor by Landlord or, as the parties mutually agree, Tenant, at Tenant’s cost, shall utilize Landlord’s designated contractor to prepare such lockset cylinders.</w:t>
      </w:r>
    </w:p>
    <w:p>
      <w:pPr>
        <w:spacing w:after="0" w:line="191" w:lineRule="exact"/>
        <w:rPr>
          <w:rFonts w:ascii="Times New Roman" w:cs="Times New Roman" w:eastAsia="Times New Roman" w:hAnsi="Times New Roman"/>
          <w:sz w:val="20"/>
          <w:szCs w:val="20"/>
          <w:color w:val="auto"/>
        </w:rPr>
      </w:pPr>
    </w:p>
    <w:p>
      <w:pPr>
        <w:jc w:val="both"/>
        <w:ind w:left="1292" w:hanging="644"/>
        <w:spacing w:after="0" w:line="253" w:lineRule="auto"/>
        <w:tabs>
          <w:tab w:leader="none" w:pos="1292"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Telecommunications</w:t>
      </w:r>
      <w:r>
        <w:rPr>
          <w:rFonts w:ascii="Times New Roman" w:cs="Times New Roman" w:eastAsia="Times New Roman" w:hAnsi="Times New Roman"/>
          <w:sz w:val="20"/>
          <w:szCs w:val="20"/>
          <w:color w:val="auto"/>
        </w:rPr>
        <w:t>. Subject to actual availability, Tenant shall have the non-exclusive right to install or use the existing continuous path for data to the Building closets and the right to use the Building conduits and/or chases for connection to Tenant’s telecommunications, roof top communication devices, data services and infrastructure. Tenant will not be obligated to remove such telecommunication and data cabling at the end the Term of the Lease (as the same may be extended).</w:t>
      </w:r>
    </w:p>
    <w:p>
      <w:pPr>
        <w:spacing w:after="0" w:line="201"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Tenant Work Allowance.</w:t>
      </w:r>
    </w:p>
    <w:p>
      <w:pPr>
        <w:sectPr>
          <w:pgSz w:w="11900" w:h="16838" w:orient="portrait"/>
          <w:cols w:equalWidth="0" w:num="1">
            <w:col w:w="10912"/>
          </w:cols>
          <w:pgMar w:left="328" w:top="1440" w:right="659" w:bottom="1440" w:gutter="0" w:footer="0" w:header="0"/>
        </w:sectPr>
      </w:pPr>
    </w:p>
    <w:bookmarkStart w:id="68" w:name="page69"/>
    <w:bookmarkEnd w:id="68"/>
    <w:p>
      <w:pPr>
        <w:spacing w:after="0" w:line="104" w:lineRule="exact"/>
        <w:rPr>
          <w:sz w:val="20"/>
          <w:szCs w:val="20"/>
          <w:color w:val="auto"/>
        </w:rPr>
      </w:pPr>
    </w:p>
    <w:p>
      <w:pPr>
        <w:ind w:left="644" w:hanging="644"/>
        <w:spacing w:after="0" w:line="263" w:lineRule="auto"/>
        <w:tabs>
          <w:tab w:leader="none" w:pos="633"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Amount of Tenant Work Allowance</w:t>
      </w:r>
      <w:r>
        <w:rPr>
          <w:rFonts w:ascii="Times New Roman" w:cs="Times New Roman" w:eastAsia="Times New Roman" w:hAnsi="Times New Roman"/>
          <w:sz w:val="20"/>
          <w:szCs w:val="20"/>
          <w:color w:val="auto"/>
        </w:rPr>
        <w:t>. Landlord shall provide Tenant with an allowance (the ”</w:t>
      </w:r>
      <w:r>
        <w:rPr>
          <w:rFonts w:ascii="Times New Roman" w:cs="Times New Roman" w:eastAsia="Times New Roman" w:hAnsi="Times New Roman"/>
          <w:sz w:val="20"/>
          <w:szCs w:val="20"/>
          <w:b w:val="1"/>
          <w:bCs w:val="1"/>
          <w:color w:val="auto"/>
        </w:rPr>
        <w:t>Tenant Work Allowance</w:t>
      </w:r>
      <w:r>
        <w:rPr>
          <w:rFonts w:ascii="Times New Roman" w:cs="Times New Roman" w:eastAsia="Times New Roman" w:hAnsi="Times New Roman"/>
          <w:sz w:val="20"/>
          <w:szCs w:val="20"/>
          <w:color w:val="auto"/>
        </w:rPr>
        <w:t>”) in the amount of Nine Million Three Hundred Thousand One Hundred Fifty and No/100 Dollars ($9,300,150.00) (based on $112.50 per rentable square foot of the Adjusted Premises).</w:t>
      </w:r>
    </w:p>
    <w:p>
      <w:pPr>
        <w:spacing w:after="0" w:line="179"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 of Tenant Work Allowance</w:t>
      </w:r>
      <w:r>
        <w:rPr>
          <w:rFonts w:ascii="Times New Roman" w:cs="Times New Roman" w:eastAsia="Times New Roman" w:hAnsi="Times New Roman"/>
          <w:sz w:val="20"/>
          <w:szCs w:val="20"/>
          <w:color w:val="auto"/>
        </w:rPr>
        <w:t>. Tenant shall use the Tenant Work Allowance as follows:</w:t>
      </w:r>
    </w:p>
    <w:p>
      <w:pPr>
        <w:spacing w:after="0" w:line="242" w:lineRule="exact"/>
        <w:rPr>
          <w:rFonts w:ascii="Times New Roman" w:cs="Times New Roman" w:eastAsia="Times New Roman" w:hAnsi="Times New Roman"/>
          <w:sz w:val="20"/>
          <w:szCs w:val="20"/>
          <w:color w:val="auto"/>
        </w:rPr>
      </w:pPr>
    </w:p>
    <w:p>
      <w:pPr>
        <w:jc w:val="both"/>
        <w:ind w:left="1304" w:right="100" w:hanging="656"/>
        <w:spacing w:after="0" w:line="253" w:lineRule="auto"/>
        <w:tabs>
          <w:tab w:leader="none" w:pos="130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Used Towards Tenant Work</w:t>
      </w:r>
      <w:r>
        <w:rPr>
          <w:rFonts w:ascii="Times New Roman" w:cs="Times New Roman" w:eastAsia="Times New Roman" w:hAnsi="Times New Roman"/>
          <w:sz w:val="20"/>
          <w:szCs w:val="20"/>
          <w:color w:val="auto"/>
        </w:rPr>
        <w:t>. Tenant hereby agrees that a minimum of Seven Million Two Hundred Thirty-Three Thousand Four Hundred Fifty and No/100 Dollars ($7,233,450.00) (based upon $87.50 per rentable square foot of the Adjusted Premises) of the Tenant Work Allowance shall be spent by or on behalf of Tenant on Tenant Work in the Adjusted Premises and shall be used by Tenant at any time and from time to time during the period commencing on January 1, 2026 and ending on December 31, 2028, as determined by Tenant at its sole discretion, all in accordance with the terms of this Section 3.</w:t>
      </w:r>
    </w:p>
    <w:p>
      <w:pPr>
        <w:spacing w:after="0" w:line="192" w:lineRule="exact"/>
        <w:rPr>
          <w:rFonts w:ascii="Times New Roman" w:cs="Times New Roman" w:eastAsia="Times New Roman" w:hAnsi="Times New Roman"/>
          <w:sz w:val="20"/>
          <w:szCs w:val="20"/>
          <w:color w:val="auto"/>
        </w:rPr>
      </w:pPr>
    </w:p>
    <w:p>
      <w:pPr>
        <w:jc w:val="both"/>
        <w:ind w:left="1304" w:right="100" w:hanging="656"/>
        <w:spacing w:after="0" w:line="253" w:lineRule="auto"/>
        <w:tabs>
          <w:tab w:leader="none" w:pos="130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Used Towards Payment of Rent</w:t>
      </w:r>
      <w:r>
        <w:rPr>
          <w:rFonts w:ascii="Times New Roman" w:cs="Times New Roman" w:eastAsia="Times New Roman" w:hAnsi="Times New Roman"/>
          <w:sz w:val="20"/>
          <w:szCs w:val="20"/>
          <w:color w:val="auto"/>
        </w:rPr>
        <w:t>. Tenant, at its option, may apply a portion of the Tenant Work Allowance up to a maximum of Two Million Sixty-Six Thousand Seven Hundred and No/100 Dollars ($2,066,700.00) (based upon $25.00 per rentable square foot of the Adjusted Premises) towards the payment of Rent (including Base Rent, Tenant’s Pro Rata Share of Taxes and Tenant’s Pro Rata Share of Operating Expenses) due and payable by Tenant to Landlord at any time under the Lease on or after the Premises Adjustment Date, as determined by Tenant at its sole discretion.</w:t>
      </w:r>
    </w:p>
    <w:p>
      <w:pPr>
        <w:spacing w:after="0" w:line="192" w:lineRule="exact"/>
        <w:rPr>
          <w:rFonts w:ascii="Times New Roman" w:cs="Times New Roman" w:eastAsia="Times New Roman" w:hAnsi="Times New Roman"/>
          <w:sz w:val="20"/>
          <w:szCs w:val="20"/>
          <w:color w:val="auto"/>
        </w:rPr>
      </w:pPr>
    </w:p>
    <w:p>
      <w:pPr>
        <w:jc w:val="both"/>
        <w:ind w:left="1304" w:right="100" w:hanging="656"/>
        <w:spacing w:after="0" w:line="257" w:lineRule="auto"/>
        <w:tabs>
          <w:tab w:leader="none" w:pos="130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Remainder of Tenant Work Allowance</w:t>
      </w:r>
      <w:r>
        <w:rPr>
          <w:rFonts w:ascii="Times New Roman" w:cs="Times New Roman" w:eastAsia="Times New Roman" w:hAnsi="Times New Roman"/>
          <w:sz w:val="20"/>
          <w:szCs w:val="20"/>
          <w:color w:val="auto"/>
        </w:rPr>
        <w:t>. Any remaining amount of the Tenant Work Allowance not spent on Tenant Work in the Adjusted Premises as provided in Section 3.b.1 above or applied toward the payment of Rent as provided in Section 3.b.2 above shall be applied toward the payment of Rent (including Base Rent, Tenant’s Pro Rata Share of Taxes and Tenant’s Pro Rata Share of Operating Expenses and any other Additional Rent) next coming due from Tenant to Landlord on or after January 1, 2029, until exhausted.</w:t>
      </w:r>
    </w:p>
    <w:p>
      <w:pPr>
        <w:spacing w:after="0" w:line="186"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 of Tenant Work Allowance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1304" w:right="100" w:hanging="656"/>
        <w:spacing w:after="0" w:line="253" w:lineRule="auto"/>
        <w:tabs>
          <w:tab w:leader="none" w:pos="130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Tenant Work Allowance shall be payable by Landlord, at Tenant’s option, (i) to any of Tenant Contractors and Tenant’s Design Professionals; or (ii) to Tenant in reimbursement for sums paid by Tenant to Tenant Contractors, Tenant’s Design Professionals, or other vendors used by Tenant in connection with the Tenant Work. Tenant shall deliver to Landlord periodic requisitions (each being herein called a “</w:t>
      </w:r>
      <w:r>
        <w:rPr>
          <w:rFonts w:ascii="Times New Roman" w:cs="Times New Roman" w:eastAsia="Times New Roman" w:hAnsi="Times New Roman"/>
          <w:sz w:val="20"/>
          <w:szCs w:val="20"/>
          <w:b w:val="1"/>
          <w:bCs w:val="1"/>
          <w:color w:val="auto"/>
        </w:rPr>
        <w:t>Tenant Requisition</w:t>
      </w:r>
      <w:r>
        <w:rPr>
          <w:rFonts w:ascii="Times New Roman" w:cs="Times New Roman" w:eastAsia="Times New Roman" w:hAnsi="Times New Roman"/>
          <w:sz w:val="20"/>
          <w:szCs w:val="20"/>
          <w:color w:val="auto"/>
        </w:rPr>
        <w:t>”) therefor, not more frequently than monthly, in accordance with Section 3.b.2 below, and, provided such Tenant Requisition is received by Landlord by the fifth (5th) day of the preceding calendar month, Landlord will disburse the installment of the Tenant Work Allowance corresponding to such Tenant Requisition by the fifteenth (15th) day of the next succeeding calendar month.</w:t>
      </w:r>
    </w:p>
    <w:p>
      <w:pPr>
        <w:spacing w:after="0" w:line="193" w:lineRule="exact"/>
        <w:rPr>
          <w:rFonts w:ascii="Times New Roman" w:cs="Times New Roman" w:eastAsia="Times New Roman" w:hAnsi="Times New Roman"/>
          <w:sz w:val="20"/>
          <w:szCs w:val="20"/>
          <w:color w:val="auto"/>
        </w:rPr>
      </w:pPr>
    </w:p>
    <w:p>
      <w:pPr>
        <w:jc w:val="both"/>
        <w:ind w:left="1304" w:right="100" w:hanging="656"/>
        <w:spacing w:after="0" w:line="261" w:lineRule="auto"/>
        <w:tabs>
          <w:tab w:leader="none" w:pos="1303"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Tenant Requisition (i) shall state the amount, not to be less than Twenty-Five Thousand and No/100 Dollars ($25,000.00), of such Tenant Requisition, (ii) shall state the amount payable to each of Tenant Contractors and Tenant’s Design</w:t>
      </w:r>
    </w:p>
    <w:p>
      <w:pPr>
        <w:sectPr>
          <w:pgSz w:w="11900" w:h="16838" w:orient="portrait"/>
          <w:cols w:equalWidth="0" w:num="1">
            <w:col w:w="10364"/>
          </w:cols>
          <w:pgMar w:left="976" w:top="1440" w:right="559" w:bottom="1440" w:gutter="0" w:footer="0" w:header="0"/>
        </w:sectPr>
      </w:pPr>
    </w:p>
    <w:bookmarkStart w:id="69" w:name="page70"/>
    <w:bookmarkEnd w:id="69"/>
    <w:p>
      <w:pPr>
        <w:spacing w:after="0" w:line="108" w:lineRule="exact"/>
        <w:rPr>
          <w:sz w:val="20"/>
          <w:szCs w:val="20"/>
          <w:color w:val="auto"/>
        </w:rPr>
      </w:pPr>
    </w:p>
    <w:p>
      <w:pPr>
        <w:jc w:val="both"/>
        <w:ind w:left="1952"/>
        <w:spacing w:after="0" w:line="252" w:lineRule="auto"/>
        <w:rPr>
          <w:sz w:val="20"/>
          <w:szCs w:val="20"/>
          <w:color w:val="auto"/>
        </w:rPr>
      </w:pPr>
      <w:r>
        <w:rPr>
          <w:rFonts w:ascii="Times New Roman" w:cs="Times New Roman" w:eastAsia="Times New Roman" w:hAnsi="Times New Roman"/>
          <w:sz w:val="20"/>
          <w:szCs w:val="20"/>
          <w:color w:val="auto"/>
        </w:rPr>
        <w:t>Professionals (and the mailing address thereof), and (iii) shall list the invoices to be paid or reimbursed (it being understood that if the total amount of such invoices shall exceed the amount of such Tenant Requisition then Tenant shall be responsible for the payment of the balance thereof). Each Tenant Requisition shall be accompanied by, as applicable: (1) the invoices so listed, (2) with respect to contractor invoices, a certificate signed by Tenant and Tenant’s Architect certifying that the Tenant Work represented by such invoices has been performed in accordance with this Work Letter, (3) conditional lien waivers pursuant to which each Tenant Contractor for which payment is sought waives any mechanics lien claims it may have relating to the Tenant Work described in the Tenant Requisition subject to disbursement of the Tenant Requisition and (4) evidence that any mechanic’s lien theretofore filed in respect of Tenant Work has been discharged of record.</w:t>
      </w:r>
    </w:p>
    <w:p>
      <w:pPr>
        <w:spacing w:after="0" w:line="189" w:lineRule="exact"/>
        <w:rPr>
          <w:sz w:val="20"/>
          <w:szCs w:val="20"/>
          <w:color w:val="auto"/>
        </w:rPr>
      </w:pPr>
    </w:p>
    <w:p>
      <w:pPr>
        <w:jc w:val="both"/>
        <w:ind w:left="1292" w:hanging="644"/>
        <w:spacing w:after="0" w:line="269" w:lineRule="auto"/>
        <w:tabs>
          <w:tab w:leader="none" w:pos="1292" w:val="left"/>
        </w:tabs>
        <w:numPr>
          <w:ilvl w:val="1"/>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Permitted Uses of Tenant Work Allowance</w:t>
      </w:r>
      <w:r>
        <w:rPr>
          <w:rFonts w:ascii="Times New Roman" w:cs="Times New Roman" w:eastAsia="Times New Roman" w:hAnsi="Times New Roman"/>
          <w:sz w:val="19"/>
          <w:szCs w:val="19"/>
          <w:color w:val="auto"/>
        </w:rPr>
        <w:t>. The Tenant Work Allowance may be used to reimburse any costs associated with the Tenant Work as Tenant may so elect, including, without limitation, construction (both hard and soft costs), space planning, programming, design development drawings, pricing drawings, construction drawings, electrical, mechanical, plumbing and engineering drawings, other reimbursables, city and other permits, approval fees, project management costs, contraction administration, profits, overhead, furniture, fixtures and equipment, window treatments (including blinds and shades), restrooms, information technology, relocation costs, cabling and/or general conditions.</w:t>
      </w:r>
    </w:p>
    <w:p>
      <w:pPr>
        <w:spacing w:after="0" w:line="173" w:lineRule="exact"/>
        <w:rPr>
          <w:rFonts w:ascii="Times New Roman" w:cs="Times New Roman" w:eastAsia="Times New Roman" w:hAnsi="Times New Roman"/>
          <w:sz w:val="19"/>
          <w:szCs w:val="19"/>
          <w:color w:val="auto"/>
        </w:rPr>
      </w:pPr>
    </w:p>
    <w:p>
      <w:pPr>
        <w:ind w:left="652" w:hanging="652"/>
        <w:spacing w:after="0"/>
        <w:tabs>
          <w:tab w:leader="none" w:pos="65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Landlord’s Right of Entry; Progress Advisories</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left="1292" w:hanging="644"/>
        <w:spacing w:after="0" w:line="253" w:lineRule="auto"/>
        <w:tabs>
          <w:tab w:leader="none" w:pos="128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Landlord’s Right of Entry</w:t>
      </w:r>
      <w:r>
        <w:rPr>
          <w:rFonts w:ascii="Times New Roman" w:cs="Times New Roman" w:eastAsia="Times New Roman" w:hAnsi="Times New Roman"/>
          <w:sz w:val="20"/>
          <w:szCs w:val="20"/>
          <w:color w:val="auto"/>
        </w:rPr>
        <w:t>. During the construction of, and upon completion of, the Tenant Work, Landlord and its representatives shall have the right to enter the Adjusted Premises in order to inspect the Tenant Work. Such access and inspection shall be at reasonable times convenient for Tenant, during Normal Working Hours (as such term is hereinafter defined) (unless otherwise agreed to by Tenant) and shall not unreasonably disturb or otherwise interfere with Tenant’s business operations in, or use and enjoyment of, the Adjusted Premises. Tenant shall have the right to have an employee or other representative present at all times during any such access and inspection by Landlord.</w:t>
      </w:r>
    </w:p>
    <w:p>
      <w:pPr>
        <w:spacing w:after="0" w:line="192" w:lineRule="exact"/>
        <w:rPr>
          <w:rFonts w:ascii="Times New Roman" w:cs="Times New Roman" w:eastAsia="Times New Roman" w:hAnsi="Times New Roman"/>
          <w:sz w:val="20"/>
          <w:szCs w:val="20"/>
          <w:color w:val="auto"/>
        </w:rPr>
      </w:pPr>
    </w:p>
    <w:p>
      <w:pPr>
        <w:jc w:val="both"/>
        <w:ind w:left="1292" w:hanging="644"/>
        <w:spacing w:after="0" w:line="258" w:lineRule="auto"/>
        <w:tabs>
          <w:tab w:leader="none" w:pos="129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Progress Advisories</w:t>
      </w:r>
      <w:r>
        <w:rPr>
          <w:rFonts w:ascii="Times New Roman" w:cs="Times New Roman" w:eastAsia="Times New Roman" w:hAnsi="Times New Roman"/>
          <w:sz w:val="20"/>
          <w:szCs w:val="20"/>
          <w:color w:val="auto"/>
        </w:rPr>
        <w:t>. Within ten (10) Business Days after Landlord’s request from time to time, Tenant shall furnish Landlord with a copy of Tenant’s most recent construction schedule and any expected deviations therefrom (it being understood that Tenant shall not be deemed to warrant the accuracy of such documents and that the furnishing of such documents shall not limit or constitute a waiver of any of Tenant’s rights under this Work Letter).</w:t>
      </w:r>
    </w:p>
    <w:p>
      <w:pPr>
        <w:spacing w:after="0" w:line="185" w:lineRule="exact"/>
        <w:rPr>
          <w:rFonts w:ascii="Times New Roman" w:cs="Times New Roman" w:eastAsia="Times New Roman" w:hAnsi="Times New Roman"/>
          <w:sz w:val="20"/>
          <w:szCs w:val="20"/>
          <w:color w:val="auto"/>
        </w:rPr>
      </w:pPr>
    </w:p>
    <w:p>
      <w:pPr>
        <w:jc w:val="both"/>
        <w:ind w:left="1292" w:hanging="644"/>
        <w:spacing w:after="0" w:line="258" w:lineRule="auto"/>
        <w:tabs>
          <w:tab w:leader="none" w:pos="1281"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Governmental Inspections</w:t>
      </w:r>
      <w:r>
        <w:rPr>
          <w:rFonts w:ascii="Times New Roman" w:cs="Times New Roman" w:eastAsia="Times New Roman" w:hAnsi="Times New Roman"/>
          <w:sz w:val="20"/>
          <w:szCs w:val="20"/>
          <w:color w:val="auto"/>
        </w:rPr>
        <w:t>. If required by applicable Laws, Tenant shall endeavor to cause any governmental authority required to have issued a Governmental Approval to perform inspections of the Tenant Work, and Tenant shall make available to Landlord copies of all written inspection reports issued relative to the Tenant Work upon request from Landlord.</w:t>
      </w:r>
    </w:p>
    <w:p>
      <w:pPr>
        <w:spacing w:after="0" w:line="185" w:lineRule="exact"/>
        <w:rPr>
          <w:rFonts w:ascii="Times New Roman" w:cs="Times New Roman" w:eastAsia="Times New Roman" w:hAnsi="Times New Roman"/>
          <w:sz w:val="20"/>
          <w:szCs w:val="20"/>
          <w:color w:val="auto"/>
        </w:rPr>
      </w:pPr>
    </w:p>
    <w:p>
      <w:pPr>
        <w:jc w:val="both"/>
        <w:ind w:left="1292" w:hanging="644"/>
        <w:spacing w:after="0" w:line="261" w:lineRule="auto"/>
        <w:tabs>
          <w:tab w:leader="none" w:pos="1292"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Completion; Delivery of As-Built Plans</w:t>
      </w:r>
      <w:r>
        <w:rPr>
          <w:rFonts w:ascii="Times New Roman" w:cs="Times New Roman" w:eastAsia="Times New Roman" w:hAnsi="Times New Roman"/>
          <w:sz w:val="20"/>
          <w:szCs w:val="20"/>
          <w:color w:val="auto"/>
        </w:rPr>
        <w:t>. Promptly after Tenant shall have substantially completed the Tenant Work, Tenant shall notify Landlord of the date of such substantial completion. Tenant shall furnish to Landlord, in both paper and electronic</w:t>
      </w:r>
    </w:p>
    <w:p>
      <w:pPr>
        <w:sectPr>
          <w:pgSz w:w="11900" w:h="16838" w:orient="portrait"/>
          <w:cols w:equalWidth="0" w:num="1">
            <w:col w:w="10912"/>
          </w:cols>
          <w:pgMar w:left="328" w:top="1440" w:right="659" w:bottom="1440" w:gutter="0" w:footer="0" w:header="0"/>
        </w:sectPr>
      </w:pPr>
    </w:p>
    <w:bookmarkStart w:id="70" w:name="page71"/>
    <w:bookmarkEnd w:id="70"/>
    <w:p>
      <w:pPr>
        <w:spacing w:after="0" w:line="108" w:lineRule="exact"/>
        <w:rPr>
          <w:sz w:val="20"/>
          <w:szCs w:val="20"/>
          <w:color w:val="auto"/>
        </w:rPr>
      </w:pPr>
    </w:p>
    <w:p>
      <w:pPr>
        <w:ind w:left="1292"/>
        <w:spacing w:after="0" w:line="283" w:lineRule="auto"/>
        <w:rPr>
          <w:sz w:val="20"/>
          <w:szCs w:val="20"/>
          <w:color w:val="auto"/>
        </w:rPr>
      </w:pPr>
      <w:r>
        <w:rPr>
          <w:rFonts w:ascii="Times New Roman" w:cs="Times New Roman" w:eastAsia="Times New Roman" w:hAnsi="Times New Roman"/>
          <w:sz w:val="20"/>
          <w:szCs w:val="20"/>
          <w:color w:val="auto"/>
        </w:rPr>
        <w:t>format, at Tenant’s cost, “as-built” drawings of the Tenant Work within sixty (60) days after completion of the Tenant Work.</w:t>
      </w:r>
    </w:p>
    <w:p>
      <w:pPr>
        <w:spacing w:after="0" w:line="156" w:lineRule="exact"/>
        <w:rPr>
          <w:sz w:val="20"/>
          <w:szCs w:val="20"/>
          <w:color w:val="auto"/>
        </w:rPr>
      </w:pPr>
    </w:p>
    <w:p>
      <w:pPr>
        <w:ind w:left="652" w:hanging="652"/>
        <w:spacing w:after="0"/>
        <w:tabs>
          <w:tab w:leader="none" w:pos="65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Standards of Performance. </w:t>
      </w:r>
      <w:r>
        <w:rPr>
          <w:rFonts w:ascii="Times New Roman" w:cs="Times New Roman" w:eastAsia="Times New Roman" w:hAnsi="Times New Roman"/>
          <w:sz w:val="20"/>
          <w:szCs w:val="20"/>
          <w:color w:val="auto"/>
        </w:rPr>
        <w:t>All of the Tenant Work shall be done according to the standards set forth in this Section 5.</w:t>
      </w:r>
    </w:p>
    <w:p>
      <w:pPr>
        <w:spacing w:after="0" w:line="233" w:lineRule="exact"/>
        <w:rPr>
          <w:rFonts w:ascii="Times New Roman" w:cs="Times New Roman" w:eastAsia="Times New Roman" w:hAnsi="Times New Roman"/>
          <w:sz w:val="20"/>
          <w:szCs w:val="20"/>
          <w:color w:val="auto"/>
        </w:rPr>
      </w:pPr>
    </w:p>
    <w:p>
      <w:pPr>
        <w:jc w:val="both"/>
        <w:ind w:left="1292" w:hanging="644"/>
        <w:spacing w:after="0" w:line="261" w:lineRule="auto"/>
        <w:tabs>
          <w:tab w:leader="none" w:pos="128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Tenant shall cause the Tenant Work Plans and the Tenant Work to comply with all Laws applicable thereto, including, without limitation, all applicable building and fire codes of the City of Chicago and all other governmental authorities having jurisdiction thereof, and with all requirements of the ADA.</w:t>
      </w:r>
    </w:p>
    <w:p>
      <w:pPr>
        <w:spacing w:after="0" w:line="194" w:lineRule="exact"/>
        <w:rPr>
          <w:rFonts w:ascii="Times New Roman" w:cs="Times New Roman" w:eastAsia="Times New Roman" w:hAnsi="Times New Roman"/>
          <w:sz w:val="20"/>
          <w:szCs w:val="20"/>
          <w:color w:val="auto"/>
        </w:rPr>
      </w:pPr>
    </w:p>
    <w:p>
      <w:pPr>
        <w:jc w:val="both"/>
        <w:ind w:left="1292" w:hanging="644"/>
        <w:spacing w:after="0" w:line="254" w:lineRule="auto"/>
        <w:tabs>
          <w:tab w:leader="none" w:pos="129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Rules and Regulations</w:t>
      </w:r>
      <w:r>
        <w:rPr>
          <w:rFonts w:ascii="Times New Roman" w:cs="Times New Roman" w:eastAsia="Times New Roman" w:hAnsi="Times New Roman"/>
          <w:sz w:val="20"/>
          <w:szCs w:val="20"/>
          <w:color w:val="auto"/>
        </w:rPr>
        <w:t>. Tenant Contractors and all other vendors entering the Building in connection with the performance of the Tenant Work shall comply with the general requirements from time to time promulgated by Landlord for service providers and tenant contractors performing work in the Building. Landlord shall apply its general requirements without discrimination.</w:t>
      </w:r>
    </w:p>
    <w:p>
      <w:pPr>
        <w:spacing w:after="0" w:line="200" w:lineRule="exact"/>
        <w:rPr>
          <w:rFonts w:ascii="Times New Roman" w:cs="Times New Roman" w:eastAsia="Times New Roman" w:hAnsi="Times New Roman"/>
          <w:sz w:val="20"/>
          <w:szCs w:val="20"/>
          <w:color w:val="auto"/>
        </w:rPr>
      </w:pPr>
    </w:p>
    <w:p>
      <w:pPr>
        <w:ind w:left="1292" w:right="20" w:hanging="644"/>
        <w:spacing w:after="0" w:line="269" w:lineRule="auto"/>
        <w:tabs>
          <w:tab w:leader="none" w:pos="128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Building Permits</w:t>
      </w:r>
      <w:r>
        <w:rPr>
          <w:rFonts w:ascii="Times New Roman" w:cs="Times New Roman" w:eastAsia="Times New Roman" w:hAnsi="Times New Roman"/>
          <w:sz w:val="20"/>
          <w:szCs w:val="20"/>
          <w:color w:val="auto"/>
        </w:rPr>
        <w:t>. Tenant, at its own cost and expense, shall obtain from any governmental authority having jurisdiction all required building and other permits and approvals relative to the Tenant Work (“</w:t>
      </w:r>
      <w:r>
        <w:rPr>
          <w:rFonts w:ascii="Times New Roman" w:cs="Times New Roman" w:eastAsia="Times New Roman" w:hAnsi="Times New Roman"/>
          <w:sz w:val="20"/>
          <w:szCs w:val="20"/>
          <w:b w:val="1"/>
          <w:bCs w:val="1"/>
          <w:color w:val="auto"/>
        </w:rPr>
        <w:t>Governmental Approvals</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jc w:val="both"/>
        <w:ind w:left="1292" w:hanging="644"/>
        <w:spacing w:after="0" w:line="261" w:lineRule="auto"/>
        <w:tabs>
          <w:tab w:leader="none" w:pos="129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 of Occupancy</w:t>
      </w:r>
      <w:r>
        <w:rPr>
          <w:rFonts w:ascii="Times New Roman" w:cs="Times New Roman" w:eastAsia="Times New Roman" w:hAnsi="Times New Roman"/>
          <w:sz w:val="20"/>
          <w:szCs w:val="20"/>
          <w:color w:val="auto"/>
        </w:rPr>
        <w:t>. Upon completion of all Tenant Work that is required to obtain a certificate of occupancy for the Adjusted Premises, Tenant, at its own cost and expense, shall apply for and diligently pursue such application until it obtains such certificate of occupancy.</w:t>
      </w:r>
    </w:p>
    <w:p>
      <w:pPr>
        <w:spacing w:after="0" w:line="177"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Freight Elevators/Loading Dock/Overtime Security</w:t>
      </w:r>
      <w:r>
        <w:rPr>
          <w:rFonts w:ascii="Times New Roman" w:cs="Times New Roman" w:eastAsia="Times New Roman" w:hAnsi="Times New Roman"/>
          <w:sz w:val="20"/>
          <w:szCs w:val="20"/>
          <w:color w:val="auto"/>
        </w:rPr>
        <w:t>.</w:t>
      </w:r>
    </w:p>
    <w:p>
      <w:pPr>
        <w:spacing w:after="0" w:line="246" w:lineRule="exact"/>
        <w:rPr>
          <w:rFonts w:ascii="Times New Roman" w:cs="Times New Roman" w:eastAsia="Times New Roman" w:hAnsi="Times New Roman"/>
          <w:sz w:val="20"/>
          <w:szCs w:val="20"/>
          <w:color w:val="auto"/>
        </w:rPr>
      </w:pPr>
    </w:p>
    <w:p>
      <w:pPr>
        <w:jc w:val="both"/>
        <w:ind w:left="1292" w:hanging="644"/>
        <w:spacing w:after="0" w:line="251" w:lineRule="auto"/>
        <w:tabs>
          <w:tab w:leader="none" w:pos="1281"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Normal Working Hours of the Building</w:t>
      </w:r>
      <w:r>
        <w:rPr>
          <w:rFonts w:ascii="Times New Roman" w:cs="Times New Roman" w:eastAsia="Times New Roman" w:hAnsi="Times New Roman"/>
          <w:sz w:val="20"/>
          <w:szCs w:val="20"/>
          <w:color w:val="auto"/>
        </w:rPr>
        <w:t>. Landlord shall make the Building’s freight elevators and loading docks available to Tenant and Tenant Contractors for personnel, small tools and a reasonable amount of materials during the Normal Working Hours, without charge and without discrimination, in common with others entitled to use the same. Tenant shall not be entitled to use the Building’s freight elevators or loading docks for oversized or excessively large materials during Normal Working Hours. Landlord shall not charge Tenant any fee for the use of the Buildings’ freight elevators, loading docks or Building security for the Tenant Work during Normal Working Hours.</w:t>
      </w:r>
    </w:p>
    <w:p>
      <w:pPr>
        <w:spacing w:after="0" w:line="203" w:lineRule="exact"/>
        <w:rPr>
          <w:rFonts w:ascii="Times New Roman" w:cs="Times New Roman" w:eastAsia="Times New Roman" w:hAnsi="Times New Roman"/>
          <w:sz w:val="20"/>
          <w:szCs w:val="20"/>
          <w:color w:val="auto"/>
        </w:rPr>
      </w:pPr>
    </w:p>
    <w:p>
      <w:pPr>
        <w:jc w:val="both"/>
        <w:ind w:left="1292" w:hanging="644"/>
        <w:spacing w:after="0" w:line="250" w:lineRule="auto"/>
        <w:tabs>
          <w:tab w:leader="none" w:pos="1292"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Hours</w:t>
      </w:r>
      <w:r>
        <w:rPr>
          <w:rFonts w:ascii="Times New Roman" w:cs="Times New Roman" w:eastAsia="Times New Roman" w:hAnsi="Times New Roman"/>
          <w:sz w:val="20"/>
          <w:szCs w:val="20"/>
          <w:color w:val="auto"/>
        </w:rPr>
        <w:t>. Landlord shall make the Building’s freight elevators, outside hoist and loading docks available to Tenant and Tenant Contractors for personnel, small tools, materials, freight and other construction items, as required by Tenant in construction and completion of the Tenant Work, outside of Normal Working Hours, on a reserved exclusive basis, subject to advance reservation with Landlord, and Landlord shall administer such reservations without discrimination among the tenants of the Building. Landlord shall not charge Tenant any fee for the use of the Building’s freight elevators, outside hoist or loading docks for the Tenant Work outside of Normal Working Hours. Notwithstanding the foregoing, Tenant shall pay Landlord within thirty (30) days after receipt of an invoice from Landlord for any reasonable out-of-pocket charges for overtime Building security (but not normal Building staff) necessitated by Tenant’s use of the Building’s freight elevators, outside hoist or loading docks for the Tenant Work outside of Normal Working Hours or Tenant’s performance of the Tenant Work outside of Normal Working Hours.</w:t>
      </w:r>
    </w:p>
    <w:p>
      <w:pPr>
        <w:sectPr>
          <w:pgSz w:w="11900" w:h="16838" w:orient="portrait"/>
          <w:cols w:equalWidth="0" w:num="1">
            <w:col w:w="10912"/>
          </w:cols>
          <w:pgMar w:left="328" w:top="1440" w:right="659" w:bottom="1440" w:gutter="0" w:footer="0" w:header="0"/>
        </w:sectPr>
      </w:pPr>
    </w:p>
    <w:bookmarkStart w:id="71" w:name="page72"/>
    <w:bookmarkEnd w:id="71"/>
    <w:p>
      <w:pPr>
        <w:spacing w:after="0" w:line="104" w:lineRule="exact"/>
        <w:rPr>
          <w:sz w:val="20"/>
          <w:szCs w:val="20"/>
          <w:color w:val="auto"/>
        </w:rPr>
      </w:pPr>
    </w:p>
    <w:p>
      <w:pPr>
        <w:ind w:left="1292" w:hanging="644"/>
        <w:spacing w:after="0" w:line="287" w:lineRule="auto"/>
        <w:tabs>
          <w:tab w:leader="none" w:pos="128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Normal Working Hours</w:t>
      </w:r>
      <w:r>
        <w:rPr>
          <w:rFonts w:ascii="Times New Roman" w:cs="Times New Roman" w:eastAsia="Times New Roman" w:hAnsi="Times New Roman"/>
          <w:sz w:val="20"/>
          <w:szCs w:val="20"/>
          <w:color w:val="auto"/>
        </w:rPr>
        <w:t>. For purposes of this Work Letter, the term “</w:t>
      </w:r>
      <w:r>
        <w:rPr>
          <w:rFonts w:ascii="Times New Roman" w:cs="Times New Roman" w:eastAsia="Times New Roman" w:hAnsi="Times New Roman"/>
          <w:sz w:val="20"/>
          <w:szCs w:val="20"/>
          <w:b w:val="1"/>
          <w:bCs w:val="1"/>
          <w:color w:val="auto"/>
        </w:rPr>
        <w:t>Normal Working Hours</w:t>
      </w:r>
      <w:r>
        <w:rPr>
          <w:rFonts w:ascii="Times New Roman" w:cs="Times New Roman" w:eastAsia="Times New Roman" w:hAnsi="Times New Roman"/>
          <w:sz w:val="20"/>
          <w:szCs w:val="20"/>
          <w:color w:val="auto"/>
        </w:rPr>
        <w:t xml:space="preserve">” shall mean </w:t>
      </w:r>
      <w:r>
        <w:rPr>
          <w:rFonts w:ascii="Times New Roman" w:cs="Times New Roman" w:eastAsia="Times New Roman" w:hAnsi="Times New Roman"/>
          <w:sz w:val="20"/>
          <w:szCs w:val="20"/>
          <w:b w:val="1"/>
          <w:bCs w:val="1"/>
          <w:color w:val="auto"/>
        </w:rPr>
        <w:t>7:00 a.m.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3:00 p.m. </w:t>
      </w:r>
      <w:r>
        <w:rPr>
          <w:rFonts w:ascii="Times New Roman" w:cs="Times New Roman" w:eastAsia="Times New Roman" w:hAnsi="Times New Roman"/>
          <w:sz w:val="20"/>
          <w:szCs w:val="20"/>
          <w:color w:val="auto"/>
        </w:rPr>
        <w:t>on Business Days.</w:t>
      </w:r>
    </w:p>
    <w:p>
      <w:pPr>
        <w:spacing w:after="0" w:line="151" w:lineRule="exact"/>
        <w:rPr>
          <w:rFonts w:ascii="Times New Roman" w:cs="Times New Roman" w:eastAsia="Times New Roman" w:hAnsi="Times New Roman"/>
          <w:sz w:val="20"/>
          <w:szCs w:val="20"/>
          <w:color w:val="auto"/>
        </w:rPr>
      </w:pPr>
    </w:p>
    <w:p>
      <w:pPr>
        <w:jc w:val="both"/>
        <w:ind w:left="-8" w:firstLine="8"/>
        <w:spacing w:after="0" w:line="267" w:lineRule="auto"/>
        <w:tabs>
          <w:tab w:leader="none" w:pos="640" w:val="left"/>
        </w:tabs>
        <w:numPr>
          <w:ilvl w:val="0"/>
          <w:numId w:val="7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Landlord’s Prior Approval of Contractors</w:t>
      </w:r>
      <w:r>
        <w:rPr>
          <w:rFonts w:ascii="Times New Roman" w:cs="Times New Roman" w:eastAsia="Times New Roman" w:hAnsi="Times New Roman"/>
          <w:sz w:val="19"/>
          <w:szCs w:val="19"/>
          <w:color w:val="auto"/>
        </w:rPr>
        <w:t>. Each contractor and subcontractor to be used by Tenant for Tenant Work (each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Tenant Contractor</w:t>
      </w:r>
      <w:r>
        <w:rPr>
          <w:rFonts w:ascii="Times New Roman" w:cs="Times New Roman" w:eastAsia="Times New Roman" w:hAnsi="Times New Roman"/>
          <w:sz w:val="19"/>
          <w:szCs w:val="19"/>
          <w:color w:val="auto"/>
        </w:rPr>
        <w:t>”) shall be subject to Landlord’s approval, which approval shall not be unreasonably withheld, conditioned or delayed. Landlord shall have ten (10) Business Days to approve or disapprove any Tenant Contractor proposed by Tenant in writing, and to notify Tenant of its reasons for withholding approval. Whenever Landlord’s approval of any contractor, subcontractor, materialmen, architect, engineer or other consultant is required hereunder, Tenant at any time hereafter (but prior to the time such approval is required) may provide Landlord with a list of such contractors, subcontractors, materialmen, architects, engineers or other consultants for pre-approval by Landlord, together with a general description of the work for which such contractor or other service provider is sought to be approved, and Landlord either shall approve or disapprove such contractor or other service provider for the work generally described (with the reasons for such disapproval specified) in writing within five (5) Business Days after Landlord’s receipt of such list.</w:t>
      </w:r>
    </w:p>
    <w:p>
      <w:pPr>
        <w:spacing w:after="0" w:line="175" w:lineRule="exact"/>
        <w:rPr>
          <w:rFonts w:ascii="Times New Roman" w:cs="Times New Roman" w:eastAsia="Times New Roman" w:hAnsi="Times New Roman"/>
          <w:sz w:val="19"/>
          <w:szCs w:val="19"/>
          <w:color w:val="auto"/>
        </w:rPr>
      </w:pPr>
    </w:p>
    <w:p>
      <w:pPr>
        <w:ind w:left="632" w:hanging="632"/>
        <w:spacing w:after="0"/>
        <w:tabs>
          <w:tab w:leader="none" w:pos="63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Insurance</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1292" w:hanging="644"/>
        <w:spacing w:after="0" w:line="283" w:lineRule="auto"/>
        <w:tabs>
          <w:tab w:leader="none" w:pos="1281"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secure, pay for, and maintain during the continuance of the Tenant Work, policies of insurance satisfying the insurance requirements of the Lease, including builder’s risk.</w:t>
      </w:r>
    </w:p>
    <w:p>
      <w:pPr>
        <w:spacing w:after="0" w:line="159" w:lineRule="exact"/>
        <w:rPr>
          <w:rFonts w:ascii="Times New Roman" w:cs="Times New Roman" w:eastAsia="Times New Roman" w:hAnsi="Times New Roman"/>
          <w:sz w:val="20"/>
          <w:szCs w:val="20"/>
          <w:color w:val="auto"/>
        </w:rPr>
      </w:pPr>
    </w:p>
    <w:p>
      <w:pPr>
        <w:jc w:val="both"/>
        <w:ind w:left="1292" w:hanging="644"/>
        <w:spacing w:after="0" w:line="258" w:lineRule="auto"/>
        <w:tabs>
          <w:tab w:leader="none" w:pos="1292"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require each Tenant Contractor entering the Adjusted Premises or the Building hereunder in connection with the performance of the Tenant Work to secure, pay for, and maintain during the continuance of its work within the Adjusted Premises or the Building, policies of insurance in the following minimum coverages and minimum limits of liability:</w:t>
      </w:r>
    </w:p>
    <w:p>
      <w:pPr>
        <w:spacing w:after="0" w:line="185" w:lineRule="exact"/>
        <w:rPr>
          <w:rFonts w:ascii="Times New Roman" w:cs="Times New Roman" w:eastAsia="Times New Roman" w:hAnsi="Times New Roman"/>
          <w:sz w:val="20"/>
          <w:szCs w:val="20"/>
          <w:color w:val="auto"/>
        </w:rPr>
      </w:pPr>
    </w:p>
    <w:p>
      <w:pPr>
        <w:jc w:val="both"/>
        <w:ind w:left="1952" w:hanging="656"/>
        <w:spacing w:after="0" w:line="261" w:lineRule="auto"/>
        <w:tabs>
          <w:tab w:leader="none" w:pos="1951"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and Occupational Disease Insurance at statutory limits as provided by the laws of the State of Illinois and Employer’s Liability Insurance with limits of not less than $1,000,000, for all costs arising from each accident or occupational disease.</w:t>
      </w:r>
    </w:p>
    <w:p>
      <w:pPr>
        <w:spacing w:after="0" w:line="194" w:lineRule="exact"/>
        <w:rPr>
          <w:rFonts w:ascii="Times New Roman" w:cs="Times New Roman" w:eastAsia="Times New Roman" w:hAnsi="Times New Roman"/>
          <w:sz w:val="20"/>
          <w:szCs w:val="20"/>
          <w:color w:val="auto"/>
        </w:rPr>
      </w:pPr>
    </w:p>
    <w:p>
      <w:pPr>
        <w:jc w:val="both"/>
        <w:ind w:left="1952" w:hanging="656"/>
        <w:spacing w:after="0" w:line="251" w:lineRule="auto"/>
        <w:tabs>
          <w:tab w:leader="none" w:pos="1951"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General Liability Insurance (including Contractors’ Protective Liability) in an amount not less than $3,000,000 per occurrence, whether involving bodily injury liability (or death resulting therefrom) or property damage liability or a combination thereof and with a minimum aggregate limit of $5,000,000, together with umbrella coverage with limits of (1) not less than $5,000,000 in the case of general contractors, and (2) not less than $2,000,000 in the case of subcontractors. Such insurance shall provide for explosion and collapse, completed operations coverage and broad form blanket contractual liability coverage and shall insure for claims for bodily injury, including death resulting therefrom, and damage to the property of others and arising from operations of each Tenant Contractor, and shall also name Tenant as an additional insured.</w:t>
      </w:r>
    </w:p>
    <w:p>
      <w:pPr>
        <w:spacing w:after="0" w:line="195" w:lineRule="exact"/>
        <w:rPr>
          <w:rFonts w:ascii="Times New Roman" w:cs="Times New Roman" w:eastAsia="Times New Roman" w:hAnsi="Times New Roman"/>
          <w:sz w:val="20"/>
          <w:szCs w:val="20"/>
          <w:color w:val="auto"/>
        </w:rPr>
      </w:pPr>
    </w:p>
    <w:p>
      <w:pPr>
        <w:jc w:val="both"/>
        <w:ind w:left="1952" w:hanging="656"/>
        <w:spacing w:after="0" w:line="261" w:lineRule="auto"/>
        <w:tabs>
          <w:tab w:leader="none" w:pos="1951"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Comprehensive Automobile Liability Insurance, including the ownership, maintenance and operation of any automotive equipment, owned, hired, or non- owned in an amount not less than $1,000,000 combined single limit for each accident.</w:t>
      </w:r>
    </w:p>
    <w:p>
      <w:pPr>
        <w:sectPr>
          <w:pgSz w:w="11900" w:h="16838" w:orient="portrait"/>
          <w:cols w:equalWidth="0" w:num="1">
            <w:col w:w="10912"/>
          </w:cols>
          <w:pgMar w:left="328" w:top="1440" w:right="659" w:bottom="1440" w:gutter="0" w:footer="0" w:header="0"/>
        </w:sectPr>
      </w:pPr>
    </w:p>
    <w:bookmarkStart w:id="72" w:name="page73"/>
    <w:bookmarkEnd w:id="72"/>
    <w:p>
      <w:pPr>
        <w:spacing w:after="0" w:line="108" w:lineRule="exact"/>
        <w:rPr>
          <w:sz w:val="20"/>
          <w:szCs w:val="20"/>
          <w:color w:val="auto"/>
        </w:rPr>
      </w:pPr>
    </w:p>
    <w:p>
      <w:pPr>
        <w:jc w:val="both"/>
        <w:ind w:left="644" w:hanging="644"/>
        <w:spacing w:after="0" w:line="261" w:lineRule="auto"/>
        <w:tabs>
          <w:tab w:leader="none" w:pos="63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require each of Tenant’s Design Professionals and each of such Tenant’s Design Professionals’ subcontractors to secure, pay for, and maintain during the continuance of its work in connection with the preparation of the Tenant Work Plans, policies of insurance in the following minimum coverages and minimum limits of liability:</w:t>
      </w:r>
    </w:p>
    <w:p>
      <w:pPr>
        <w:spacing w:after="0" w:line="181" w:lineRule="exact"/>
        <w:rPr>
          <w:rFonts w:ascii="Times New Roman" w:cs="Times New Roman" w:eastAsia="Times New Roman" w:hAnsi="Times New Roman"/>
          <w:sz w:val="20"/>
          <w:szCs w:val="20"/>
          <w:color w:val="auto"/>
        </w:rPr>
      </w:pPr>
    </w:p>
    <w:p>
      <w:pPr>
        <w:jc w:val="both"/>
        <w:ind w:left="1304" w:hanging="656"/>
        <w:spacing w:after="0" w:line="268" w:lineRule="auto"/>
        <w:tabs>
          <w:tab w:leader="none" w:pos="13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Worker’s Compensation and Occupational Disease Insurance at statutory limits as provided by the laws of the State of Illinois and Employer’s Liability Insurance with limits of not less than $500,000, for all costs arising from each accident or occupational disease.</w:t>
      </w:r>
    </w:p>
    <w:p>
      <w:pPr>
        <w:spacing w:after="0" w:line="174" w:lineRule="exact"/>
        <w:rPr>
          <w:rFonts w:ascii="Times New Roman" w:cs="Times New Roman" w:eastAsia="Times New Roman" w:hAnsi="Times New Roman"/>
          <w:sz w:val="20"/>
          <w:szCs w:val="20"/>
          <w:color w:val="auto"/>
        </w:rPr>
      </w:pPr>
    </w:p>
    <w:p>
      <w:pPr>
        <w:jc w:val="both"/>
        <w:ind w:left="1304" w:hanging="656"/>
        <w:spacing w:after="0" w:line="251" w:lineRule="auto"/>
        <w:tabs>
          <w:tab w:leader="none" w:pos="13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General Liability Insurance (including Contractors’ Protective Liability) in an amount not less than $1,000,000 per occurrence, whether involving bodily injury liability (or death resulting therefrom) or property damage liability or a combination thereof and with a minimum aggregate limit of $2,000,000, which limits may be satisfied by any combination of primary and excess or umbrella per occurrence policies. Such insurance shall provide for explosion and collapse, independent contractors coverage, products and completed operations coverage and broad form blanket contractual liability coverage and shall insure for claims for bodily injury, including death resulting therefrom, and damage to the property of others and arising from operations of each of Tenant’s Design Professionals, and shall also name Tenant as an additional insured.</w:t>
      </w:r>
    </w:p>
    <w:p>
      <w:pPr>
        <w:spacing w:after="0" w:line="195" w:lineRule="exact"/>
        <w:rPr>
          <w:rFonts w:ascii="Times New Roman" w:cs="Times New Roman" w:eastAsia="Times New Roman" w:hAnsi="Times New Roman"/>
          <w:sz w:val="20"/>
          <w:szCs w:val="20"/>
          <w:color w:val="auto"/>
        </w:rPr>
      </w:pPr>
    </w:p>
    <w:p>
      <w:pPr>
        <w:jc w:val="both"/>
        <w:ind w:left="1304" w:hanging="656"/>
        <w:spacing w:after="0" w:line="257" w:lineRule="auto"/>
        <w:tabs>
          <w:tab w:leader="none" w:pos="1303" w:val="left"/>
        </w:tabs>
        <w:numPr>
          <w:ilvl w:val="1"/>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Professional Liability / Errors and Omissions Coverage in an amount not less than $1,000,000 per occurrence and with a minimum aggregate limit of $2,000,000. If such coverage is on a “claims made” basis, the insurance shall have a retroactive date of no later than the date the Tenant Work Plans were commenced and must be maintained for at least three years after the completion and acceptance of the work performed under this Work Letter. The retroactive date MUST be shown on the certificate of insurance provided.</w:t>
      </w:r>
    </w:p>
    <w:p>
      <w:pPr>
        <w:spacing w:after="0" w:line="186" w:lineRule="exact"/>
        <w:rPr>
          <w:rFonts w:ascii="Times New Roman" w:cs="Times New Roman" w:eastAsia="Times New Roman" w:hAnsi="Times New Roman"/>
          <w:sz w:val="20"/>
          <w:szCs w:val="20"/>
          <w:color w:val="auto"/>
        </w:rPr>
      </w:pPr>
    </w:p>
    <w:p>
      <w:pPr>
        <w:jc w:val="both"/>
        <w:ind w:left="644" w:hanging="644"/>
        <w:spacing w:after="0" w:line="251" w:lineRule="auto"/>
        <w:tabs>
          <w:tab w:leader="none" w:pos="6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policies required by Section 8.b and Section 8.c. (except the worker’s compensation policy and automobile liability insurance policy) shall be endorsed to include Landlord and any lender of Landlord or other party Landlord may reasonably require as additional insured party. Such insurance shall also provide that Tenant shall use commercially reasonable efforts so that Landlord and any lender of Landlord shall be given at least thirty (30) days’ prior written notice of any reduction, cancellation of coverage and, in the case of the Commercial General Liability Insurance, shall provide that the insurance coverage afforded to the additional insured parties thereunder shall be primary to any insurance carried independently by said additional insured parties. Additionally, where applicable, each policy shall contain a cross-liability and severability of interest clause.</w:t>
      </w:r>
    </w:p>
    <w:p>
      <w:pPr>
        <w:spacing w:after="0" w:line="208" w:lineRule="exact"/>
        <w:rPr>
          <w:rFonts w:ascii="Times New Roman" w:cs="Times New Roman" w:eastAsia="Times New Roman" w:hAnsi="Times New Roman"/>
          <w:sz w:val="20"/>
          <w:szCs w:val="20"/>
          <w:color w:val="auto"/>
        </w:rPr>
      </w:pPr>
    </w:p>
    <w:p>
      <w:pPr>
        <w:jc w:val="both"/>
        <w:ind w:left="644" w:hanging="644"/>
        <w:spacing w:after="0" w:line="253" w:lineRule="auto"/>
        <w:tabs>
          <w:tab w:leader="none" w:pos="63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insurance requirements set forth in Section 8.b and Section 8.c shall relate and be applicable solely in connection with the performance of the Tenant Work and preparation of the Tenant Work Plans. All other insurance requirements relating to Tenant and contractors, subcontractors, design professionals, engineers and vendors utilized by Tenant shall be set forth in the Lease or in the rules and regulations of the Building, but Landlord reserves the right to require any subsequent performance of the Tenant Work and/or modifications/revisions to the Tenant Work Plans to be effected in compliance with the insurance requirements set forth herein.</w:t>
      </w:r>
    </w:p>
    <w:p>
      <w:pPr>
        <w:sectPr>
          <w:pgSz w:w="11900" w:h="16838" w:orient="portrait"/>
          <w:cols w:equalWidth="0" w:num="1">
            <w:col w:w="10264"/>
          </w:cols>
          <w:pgMar w:left="976" w:top="1440" w:right="659" w:bottom="1440" w:gutter="0" w:footer="0" w:header="0"/>
        </w:sectPr>
      </w:pPr>
    </w:p>
    <w:bookmarkStart w:id="73" w:name="page74"/>
    <w:bookmarkEnd w:id="73"/>
    <w:p>
      <w:pPr>
        <w:spacing w:after="0" w:line="104" w:lineRule="exact"/>
        <w:rPr>
          <w:sz w:val="20"/>
          <w:szCs w:val="20"/>
          <w:color w:val="auto"/>
        </w:rPr>
      </w:pPr>
    </w:p>
    <w:p>
      <w:pPr>
        <w:ind w:left="652" w:hanging="652"/>
        <w:spacing w:after="0"/>
        <w:tabs>
          <w:tab w:leader="none" w:pos="65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Miscellaneous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1292" w:hanging="655"/>
        <w:spacing w:after="0" w:line="283" w:lineRule="auto"/>
        <w:tabs>
          <w:tab w:leader="none" w:pos="128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set forth herein or in the Lease, Landlord has no oral or written agreement with Tenant to do any work with respect to the Building or the Adjusted Premises.</w:t>
      </w:r>
    </w:p>
    <w:p>
      <w:pPr>
        <w:spacing w:after="0" w:line="159" w:lineRule="exact"/>
        <w:rPr>
          <w:rFonts w:ascii="Times New Roman" w:cs="Times New Roman" w:eastAsia="Times New Roman" w:hAnsi="Times New Roman"/>
          <w:sz w:val="20"/>
          <w:szCs w:val="20"/>
          <w:color w:val="auto"/>
        </w:rPr>
      </w:pPr>
    </w:p>
    <w:p>
      <w:pPr>
        <w:ind w:left="1292" w:hanging="655"/>
        <w:spacing w:after="0" w:line="283" w:lineRule="auto"/>
        <w:tabs>
          <w:tab w:leader="none" w:pos="128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consent, approval, demands and other communications under this Work Letter shall be in writing and shall be given in the same manner as notices under the Lease.</w:t>
      </w:r>
    </w:p>
    <w:p>
      <w:pPr>
        <w:spacing w:after="0" w:line="159" w:lineRule="exact"/>
        <w:rPr>
          <w:rFonts w:ascii="Times New Roman" w:cs="Times New Roman" w:eastAsia="Times New Roman" w:hAnsi="Times New Roman"/>
          <w:sz w:val="20"/>
          <w:szCs w:val="20"/>
          <w:color w:val="auto"/>
        </w:rPr>
      </w:pPr>
    </w:p>
    <w:p>
      <w:pPr>
        <w:jc w:val="both"/>
        <w:ind w:left="1292" w:hanging="655"/>
        <w:spacing w:after="0" w:line="258" w:lineRule="auto"/>
        <w:tabs>
          <w:tab w:leader="none" w:pos="128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 party is required to take any action within or by the end of a specific period of time described in this Work Letter with reference to a notice from the other party, the first Business Day of such period shall be the first Business Day after the Business Day on which such notice is received by all of the persons to whom such notice must be given as provided for in Section 9.b.</w:t>
      </w:r>
    </w:p>
    <w:p>
      <w:pPr>
        <w:spacing w:after="0" w:line="212" w:lineRule="exact"/>
        <w:rPr>
          <w:rFonts w:ascii="Times New Roman" w:cs="Times New Roman" w:eastAsia="Times New Roman" w:hAnsi="Times New Roman"/>
          <w:sz w:val="20"/>
          <w:szCs w:val="20"/>
          <w:color w:val="auto"/>
        </w:rPr>
      </w:pPr>
    </w:p>
    <w:p>
      <w:pPr>
        <w:ind w:left="1292" w:right="20" w:hanging="655"/>
        <w:spacing w:after="0" w:line="259" w:lineRule="auto"/>
        <w:tabs>
          <w:tab w:leader="none" w:pos="128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This Work Letter, together with the Lease, sets forth the entire agreement of Tenant and Landlord regarding the Tenant Work. This Work Letter may only be amended if in writing and duly executed by both Landlord and Tenant.</w:t>
      </w:r>
    </w:p>
    <w:p>
      <w:pPr>
        <w:spacing w:after="0" w:line="180" w:lineRule="exact"/>
        <w:rPr>
          <w:rFonts w:ascii="Times New Roman" w:cs="Times New Roman" w:eastAsia="Times New Roman" w:hAnsi="Times New Roman"/>
          <w:sz w:val="22"/>
          <w:szCs w:val="22"/>
          <w:color w:val="auto"/>
        </w:rPr>
      </w:pPr>
    </w:p>
    <w:p>
      <w:pPr>
        <w:jc w:val="both"/>
        <w:ind w:left="1292" w:hanging="655"/>
        <w:spacing w:after="0" w:line="253" w:lineRule="auto"/>
        <w:tabs>
          <w:tab w:leader="none" w:pos="1283"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Time is of the essence of this Work Letter and each and all of its provisions; provided, however, that wherever under the terms and provisions of this Work Letter the time for payment or performance falls upon a Saturday, Sunday or New Year’s Day, Martin Luther King Jr.’s Birthday, Memorial Day, Juneteenth, Independence Day, Labor Day, Thanksgiving Day, the day after Thanksgiving and Christmas Day, such time for payment or performance shall be extended to the next Business Day.</w:t>
      </w:r>
    </w:p>
    <w:p>
      <w:pPr>
        <w:spacing w:after="0" w:line="205" w:lineRule="exact"/>
        <w:rPr>
          <w:rFonts w:ascii="Times New Roman" w:cs="Times New Roman" w:eastAsia="Times New Roman" w:hAnsi="Times New Roman"/>
          <w:sz w:val="20"/>
          <w:szCs w:val="20"/>
          <w:color w:val="auto"/>
        </w:rPr>
      </w:pPr>
    </w:p>
    <w:p>
      <w:pPr>
        <w:jc w:val="both"/>
        <w:ind w:left="1292" w:hanging="655"/>
        <w:spacing w:after="0" w:line="258" w:lineRule="auto"/>
        <w:tabs>
          <w:tab w:leader="none" w:pos="128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express inconsistencies between the Lease and this Work Letter, the terms of the Work Letter shall govern and control. Any default by a party hereunder shall constitute a default under the Lease, and except to the extent otherwise expressly provided herein, shall be subject to the notice and cure periods and the remedies and other provisions applicable thereto under the Lease.</w:t>
      </w:r>
    </w:p>
    <w:p>
      <w:pPr>
        <w:sectPr>
          <w:pgSz w:w="11900" w:h="16838" w:orient="portrait"/>
          <w:cols w:equalWidth="0" w:num="1">
            <w:col w:w="10912"/>
          </w:cols>
          <w:pgMar w:left="328" w:top="1440" w:right="659" w:bottom="1440" w:gutter="0" w:footer="0" w:header="0"/>
        </w:sectPr>
      </w:pPr>
    </w:p>
    <w:bookmarkStart w:id="74" w:name="page75"/>
    <w:bookmarkEnd w:id="74"/>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550 WEST VAN BUREN STREET CHICAGO, ILLINOIS 60607</w:t>
      </w:r>
    </w:p>
    <w:p>
      <w:pPr>
        <w:spacing w:after="0" w:line="28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0"/>
          <w:szCs w:val="20"/>
          <w:b w:val="1"/>
          <w:bCs w:val="1"/>
          <w:color w:val="auto"/>
        </w:rPr>
        <w:t>EXHIBIT C TERMINATION FEE CALCULATION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660" w:type="dxa"/>
            <w:vAlign w:val="bottom"/>
          </w:tcPr>
          <w:p>
            <w:pPr>
              <w:spacing w:after="0"/>
              <w:rPr>
                <w:sz w:val="20"/>
                <w:szCs w:val="20"/>
                <w:color w:val="auto"/>
              </w:rPr>
            </w:pPr>
            <w:r>
              <w:rPr>
                <w:rFonts w:ascii="Arial" w:cs="Arial" w:eastAsia="Arial" w:hAnsi="Arial"/>
                <w:sz w:val="18"/>
                <w:szCs w:val="18"/>
                <w:color w:val="auto"/>
              </w:rPr>
              <w:t xml:space="preserve">Interest Rate:  </w:t>
            </w:r>
            <w:r>
              <w:rPr>
                <w:rFonts w:ascii="Arial" w:cs="Arial" w:eastAsia="Arial" w:hAnsi="Arial"/>
                <w:sz w:val="18"/>
                <w:szCs w:val="18"/>
                <w:b w:val="1"/>
                <w:bCs w:val="1"/>
                <w:color w:val="auto"/>
              </w:rPr>
              <w:t>7.00%</w:t>
            </w:r>
          </w:p>
        </w:tc>
        <w:tc>
          <w:tcPr>
            <w:tcW w:w="1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8660" w:type="dxa"/>
            <w:vAlign w:val="bottom"/>
          </w:tcPr>
          <w:p>
            <w:pPr>
              <w:ind w:left="460"/>
              <w:spacing w:after="0"/>
              <w:rPr>
                <w:sz w:val="20"/>
                <w:szCs w:val="20"/>
                <w:color w:val="auto"/>
              </w:rPr>
            </w:pPr>
            <w:r>
              <w:rPr>
                <w:rFonts w:ascii="Arial" w:cs="Arial" w:eastAsia="Arial" w:hAnsi="Arial"/>
                <w:sz w:val="18"/>
                <w:szCs w:val="18"/>
                <w:color w:val="auto"/>
              </w:rPr>
              <w:t>Commissions: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1,554,158.40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Tenant Improvement ($112.50 allowance):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9,300,150.00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Rent Abatement (8 months):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1,350,244.00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Cam &amp; Tax Abatement (8 months - Estimate):</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1,336,466.00</w:t>
            </w:r>
          </w:p>
        </w:tc>
        <w:tc>
          <w:tcPr>
            <w:tcW w:w="0" w:type="dxa"/>
            <w:vAlign w:val="bottom"/>
          </w:tcPr>
          <w:p>
            <w:pPr>
              <w:spacing w:after="0"/>
              <w:rPr>
                <w:sz w:val="1"/>
                <w:szCs w:val="1"/>
                <w:color w:val="auto"/>
              </w:rPr>
            </w:pPr>
          </w:p>
        </w:tc>
      </w:tr>
      <w:tr>
        <w:trPr>
          <w:trHeight w:val="23"/>
        </w:trPr>
        <w:tc>
          <w:tcPr>
            <w:tcW w:w="86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Tenant Concessions</w:t>
            </w: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8660" w:type="dxa"/>
            <w:vAlign w:val="bottom"/>
            <w:vMerge w:val="continue"/>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13,541,018.40</w:t>
            </w:r>
          </w:p>
        </w:tc>
        <w:tc>
          <w:tcPr>
            <w:tcW w:w="0" w:type="dxa"/>
            <w:vAlign w:val="bottom"/>
          </w:tcPr>
          <w:p>
            <w:pPr>
              <w:spacing w:after="0"/>
              <w:rPr>
                <w:sz w:val="1"/>
                <w:szCs w:val="1"/>
                <w:color w:val="auto"/>
              </w:rPr>
            </w:pPr>
          </w:p>
        </w:tc>
      </w:tr>
      <w:tr>
        <w:trPr>
          <w:trHeight w:val="519"/>
        </w:trPr>
        <w:tc>
          <w:tcPr>
            <w:tcW w:w="8660" w:type="dxa"/>
            <w:vAlign w:val="bottom"/>
          </w:tcPr>
          <w:p>
            <w:pPr>
              <w:ind w:left="460"/>
              <w:spacing w:after="0"/>
              <w:rPr>
                <w:sz w:val="20"/>
                <w:szCs w:val="20"/>
                <w:color w:val="auto"/>
              </w:rPr>
            </w:pPr>
            <w:r>
              <w:rPr>
                <w:rFonts w:ascii="Arial" w:cs="Arial" w:eastAsia="Arial" w:hAnsi="Arial"/>
                <w:sz w:val="18"/>
                <w:szCs w:val="18"/>
                <w:color w:val="auto"/>
              </w:rPr>
              <w:t>Lease Term (# of Years)</w:t>
            </w:r>
          </w:p>
        </w:tc>
        <w:tc>
          <w:tcPr>
            <w:tcW w:w="110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Remaining # of Yrs (Shortfall - yrs. 6 - 8)</w:t>
            </w:r>
          </w:p>
        </w:tc>
        <w:tc>
          <w:tcPr>
            <w:tcW w:w="110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Annual Amortization (Straight Lined)</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1,692,627.30</w:t>
            </w:r>
          </w:p>
        </w:tc>
        <w:tc>
          <w:tcPr>
            <w:tcW w:w="0" w:type="dxa"/>
            <w:vAlign w:val="bottom"/>
          </w:tcPr>
          <w:p>
            <w:pPr>
              <w:spacing w:after="0"/>
              <w:rPr>
                <w:sz w:val="1"/>
                <w:szCs w:val="1"/>
                <w:color w:val="auto"/>
              </w:rPr>
            </w:pPr>
          </w:p>
        </w:tc>
      </w:tr>
      <w:tr>
        <w:trPr>
          <w:trHeight w:val="23"/>
        </w:trPr>
        <w:tc>
          <w:tcPr>
            <w:tcW w:w="8660" w:type="dxa"/>
            <w:vAlign w:val="bottom"/>
            <w:vMerge w:val="restart"/>
          </w:tcPr>
          <w:p>
            <w:pPr>
              <w:ind w:left="460"/>
              <w:spacing w:after="0"/>
              <w:rPr>
                <w:sz w:val="20"/>
                <w:szCs w:val="20"/>
                <w:color w:val="auto"/>
              </w:rPr>
            </w:pPr>
            <w:r>
              <w:rPr>
                <w:rFonts w:ascii="Arial" w:cs="Arial" w:eastAsia="Arial" w:hAnsi="Arial"/>
                <w:sz w:val="18"/>
                <w:szCs w:val="18"/>
                <w:color w:val="auto"/>
              </w:rPr>
              <w:t>Unamortized Portion</w:t>
            </w:r>
          </w:p>
        </w:tc>
        <w:tc>
          <w:tcPr>
            <w:tcW w:w="1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8660" w:type="dxa"/>
            <w:vAlign w:val="bottom"/>
            <w:vMerge w:val="continue"/>
          </w:tcPr>
          <w:p>
            <w:pPr>
              <w:spacing w:after="0"/>
              <w:rPr>
                <w:sz w:val="24"/>
                <w:szCs w:val="24"/>
                <w:color w:val="auto"/>
              </w:rPr>
            </w:pPr>
          </w:p>
        </w:tc>
        <w:tc>
          <w:tcPr>
            <w:tcW w:w="1100" w:type="dxa"/>
            <w:vAlign w:val="bottom"/>
            <w:shd w:val="clear" w:color="auto" w:fill="BEBEB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BEBEBE"/>
          </w:tcPr>
          <w:p>
            <w:pPr>
              <w:jc w:val="right"/>
              <w:ind w:right="170"/>
              <w:spacing w:after="0"/>
              <w:rPr>
                <w:sz w:val="20"/>
                <w:szCs w:val="20"/>
                <w:color w:val="auto"/>
              </w:rPr>
            </w:pPr>
            <w:r>
              <w:rPr>
                <w:rFonts w:ascii="Arial" w:cs="Arial" w:eastAsia="Arial" w:hAnsi="Arial"/>
                <w:sz w:val="18"/>
                <w:szCs w:val="18"/>
                <w:color w:val="auto"/>
              </w:rPr>
              <w:t>5,077,881.90</w:t>
            </w:r>
          </w:p>
        </w:tc>
        <w:tc>
          <w:tcPr>
            <w:tcW w:w="0" w:type="dxa"/>
            <w:vAlign w:val="bottom"/>
          </w:tcPr>
          <w:p>
            <w:pPr>
              <w:spacing w:after="0"/>
              <w:rPr>
                <w:sz w:val="1"/>
                <w:szCs w:val="1"/>
                <w:color w:val="auto"/>
              </w:rPr>
            </w:pPr>
          </w:p>
        </w:tc>
      </w:tr>
      <w:tr>
        <w:trPr>
          <w:trHeight w:val="260"/>
        </w:trPr>
        <w:tc>
          <w:tcPr>
            <w:tcW w:w="8660" w:type="dxa"/>
            <w:vAlign w:val="bottom"/>
          </w:tcPr>
          <w:p>
            <w:pPr>
              <w:ind w:left="460"/>
              <w:spacing w:after="0"/>
              <w:rPr>
                <w:sz w:val="20"/>
                <w:szCs w:val="20"/>
                <w:color w:val="auto"/>
              </w:rPr>
            </w:pPr>
            <w:r>
              <w:rPr>
                <w:rFonts w:ascii="Arial" w:cs="Arial" w:eastAsia="Arial" w:hAnsi="Arial"/>
                <w:sz w:val="18"/>
                <w:szCs w:val="18"/>
                <w:color w:val="auto"/>
              </w:rPr>
              <w:t>Total Interest from Termination Date through end of Natural Expiration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1,066,355.20</w:t>
            </w:r>
          </w:p>
        </w:tc>
        <w:tc>
          <w:tcPr>
            <w:tcW w:w="0" w:type="dxa"/>
            <w:vAlign w:val="bottom"/>
          </w:tcPr>
          <w:p>
            <w:pPr>
              <w:spacing w:after="0"/>
              <w:rPr>
                <w:sz w:val="1"/>
                <w:szCs w:val="1"/>
                <w:color w:val="auto"/>
              </w:rPr>
            </w:pPr>
          </w:p>
        </w:tc>
      </w:tr>
      <w:tr>
        <w:trPr>
          <w:trHeight w:val="351"/>
        </w:trPr>
        <w:tc>
          <w:tcPr>
            <w:tcW w:w="8660" w:type="dxa"/>
            <w:vAlign w:val="bottom"/>
          </w:tcPr>
          <w:p>
            <w:pPr>
              <w:ind w:left="460"/>
              <w:spacing w:after="0"/>
              <w:rPr>
                <w:sz w:val="20"/>
                <w:szCs w:val="20"/>
                <w:color w:val="auto"/>
              </w:rPr>
            </w:pPr>
            <w:r>
              <w:rPr>
                <w:rFonts w:ascii="Arial" w:cs="Arial" w:eastAsia="Arial" w:hAnsi="Arial"/>
                <w:sz w:val="18"/>
                <w:szCs w:val="18"/>
                <w:color w:val="auto"/>
              </w:rPr>
              <w:t>Two months gross rent</w:t>
            </w:r>
          </w:p>
        </w:tc>
        <w:tc>
          <w:tcPr>
            <w:tcW w:w="1100" w:type="dxa"/>
            <w:vAlign w:val="bottom"/>
          </w:tcPr>
          <w:p>
            <w:pPr>
              <w:spacing w:after="0"/>
              <w:rPr>
                <w:sz w:val="24"/>
                <w:szCs w:val="24"/>
                <w:color w:val="auto"/>
              </w:rPr>
            </w:pP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  730,832.18</w:t>
            </w:r>
          </w:p>
        </w:tc>
        <w:tc>
          <w:tcPr>
            <w:tcW w:w="0" w:type="dxa"/>
            <w:vAlign w:val="bottom"/>
          </w:tcPr>
          <w:p>
            <w:pPr>
              <w:spacing w:after="0"/>
              <w:rPr>
                <w:sz w:val="1"/>
                <w:szCs w:val="1"/>
                <w:color w:val="auto"/>
              </w:rPr>
            </w:pPr>
          </w:p>
        </w:tc>
      </w:tr>
      <w:tr>
        <w:trPr>
          <w:trHeight w:val="23"/>
        </w:trPr>
        <w:tc>
          <w:tcPr>
            <w:tcW w:w="866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Total Termination Fee</w:t>
            </w:r>
          </w:p>
        </w:tc>
        <w:tc>
          <w:tcPr>
            <w:tcW w:w="1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8660" w:type="dxa"/>
            <w:vAlign w:val="bottom"/>
            <w:vMerge w:val="continue"/>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170"/>
              <w:spacing w:after="0"/>
              <w:rPr>
                <w:sz w:val="20"/>
                <w:szCs w:val="20"/>
                <w:color w:val="auto"/>
              </w:rPr>
            </w:pPr>
            <w:r>
              <w:rPr>
                <w:rFonts w:ascii="Arial" w:cs="Arial" w:eastAsia="Arial" w:hAnsi="Arial"/>
                <w:sz w:val="18"/>
                <w:szCs w:val="18"/>
                <w:b w:val="1"/>
                <w:bCs w:val="1"/>
                <w:color w:val="auto"/>
              </w:rPr>
              <w:t>6,875,069.28</w:t>
            </w: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75" w:name="page76"/>
    <w:bookmarkEnd w:id="75"/>
    <w:p>
      <w:pPr>
        <w:spacing w:after="0" w:line="19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550 WEST VAN BUREN STREET CHICAGO, ILLINOIS 60607</w:t>
      </w:r>
    </w:p>
    <w:p>
      <w:pPr>
        <w:spacing w:after="0" w:line="2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EXHIBIT D CONTRACTION FEE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8400" w:type="dxa"/>
            <w:vAlign w:val="bottom"/>
          </w:tcPr>
          <w:p>
            <w:pPr>
              <w:spacing w:after="0"/>
              <w:rPr>
                <w:sz w:val="20"/>
                <w:szCs w:val="20"/>
                <w:color w:val="auto"/>
              </w:rPr>
            </w:pPr>
            <w:r>
              <w:rPr>
                <w:rFonts w:ascii="Arial" w:cs="Arial" w:eastAsia="Arial" w:hAnsi="Arial"/>
                <w:sz w:val="18"/>
                <w:szCs w:val="18"/>
                <w:color w:val="auto"/>
              </w:rPr>
              <w:t>Interest Rate:</w:t>
            </w:r>
          </w:p>
        </w:tc>
        <w:tc>
          <w:tcPr>
            <w:tcW w:w="2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7.00%</w:t>
            </w:r>
          </w:p>
        </w:tc>
        <w:tc>
          <w:tcPr>
            <w:tcW w:w="0" w:type="dxa"/>
            <w:vAlign w:val="bottom"/>
          </w:tcPr>
          <w:p>
            <w:pPr>
              <w:spacing w:after="0"/>
              <w:rPr>
                <w:sz w:val="1"/>
                <w:szCs w:val="1"/>
                <w:color w:val="auto"/>
              </w:rPr>
            </w:pPr>
          </w:p>
        </w:tc>
      </w:tr>
      <w:tr>
        <w:trPr>
          <w:trHeight w:val="262"/>
        </w:trPr>
        <w:tc>
          <w:tcPr>
            <w:tcW w:w="8400" w:type="dxa"/>
            <w:vAlign w:val="bottom"/>
          </w:tcPr>
          <w:p>
            <w:pPr>
              <w:spacing w:after="0"/>
              <w:rPr>
                <w:sz w:val="20"/>
                <w:szCs w:val="20"/>
                <w:color w:val="auto"/>
              </w:rPr>
            </w:pPr>
            <w:r>
              <w:rPr>
                <w:rFonts w:ascii="Arial" w:cs="Arial" w:eastAsia="Arial" w:hAnsi="Arial"/>
                <w:sz w:val="18"/>
                <w:szCs w:val="18"/>
                <w:color w:val="auto"/>
              </w:rPr>
              <w:t>Commissions:</w:t>
            </w:r>
          </w:p>
        </w:tc>
        <w:tc>
          <w:tcPr>
            <w:tcW w:w="1220" w:type="dxa"/>
            <w:vAlign w:val="bottom"/>
            <w:vMerge w:val="restart"/>
          </w:tcPr>
          <w:p>
            <w:pPr>
              <w:jc w:val="center"/>
              <w:ind w:left="9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388,539.60</w:t>
            </w:r>
          </w:p>
        </w:tc>
        <w:tc>
          <w:tcPr>
            <w:tcW w:w="0" w:type="dxa"/>
            <w:vAlign w:val="bottom"/>
          </w:tcPr>
          <w:p>
            <w:pPr>
              <w:spacing w:after="0"/>
              <w:rPr>
                <w:sz w:val="1"/>
                <w:szCs w:val="1"/>
                <w:color w:val="auto"/>
              </w:rPr>
            </w:pPr>
          </w:p>
        </w:tc>
      </w:tr>
      <w:tr>
        <w:trPr>
          <w:trHeight w:val="94"/>
        </w:trPr>
        <w:tc>
          <w:tcPr>
            <w:tcW w:w="84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8400" w:type="dxa"/>
            <w:vAlign w:val="bottom"/>
          </w:tcPr>
          <w:p>
            <w:pPr>
              <w:spacing w:after="0"/>
              <w:rPr>
                <w:sz w:val="20"/>
                <w:szCs w:val="20"/>
                <w:color w:val="auto"/>
              </w:rPr>
            </w:pPr>
            <w:r>
              <w:rPr>
                <w:rFonts w:ascii="Arial" w:cs="Arial" w:eastAsia="Arial" w:hAnsi="Arial"/>
                <w:sz w:val="18"/>
                <w:szCs w:val="18"/>
                <w:color w:val="auto"/>
              </w:rPr>
              <w:t>Tenant Improvement ($112.50 allowance):</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2,325,037.50</w:t>
            </w:r>
          </w:p>
        </w:tc>
        <w:tc>
          <w:tcPr>
            <w:tcW w:w="0" w:type="dxa"/>
            <w:vAlign w:val="bottom"/>
          </w:tcPr>
          <w:p>
            <w:pPr>
              <w:spacing w:after="0"/>
              <w:rPr>
                <w:sz w:val="1"/>
                <w:szCs w:val="1"/>
                <w:color w:val="auto"/>
              </w:rPr>
            </w:pPr>
          </w:p>
        </w:tc>
      </w:tr>
      <w:tr>
        <w:trPr>
          <w:trHeight w:val="351"/>
        </w:trPr>
        <w:tc>
          <w:tcPr>
            <w:tcW w:w="8400" w:type="dxa"/>
            <w:vAlign w:val="bottom"/>
          </w:tcPr>
          <w:p>
            <w:pPr>
              <w:spacing w:after="0"/>
              <w:rPr>
                <w:sz w:val="20"/>
                <w:szCs w:val="20"/>
                <w:color w:val="auto"/>
              </w:rPr>
            </w:pPr>
            <w:r>
              <w:rPr>
                <w:rFonts w:ascii="Arial" w:cs="Arial" w:eastAsia="Arial" w:hAnsi="Arial"/>
                <w:sz w:val="18"/>
                <w:szCs w:val="18"/>
                <w:color w:val="auto"/>
              </w:rPr>
              <w:t>Rent Abatement (8 months):</w:t>
            </w:r>
          </w:p>
        </w:tc>
        <w:tc>
          <w:tcPr>
            <w:tcW w:w="1220" w:type="dxa"/>
            <w:vAlign w:val="bottom"/>
          </w:tcPr>
          <w:p>
            <w:pPr>
              <w:jc w:val="center"/>
              <w:ind w:left="9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337,561.00</w:t>
            </w:r>
          </w:p>
        </w:tc>
        <w:tc>
          <w:tcPr>
            <w:tcW w:w="0" w:type="dxa"/>
            <w:vAlign w:val="bottom"/>
          </w:tcPr>
          <w:p>
            <w:pPr>
              <w:spacing w:after="0"/>
              <w:rPr>
                <w:sz w:val="1"/>
                <w:szCs w:val="1"/>
                <w:color w:val="auto"/>
              </w:rPr>
            </w:pPr>
          </w:p>
        </w:tc>
      </w:tr>
      <w:tr>
        <w:trPr>
          <w:trHeight w:val="354"/>
        </w:trPr>
        <w:tc>
          <w:tcPr>
            <w:tcW w:w="8400" w:type="dxa"/>
            <w:vAlign w:val="bottom"/>
          </w:tcPr>
          <w:p>
            <w:pPr>
              <w:spacing w:after="0"/>
              <w:rPr>
                <w:sz w:val="20"/>
                <w:szCs w:val="20"/>
                <w:color w:val="auto"/>
              </w:rPr>
            </w:pPr>
            <w:r>
              <w:rPr>
                <w:rFonts w:ascii="Arial" w:cs="Arial" w:eastAsia="Arial" w:hAnsi="Arial"/>
                <w:sz w:val="18"/>
                <w:szCs w:val="18"/>
                <w:color w:val="auto"/>
              </w:rPr>
              <w:t>Cam &amp; Tax Abatement (8 months - Estimate):</w:t>
            </w:r>
          </w:p>
        </w:tc>
        <w:tc>
          <w:tcPr>
            <w:tcW w:w="12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334,116.50</w:t>
            </w:r>
          </w:p>
        </w:tc>
        <w:tc>
          <w:tcPr>
            <w:tcW w:w="0" w:type="dxa"/>
            <w:vAlign w:val="bottom"/>
          </w:tcPr>
          <w:p>
            <w:pPr>
              <w:spacing w:after="0"/>
              <w:rPr>
                <w:sz w:val="1"/>
                <w:szCs w:val="1"/>
                <w:color w:val="auto"/>
              </w:rPr>
            </w:pPr>
          </w:p>
        </w:tc>
      </w:tr>
      <w:tr>
        <w:trPr>
          <w:trHeight w:val="268"/>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Tenant Concessions</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8"/>
              </w:rPr>
              <w:t>3,385,254.60</w:t>
            </w:r>
          </w:p>
        </w:tc>
        <w:tc>
          <w:tcPr>
            <w:tcW w:w="0" w:type="dxa"/>
            <w:vAlign w:val="bottom"/>
          </w:tcPr>
          <w:p>
            <w:pPr>
              <w:spacing w:after="0"/>
              <w:rPr>
                <w:sz w:val="1"/>
                <w:szCs w:val="1"/>
                <w:color w:val="auto"/>
              </w:rPr>
            </w:pPr>
          </w:p>
        </w:tc>
      </w:tr>
      <w:tr>
        <w:trPr>
          <w:trHeight w:val="519"/>
        </w:trPr>
        <w:tc>
          <w:tcPr>
            <w:tcW w:w="8400" w:type="dxa"/>
            <w:vAlign w:val="bottom"/>
          </w:tcPr>
          <w:p>
            <w:pPr>
              <w:spacing w:after="0"/>
              <w:rPr>
                <w:sz w:val="20"/>
                <w:szCs w:val="20"/>
                <w:color w:val="auto"/>
              </w:rPr>
            </w:pPr>
            <w:r>
              <w:rPr>
                <w:rFonts w:ascii="Arial" w:cs="Arial" w:eastAsia="Arial" w:hAnsi="Arial"/>
                <w:sz w:val="18"/>
                <w:szCs w:val="18"/>
                <w:color w:val="auto"/>
              </w:rPr>
              <w:t>Lease Term (# of Years)</w:t>
            </w:r>
          </w:p>
        </w:tc>
        <w:tc>
          <w:tcPr>
            <w:tcW w:w="1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364"/>
        </w:trPr>
        <w:tc>
          <w:tcPr>
            <w:tcW w:w="8400" w:type="dxa"/>
            <w:vAlign w:val="bottom"/>
          </w:tcPr>
          <w:p>
            <w:pPr>
              <w:spacing w:after="0"/>
              <w:rPr>
                <w:sz w:val="20"/>
                <w:szCs w:val="20"/>
                <w:color w:val="auto"/>
              </w:rPr>
            </w:pPr>
            <w:r>
              <w:rPr>
                <w:rFonts w:ascii="Arial" w:cs="Arial" w:eastAsia="Arial" w:hAnsi="Arial"/>
                <w:sz w:val="18"/>
                <w:szCs w:val="18"/>
                <w:color w:val="auto"/>
              </w:rPr>
              <w:t>Remaining # of Yrs (Shortfall - yrs. 6 - 8)</w:t>
            </w:r>
          </w:p>
        </w:tc>
        <w:tc>
          <w:tcPr>
            <w:tcW w:w="1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351"/>
        </w:trPr>
        <w:tc>
          <w:tcPr>
            <w:tcW w:w="8400" w:type="dxa"/>
            <w:vAlign w:val="bottom"/>
          </w:tcPr>
          <w:p>
            <w:pPr>
              <w:spacing w:after="0"/>
              <w:rPr>
                <w:sz w:val="20"/>
                <w:szCs w:val="20"/>
                <w:color w:val="auto"/>
              </w:rPr>
            </w:pPr>
            <w:r>
              <w:rPr>
                <w:rFonts w:ascii="Arial" w:cs="Arial" w:eastAsia="Arial" w:hAnsi="Arial"/>
                <w:sz w:val="18"/>
                <w:szCs w:val="18"/>
                <w:color w:val="auto"/>
              </w:rPr>
              <w:t>Annual Amortization (Straight Lined)</w:t>
            </w:r>
          </w:p>
        </w:tc>
        <w:tc>
          <w:tcPr>
            <w:tcW w:w="1220" w:type="dxa"/>
            <w:vAlign w:val="bottom"/>
          </w:tcPr>
          <w:p>
            <w:pPr>
              <w:jc w:val="center"/>
              <w:ind w:left="9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423,156.83</w:t>
            </w:r>
          </w:p>
        </w:tc>
        <w:tc>
          <w:tcPr>
            <w:tcW w:w="0" w:type="dxa"/>
            <w:vAlign w:val="bottom"/>
          </w:tcPr>
          <w:p>
            <w:pPr>
              <w:spacing w:after="0"/>
              <w:rPr>
                <w:sz w:val="1"/>
                <w:szCs w:val="1"/>
                <w:color w:val="auto"/>
              </w:rPr>
            </w:pPr>
          </w:p>
        </w:tc>
      </w:tr>
      <w:tr>
        <w:trPr>
          <w:trHeight w:val="293"/>
        </w:trPr>
        <w:tc>
          <w:tcPr>
            <w:tcW w:w="8400" w:type="dxa"/>
            <w:vAlign w:val="bottom"/>
          </w:tcPr>
          <w:p>
            <w:pPr>
              <w:spacing w:after="0"/>
              <w:rPr>
                <w:sz w:val="20"/>
                <w:szCs w:val="20"/>
                <w:color w:val="auto"/>
              </w:rPr>
            </w:pPr>
            <w:r>
              <w:rPr>
                <w:rFonts w:ascii="Arial" w:cs="Arial" w:eastAsia="Arial" w:hAnsi="Arial"/>
                <w:sz w:val="18"/>
                <w:szCs w:val="18"/>
                <w:color w:val="auto"/>
              </w:rPr>
              <w:t>Unamortized Portion</w:t>
            </w:r>
          </w:p>
        </w:tc>
        <w:tc>
          <w:tcPr>
            <w:tcW w:w="1220" w:type="dxa"/>
            <w:vAlign w:val="bottom"/>
            <w:shd w:val="clear" w:color="auto" w:fill="BEBEBE"/>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BEBEBE"/>
          </w:tcPr>
          <w:p>
            <w:pPr>
              <w:jc w:val="right"/>
              <w:spacing w:after="0"/>
              <w:rPr>
                <w:sz w:val="20"/>
                <w:szCs w:val="20"/>
                <w:color w:val="auto"/>
              </w:rPr>
            </w:pPr>
            <w:r>
              <w:rPr>
                <w:rFonts w:ascii="Arial" w:cs="Arial" w:eastAsia="Arial" w:hAnsi="Arial"/>
                <w:sz w:val="18"/>
                <w:szCs w:val="18"/>
                <w:color w:val="auto"/>
                <w:w w:val="98"/>
              </w:rPr>
              <w:t>1,269,470.48</w:t>
            </w:r>
          </w:p>
        </w:tc>
        <w:tc>
          <w:tcPr>
            <w:tcW w:w="0" w:type="dxa"/>
            <w:vAlign w:val="bottom"/>
          </w:tcPr>
          <w:p>
            <w:pPr>
              <w:spacing w:after="0"/>
              <w:rPr>
                <w:sz w:val="1"/>
                <w:szCs w:val="1"/>
                <w:color w:val="auto"/>
              </w:rPr>
            </w:pPr>
          </w:p>
        </w:tc>
      </w:tr>
      <w:tr>
        <w:trPr>
          <w:trHeight w:val="260"/>
        </w:trPr>
        <w:tc>
          <w:tcPr>
            <w:tcW w:w="8400" w:type="dxa"/>
            <w:vAlign w:val="bottom"/>
          </w:tcPr>
          <w:p>
            <w:pPr>
              <w:spacing w:after="0"/>
              <w:rPr>
                <w:sz w:val="20"/>
                <w:szCs w:val="20"/>
                <w:color w:val="auto"/>
              </w:rPr>
            </w:pPr>
            <w:r>
              <w:rPr>
                <w:rFonts w:ascii="Arial" w:cs="Arial" w:eastAsia="Arial" w:hAnsi="Arial"/>
                <w:sz w:val="18"/>
                <w:szCs w:val="18"/>
                <w:color w:val="auto"/>
              </w:rPr>
              <w:t>Total Interest from Termination Date through end of Natural Expiration</w:t>
            </w:r>
          </w:p>
        </w:tc>
        <w:tc>
          <w:tcPr>
            <w:tcW w:w="1220" w:type="dxa"/>
            <w:vAlign w:val="bottom"/>
          </w:tcPr>
          <w:p>
            <w:pPr>
              <w:jc w:val="center"/>
              <w:ind w:left="9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266,588.80</w:t>
            </w:r>
          </w:p>
        </w:tc>
        <w:tc>
          <w:tcPr>
            <w:tcW w:w="0" w:type="dxa"/>
            <w:vAlign w:val="bottom"/>
          </w:tcPr>
          <w:p>
            <w:pPr>
              <w:spacing w:after="0"/>
              <w:rPr>
                <w:sz w:val="1"/>
                <w:szCs w:val="1"/>
                <w:color w:val="auto"/>
              </w:rPr>
            </w:pPr>
          </w:p>
        </w:tc>
      </w:tr>
      <w:tr>
        <w:trPr>
          <w:trHeight w:val="368"/>
        </w:trPr>
        <w:tc>
          <w:tcPr>
            <w:tcW w:w="8400" w:type="dxa"/>
            <w:vAlign w:val="bottom"/>
          </w:tcPr>
          <w:p>
            <w:pPr>
              <w:spacing w:after="0"/>
              <w:rPr>
                <w:sz w:val="20"/>
                <w:szCs w:val="20"/>
                <w:color w:val="auto"/>
              </w:rPr>
            </w:pPr>
            <w:r>
              <w:rPr>
                <w:rFonts w:ascii="Arial" w:cs="Arial" w:eastAsia="Arial" w:hAnsi="Arial"/>
                <w:sz w:val="18"/>
                <w:szCs w:val="18"/>
                <w:color w:val="auto"/>
              </w:rPr>
              <w:t>Two months gross rent</w:t>
            </w:r>
          </w:p>
        </w:tc>
        <w:tc>
          <w:tcPr>
            <w:tcW w:w="1220" w:type="dxa"/>
            <w:vAlign w:val="bottom"/>
            <w:tcBorders>
              <w:bottom w:val="single" w:sz="8" w:color="auto"/>
            </w:tcBorders>
          </w:tcPr>
          <w:p>
            <w:pPr>
              <w:jc w:val="center"/>
              <w:ind w:left="9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462,161.18</w:t>
            </w:r>
          </w:p>
        </w:tc>
        <w:tc>
          <w:tcPr>
            <w:tcW w:w="0" w:type="dxa"/>
            <w:vAlign w:val="bottom"/>
          </w:tcPr>
          <w:p>
            <w:pPr>
              <w:spacing w:after="0"/>
              <w:rPr>
                <w:sz w:val="1"/>
                <w:szCs w:val="1"/>
                <w:color w:val="auto"/>
              </w:rPr>
            </w:pPr>
          </w:p>
        </w:tc>
      </w:tr>
      <w:tr>
        <w:trPr>
          <w:trHeight w:val="255"/>
        </w:trPr>
        <w:tc>
          <w:tcPr>
            <w:tcW w:w="8400" w:type="dxa"/>
            <w:vAlign w:val="bottom"/>
          </w:tcPr>
          <w:p>
            <w:pPr>
              <w:spacing w:after="0"/>
              <w:rPr>
                <w:sz w:val="20"/>
                <w:szCs w:val="20"/>
                <w:color w:val="auto"/>
              </w:rPr>
            </w:pPr>
            <w:r>
              <w:rPr>
                <w:rFonts w:ascii="Arial" w:cs="Arial" w:eastAsia="Arial" w:hAnsi="Arial"/>
                <w:sz w:val="18"/>
                <w:szCs w:val="18"/>
                <w:b w:val="1"/>
                <w:bCs w:val="1"/>
                <w:color w:val="auto"/>
              </w:rPr>
              <w:t>Total Termination Fee</w:t>
            </w: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w w:val="98"/>
              </w:rPr>
              <w:t>1,998,220.45</w:t>
            </w:r>
          </w:p>
        </w:tc>
        <w:tc>
          <w:tcPr>
            <w:tcW w:w="0" w:type="dxa"/>
            <w:vAlign w:val="bottom"/>
          </w:tcPr>
          <w:p>
            <w:pPr>
              <w:spacing w:after="0"/>
              <w:rPr>
                <w:sz w:val="1"/>
                <w:szCs w:val="1"/>
                <w:color w:val="auto"/>
              </w:rPr>
            </w:pPr>
          </w:p>
        </w:tc>
      </w:tr>
    </w:tbl>
    <w:p>
      <w:pPr>
        <w:sectPr>
          <w:pgSz w:w="11900" w:h="16838" w:orient="portrait"/>
          <w:cols w:equalWidth="0" w:num="1">
            <w:col w:w="10700"/>
          </w:cols>
          <w:pgMar w:left="860" w:top="1440" w:right="339" w:bottom="1440" w:gutter="0" w:footer="0" w:header="0"/>
        </w:sectPr>
      </w:pPr>
    </w:p>
    <w:bookmarkStart w:id="76" w:name="page77"/>
    <w:bookmarkEnd w:id="76"/>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550 WEST VAN BUREN STREET CHICAGO, ILLINOIS 60607</w:t>
      </w:r>
    </w:p>
    <w:p>
      <w:pPr>
        <w:sectPr>
          <w:pgSz w:w="11900" w:h="16838" w:orient="portrait"/>
          <w:cols w:equalWidth="0" w:num="1">
            <w:col w:w="9019"/>
          </w:cols>
          <w:pgMar w:left="1440" w:top="1440" w:right="1440" w:bottom="1440" w:gutter="0" w:footer="0" w:header="0"/>
        </w:sectPr>
      </w:pPr>
    </w:p>
    <w:p>
      <w:pPr>
        <w:spacing w:after="0" w:line="2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EXHIBIT E BUILDING LOBBY SIGNAGE</w:t>
      </w:r>
    </w:p>
    <w:p>
      <w:pPr>
        <w:sectPr>
          <w:pgSz w:w="11900" w:h="16838" w:orient="portrait"/>
          <w:cols w:equalWidth="0" w:num="1">
            <w:col w:w="9019"/>
          </w:cols>
          <w:pgMar w:left="1440" w:top="1440" w:right="1440" w:bottom="1440" w:gutter="0" w:footer="0" w:header="0"/>
          <w:type w:val="continuous"/>
        </w:sectPr>
      </w:pPr>
    </w:p>
    <w:bookmarkStart w:id="77" w:name="page78"/>
    <w:bookmarkEnd w:id="77"/>
    <w:p>
      <w:pPr>
        <w:spacing w:after="0" w:line="1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550 WEST VAN BUREN STREET CHICAGO, ILLINOIS 60607</w:t>
      </w:r>
    </w:p>
    <w:p>
      <w:pPr>
        <w:spacing w:after="0" w:line="2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EXHIBIT F BUILDING IMPROVEMENTS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Scope of Work.</w:t>
      </w:r>
    </w:p>
    <w:p>
      <w:pPr>
        <w:spacing w:after="0" w:line="301" w:lineRule="exact"/>
        <w:rPr>
          <w:sz w:val="20"/>
          <w:szCs w:val="20"/>
          <w:color w:val="auto"/>
        </w:rPr>
      </w:pPr>
    </w:p>
    <w:p>
      <w:pPr>
        <w:ind w:right="800"/>
        <w:spacing w:after="0" w:line="283" w:lineRule="auto"/>
        <w:rPr>
          <w:sz w:val="20"/>
          <w:szCs w:val="20"/>
          <w:color w:val="auto"/>
        </w:rPr>
      </w:pPr>
      <w:r>
        <w:rPr>
          <w:rFonts w:ascii="Times New Roman" w:cs="Times New Roman" w:eastAsia="Times New Roman" w:hAnsi="Times New Roman"/>
          <w:sz w:val="20"/>
          <w:szCs w:val="20"/>
          <w:color w:val="auto"/>
        </w:rPr>
        <w:t>Landlord shall, perform certain improvements and renovations within the Building’s main lobby, as defined herein as the Building Improvements, which shall consist of the following elements:</w:t>
      </w:r>
    </w:p>
    <w:p>
      <w:pPr>
        <w:spacing w:after="0" w:line="200"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Removal of existing elevator lobby light fixtures;</w:t>
      </w:r>
    </w:p>
    <w:p>
      <w:pPr>
        <w:spacing w:after="0" w:line="2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Replacement of elevator lobby light fixtures;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Installation of new freestanding drywall ‘canvas’ for future mural or other art instalment;</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Implementation of new interior lobby furniture;</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Implementation of new exterior furniture; and</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New paint coat for drywall locations, including ceiling;</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Standard of Work.</w:t>
      </w:r>
    </w:p>
    <w:p>
      <w:pPr>
        <w:spacing w:after="0" w:line="301" w:lineRule="exact"/>
        <w:rPr>
          <w:sz w:val="20"/>
          <w:szCs w:val="20"/>
          <w:color w:val="auto"/>
        </w:rPr>
      </w:pPr>
    </w:p>
    <w:p>
      <w:pPr>
        <w:ind w:right="440"/>
        <w:spacing w:after="0" w:line="283" w:lineRule="auto"/>
        <w:rPr>
          <w:sz w:val="20"/>
          <w:szCs w:val="20"/>
          <w:color w:val="auto"/>
        </w:rPr>
      </w:pPr>
      <w:r>
        <w:rPr>
          <w:rFonts w:ascii="Times New Roman" w:cs="Times New Roman" w:eastAsia="Times New Roman" w:hAnsi="Times New Roman"/>
          <w:sz w:val="20"/>
          <w:szCs w:val="20"/>
          <w:color w:val="auto"/>
        </w:rPr>
        <w:t>The Building Improvements shall be performed in a good and workmanlike manner, in accordance with all applicable laws, codes, and regulations, and using materials and finishes of a quality consistent with similar office buildings in the Chicago market.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Construction Management; Changes.</w:t>
      </w:r>
    </w:p>
    <w:p>
      <w:pPr>
        <w:spacing w:after="0" w:line="30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9"/>
          <w:szCs w:val="19"/>
          <w:color w:val="auto"/>
        </w:rPr>
        <w:t>Landlord shall have sole control over the design, procurement, and construction of the Building Improvements. Any material changes to the Building Improvements that would materially impair tenant access or building operations shall require prior written notice to Tenant. Tenant shall not have approval rights over the Building Improvements except to the extent such work prevents Tenant’s access to the Premises.</w:t>
      </w:r>
    </w:p>
    <w:p>
      <w:pPr>
        <w:sectPr>
          <w:pgSz w:w="11900" w:h="16838" w:orient="portrait"/>
          <w:cols w:equalWidth="0" w:num="1">
            <w:col w:w="11080"/>
          </w:cols>
          <w:pgMar w:left="320" w:top="1440" w:right="499" w:bottom="1440" w:gutter="0" w:footer="0" w:header="0"/>
        </w:sectPr>
      </w:pPr>
    </w:p>
    <w:bookmarkStart w:id="78" w:name="page79"/>
    <w:bookmarkEnd w:id="78"/>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550 WEST VAN BUREN STREET CHICAGO, ILLINOIS 60607</w:t>
      </w:r>
    </w:p>
    <w:p>
      <w:pPr>
        <w:sectPr>
          <w:pgSz w:w="11900" w:h="16838" w:orient="portrait"/>
          <w:cols w:equalWidth="0" w:num="1">
            <w:col w:w="9019"/>
          </w:cols>
          <w:pgMar w:left="1440" w:top="1440" w:right="1440"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G</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LOBBY SECURITY DESK NOTICE</w:t>
      </w:r>
    </w:p>
    <w:p>
      <w:pPr>
        <w:sectPr>
          <w:pgSz w:w="11900" w:h="16838" w:orient="portrait"/>
          <w:cols w:equalWidth="0" w:num="1">
            <w:col w:w="9019"/>
          </w:cols>
          <w:pgMar w:left="1440" w:top="1440" w:right="1440" w:bottom="1440" w:gutter="0" w:footer="0" w:header="0"/>
          <w:type w:val="continuous"/>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C. Mark Hussey, certify that:</w:t>
      </w:r>
    </w:p>
    <w:p>
      <w:pPr>
        <w:spacing w:after="0" w:line="63"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8"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80" w:hanging="328"/>
        <w:spacing w:after="0" w:line="268"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75"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8" w:lineRule="exact"/>
        <w:rPr>
          <w:sz w:val="20"/>
          <w:szCs w:val="20"/>
          <w:color w:val="auto"/>
        </w:rPr>
      </w:pPr>
    </w:p>
    <w:p>
      <w:pPr>
        <w:ind w:left="20"/>
        <w:spacing w:after="0"/>
        <w:tabs>
          <w:tab w:leader="none" w:pos="1660" w:val="left"/>
          <w:tab w:leader="none" w:pos="7020" w:val="left"/>
          <w:tab w:leader="none" w:pos="8340" w:val="left"/>
          <w:tab w:leader="none" w:pos="8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17780</wp:posOffset>
            </wp:positionV>
            <wp:extent cx="23914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17780</wp:posOffset>
            </wp:positionV>
            <wp:extent cx="12172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 Mark Hussey</w:t>
      </w:r>
    </w:p>
    <w:p>
      <w:pPr>
        <w:spacing w:after="0" w:line="32" w:lineRule="exact"/>
        <w:rPr>
          <w:sz w:val="20"/>
          <w:szCs w:val="20"/>
          <w:color w:val="auto"/>
        </w:rPr>
      </w:pPr>
    </w:p>
    <w:p>
      <w:pPr>
        <w:jc w:val="center"/>
        <w:ind w:left="73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40"/>
          </w:cols>
          <w:pgMar w:left="320" w:top="890"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left="340" w:right="254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Huron Consulting Group Inc.;</w:t>
      </w:r>
    </w:p>
    <w:p>
      <w:pPr>
        <w:spacing w:after="0" w:line="63" w:lineRule="exact"/>
        <w:rPr>
          <w:rFonts w:ascii="Arial" w:cs="Arial" w:eastAsia="Arial" w:hAnsi="Arial"/>
          <w:sz w:val="18"/>
          <w:szCs w:val="18"/>
          <w:color w:val="auto"/>
        </w:rPr>
      </w:pPr>
    </w:p>
    <w:p>
      <w:pPr>
        <w:ind w:left="340" w:right="60" w:hanging="332"/>
        <w:spacing w:after="0" w:line="268" w:lineRule="auto"/>
        <w:tabs>
          <w:tab w:leader="none" w:pos="3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 w:lineRule="exact"/>
        <w:rPr>
          <w:rFonts w:ascii="Arial" w:cs="Arial" w:eastAsia="Arial" w:hAnsi="Arial"/>
          <w:sz w:val="18"/>
          <w:szCs w:val="18"/>
          <w:color w:val="auto"/>
        </w:rPr>
      </w:pPr>
    </w:p>
    <w:p>
      <w:pPr>
        <w:ind w:left="340" w:right="160" w:hanging="332"/>
        <w:spacing w:after="0" w:line="298" w:lineRule="auto"/>
        <w:tabs>
          <w:tab w:leader="none" w:pos="3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140" w:hanging="332"/>
        <w:spacing w:after="0" w:line="276" w:lineRule="auto"/>
        <w:tabs>
          <w:tab w:leader="none" w:pos="3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45" w:lineRule="exact"/>
        <w:rPr>
          <w:rFonts w:ascii="Arial" w:cs="Arial" w:eastAsia="Arial" w:hAnsi="Arial"/>
          <w:sz w:val="17"/>
          <w:szCs w:val="17"/>
          <w:color w:val="auto"/>
        </w:rPr>
      </w:pPr>
    </w:p>
    <w:p>
      <w:pPr>
        <w:ind w:left="660" w:right="60" w:hanging="328"/>
        <w:spacing w:after="0" w:line="268" w:lineRule="auto"/>
        <w:tabs>
          <w:tab w:leader="none" w:pos="6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Arial" w:cs="Arial" w:eastAsia="Arial" w:hAnsi="Arial"/>
          <w:sz w:val="18"/>
          <w:szCs w:val="18"/>
          <w:color w:val="auto"/>
        </w:rPr>
      </w:pPr>
    </w:p>
    <w:p>
      <w:pPr>
        <w:ind w:left="660" w:right="120" w:hanging="328"/>
        <w:spacing w:after="0" w:line="268" w:lineRule="auto"/>
        <w:tabs>
          <w:tab w:leader="none" w:pos="6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Arial" w:cs="Arial" w:eastAsia="Arial" w:hAnsi="Arial"/>
          <w:sz w:val="18"/>
          <w:szCs w:val="18"/>
          <w:color w:val="auto"/>
        </w:rPr>
      </w:pPr>
    </w:p>
    <w:p>
      <w:pPr>
        <w:ind w:left="660" w:right="60" w:hanging="328"/>
        <w:spacing w:after="0" w:line="268" w:lineRule="auto"/>
        <w:tabs>
          <w:tab w:leader="none" w:pos="678"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Arial" w:cs="Arial" w:eastAsia="Arial" w:hAnsi="Arial"/>
          <w:sz w:val="18"/>
          <w:szCs w:val="18"/>
          <w:color w:val="auto"/>
        </w:rPr>
      </w:pPr>
    </w:p>
    <w:p>
      <w:pPr>
        <w:ind w:left="660" w:right="380" w:hanging="328"/>
        <w:spacing w:after="0" w:line="268" w:lineRule="auto"/>
        <w:tabs>
          <w:tab w:leader="none" w:pos="6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Arial" w:cs="Arial" w:eastAsia="Arial" w:hAnsi="Arial"/>
          <w:sz w:val="18"/>
          <w:szCs w:val="18"/>
          <w:color w:val="auto"/>
        </w:rPr>
      </w:pPr>
    </w:p>
    <w:p>
      <w:pPr>
        <w:ind w:left="340" w:right="100" w:hanging="332"/>
        <w:spacing w:after="0" w:line="268" w:lineRule="auto"/>
        <w:tabs>
          <w:tab w:leader="none" w:pos="3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Arial" w:cs="Arial" w:eastAsia="Arial" w:hAnsi="Arial"/>
          <w:sz w:val="18"/>
          <w:szCs w:val="18"/>
          <w:color w:val="auto"/>
        </w:rPr>
      </w:pPr>
    </w:p>
    <w:p>
      <w:pPr>
        <w:ind w:left="660" w:right="240" w:hanging="328"/>
        <w:spacing w:after="0" w:line="281" w:lineRule="auto"/>
        <w:tabs>
          <w:tab w:leader="none" w:pos="6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80" w:hanging="328"/>
        <w:spacing w:after="0" w:line="287" w:lineRule="auto"/>
        <w:tabs>
          <w:tab w:leader="none" w:pos="6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1" w:lineRule="exact"/>
        <w:rPr>
          <w:sz w:val="20"/>
          <w:szCs w:val="20"/>
          <w:color w:val="auto"/>
        </w:rPr>
      </w:pPr>
    </w:p>
    <w:p>
      <w:pPr>
        <w:ind w:left="20"/>
        <w:spacing w:after="0"/>
        <w:tabs>
          <w:tab w:leader="none" w:pos="1660" w:val="left"/>
          <w:tab w:leader="none" w:pos="7020" w:val="left"/>
          <w:tab w:leader="none" w:pos="8440" w:val="left"/>
          <w:tab w:leader="none" w:pos="8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17780</wp:posOffset>
            </wp:positionV>
            <wp:extent cx="23914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39141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17780</wp:posOffset>
            </wp:positionV>
            <wp:extent cx="12172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spacing w:after="0" w:line="9"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Executive Vice President,</w:t>
      </w:r>
    </w:p>
    <w:p>
      <w:pPr>
        <w:ind w:left="784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40"/>
          </w:cols>
          <w:pgMar w:left="320" w:top="89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04"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2026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spacing w:after="0" w:line="122" w:lineRule="exact"/>
        <w:rPr>
          <w:sz w:val="20"/>
          <w:szCs w:val="20"/>
          <w:color w:val="auto"/>
        </w:rPr>
      </w:pPr>
    </w:p>
    <w:p>
      <w:pPr>
        <w:ind w:left="840" w:hanging="346"/>
        <w:spacing w:after="0"/>
        <w:tabs>
          <w:tab w:leader="none" w:pos="8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p>
      <w:pPr>
        <w:ind w:left="20"/>
        <w:spacing w:after="0"/>
        <w:tabs>
          <w:tab w:leader="none" w:pos="1660" w:val="left"/>
          <w:tab w:leader="none" w:pos="7020" w:val="left"/>
          <w:tab w:leader="none" w:pos="8320" w:val="left"/>
          <w:tab w:leader="none" w:pos="8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24003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12172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C. Mark Hussey</w:t>
      </w:r>
    </w:p>
    <w:p>
      <w:pPr>
        <w:spacing w:after="0" w:line="32" w:lineRule="exact"/>
        <w:rPr>
          <w:sz w:val="20"/>
          <w:szCs w:val="20"/>
          <w:color w:val="auto"/>
        </w:rPr>
      </w:pPr>
    </w:p>
    <w:p>
      <w:pPr>
        <w:jc w:val="center"/>
        <w:ind w:left="7360"/>
        <w:spacing w:after="0"/>
        <w:rPr>
          <w:sz w:val="20"/>
          <w:szCs w:val="20"/>
          <w:color w:val="auto"/>
        </w:rPr>
      </w:pPr>
      <w:r>
        <w:rPr>
          <w:rFonts w:ascii="Arial" w:cs="Arial" w:eastAsia="Arial" w:hAnsi="Arial"/>
          <w:sz w:val="18"/>
          <w:szCs w:val="18"/>
          <w:color w:val="auto"/>
        </w:rPr>
        <w:t>Chief Executive Officer and President</w:t>
      </w:r>
    </w:p>
    <w:p>
      <w:pPr>
        <w:spacing w:after="0" w:line="162"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240"/>
          </w:cols>
          <w:pgMar w:left="320" w:top="890"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340" w:right="2580"/>
        <w:spacing w:after="0" w:line="273"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04" w:lineRule="exact"/>
        <w:rPr>
          <w:sz w:val="20"/>
          <w:szCs w:val="20"/>
          <w:color w:val="auto"/>
        </w:rPr>
      </w:pPr>
    </w:p>
    <w:p>
      <w:pPr>
        <w:ind w:right="80" w:firstLine="486"/>
        <w:spacing w:after="0" w:line="262" w:lineRule="auto"/>
        <w:rPr>
          <w:sz w:val="20"/>
          <w:szCs w:val="20"/>
          <w:color w:val="auto"/>
        </w:rPr>
      </w:pPr>
      <w:r>
        <w:rPr>
          <w:rFonts w:ascii="Arial" w:cs="Arial" w:eastAsia="Arial" w:hAnsi="Arial"/>
          <w:sz w:val="18"/>
          <w:szCs w:val="18"/>
          <w:color w:val="auto"/>
        </w:rPr>
        <w:t>In connection with the Quarterly Report of Huron Consulting Group Inc. (the "Company") on Form 10-Q for the quarter ended March 31, 2026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122" w:lineRule="exact"/>
        <w:rPr>
          <w:sz w:val="20"/>
          <w:szCs w:val="20"/>
          <w:color w:val="auto"/>
        </w:rPr>
      </w:pPr>
    </w:p>
    <w:p>
      <w:pPr>
        <w:ind w:left="840" w:hanging="346"/>
        <w:spacing w:after="0"/>
        <w:tabs>
          <w:tab w:leader="none" w:pos="8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40" w:hanging="326"/>
        <w:spacing w:after="0" w:line="287" w:lineRule="auto"/>
        <w:tabs>
          <w:tab w:leader="none" w:pos="835"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72" w:lineRule="exact"/>
        <w:rPr>
          <w:sz w:val="20"/>
          <w:szCs w:val="20"/>
          <w:color w:val="auto"/>
        </w:rPr>
      </w:pPr>
    </w:p>
    <w:p>
      <w:pPr>
        <w:ind w:left="20"/>
        <w:spacing w:after="0"/>
        <w:tabs>
          <w:tab w:leader="none" w:pos="1660" w:val="left"/>
          <w:tab w:leader="none" w:pos="7020" w:val="left"/>
          <w:tab w:leader="none" w:pos="8440" w:val="left"/>
          <w:tab w:leader="none" w:pos="8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17780</wp:posOffset>
            </wp:positionV>
            <wp:extent cx="24003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003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17780</wp:posOffset>
            </wp:positionV>
            <wp:extent cx="12172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John D. Kelly</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Executive Vice President,</w:t>
      </w:r>
    </w:p>
    <w:p>
      <w:pPr>
        <w:ind w:left="7840"/>
        <w:spacing w:after="0"/>
        <w:rPr>
          <w:sz w:val="20"/>
          <w:szCs w:val="20"/>
          <w:color w:val="auto"/>
        </w:rPr>
      </w:pPr>
      <w:r>
        <w:rPr>
          <w:rFonts w:ascii="Arial" w:cs="Arial" w:eastAsia="Arial" w:hAnsi="Arial"/>
          <w:sz w:val="18"/>
          <w:szCs w:val="18"/>
          <w:color w:val="auto"/>
        </w:rPr>
        <w:t>Chief Financial Officer and Treasurer</w:t>
      </w:r>
    </w:p>
    <w:p>
      <w:pPr>
        <w:spacing w:after="0" w:line="16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22" w:lineRule="exact"/>
        <w:rPr>
          <w:sz w:val="20"/>
          <w:szCs w:val="20"/>
          <w:color w:val="auto"/>
        </w:rPr>
      </w:pPr>
    </w:p>
    <w:p>
      <w:pPr>
        <w:ind w:right="80" w:firstLine="486"/>
        <w:spacing w:after="0" w:line="28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1)"/>
      <w:numFmt w:val="lowerRoman"/>
      <w:start w:val="1"/>
    </w:lvl>
  </w:abstractNum>
  <w:abstractNum w:abstractNumId="2">
    <w:nsid w:val="2A487CB0"/>
    <w:multiLevelType w:val="hybridMultilevel"/>
    <w:lvl w:ilvl="0">
      <w:lvlJc w:val="left"/>
      <w:lvlText w:val="(%1)"/>
      <w:numFmt w:val="decimal"/>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1)"/>
      <w:numFmt w:val="decimal"/>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1)"/>
      <w:numFmt w:val="decimal"/>
      <w:start w:val="1"/>
    </w:lvl>
  </w:abstractNum>
  <w:abstractNum w:abstractNumId="14">
    <w:nsid w:val="684A481A"/>
    <w:multiLevelType w:val="hybridMultilevel"/>
    <w:lvl w:ilvl="0">
      <w:lvlJc w:val="left"/>
      <w:lvlText w:val="(%1)"/>
      <w:numFmt w:val="decimal"/>
      <w:start w:val="4"/>
    </w:lvl>
  </w:abstractNum>
  <w:abstractNum w:abstractNumId="15">
    <w:nsid w:val="579478FE"/>
    <w:multiLevelType w:val="hybridMultilevel"/>
    <w:lvl w:ilvl="0">
      <w:lvlJc w:val="left"/>
      <w:lvlText w:val="(%1)"/>
      <w:numFmt w:val="decimal"/>
      <w:start w:val="5"/>
    </w:lvl>
  </w:abstractNum>
  <w:abstractNum w:abstractNumId="16">
    <w:nsid w:val="749ABB43"/>
    <w:multiLevelType w:val="hybridMultilevel"/>
    <w:lvl w:ilvl="0">
      <w:lvlJc w:val="left"/>
      <w:lvlText w:val="(%1)"/>
      <w:numFmt w:val="decimal"/>
      <w:start w:val="6"/>
    </w:lvl>
  </w:abstractNum>
  <w:abstractNum w:abstractNumId="17">
    <w:nsid w:val="3DC240FB"/>
    <w:multiLevelType w:val="hybridMultilevel"/>
    <w:lvl w:ilvl="0">
      <w:lvlJc w:val="left"/>
      <w:lvlText w:val="(%1)"/>
      <w:numFmt w:val="decimal"/>
      <w:start w:val="7"/>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1)"/>
      <w:numFmt w:val="lowerRoman"/>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2"/>
    </w:lvl>
  </w:abstractNum>
  <w:abstractNum w:abstractNumId="26">
    <w:nsid w:val="23F9C13C"/>
    <w:multiLevelType w:val="hybridMultilevel"/>
    <w:lvl w:ilvl="0">
      <w:lvlJc w:val="left"/>
      <w:lvlText w:val="%1."/>
      <w:numFmt w:val="decimal"/>
      <w:start w:val="3"/>
    </w:lvl>
  </w:abstractNum>
  <w:abstractNum w:abstractNumId="27">
    <w:nsid w:val="649BB77C"/>
    <w:multiLevelType w:val="hybridMultilevel"/>
    <w:lvl w:ilvl="0">
      <w:lvlJc w:val="left"/>
      <w:lvlText w:val="%1."/>
      <w:numFmt w:val="decimal"/>
      <w:start w:val="4"/>
    </w:lvl>
  </w:abstractNum>
  <w:abstractNum w:abstractNumId="28">
    <w:nsid w:val="275AC794"/>
    <w:multiLevelType w:val="hybridMultilevel"/>
    <w:lvl w:ilvl="0">
      <w:lvlJc w:val="left"/>
      <w:lvlText w:val="%1."/>
      <w:numFmt w:val="upperLetter"/>
      <w:start w:val="1"/>
    </w:lvl>
  </w:abstractNum>
  <w:abstractNum w:abstractNumId="29">
    <w:nsid w:val="39386575"/>
    <w:multiLevelType w:val="hybridMultilevel"/>
    <w:lvl w:ilvl="0">
      <w:lvlJc w:val="left"/>
      <w:lvlText w:val="%1."/>
      <w:numFmt w:val="decimal"/>
      <w:start w:val="1"/>
    </w:lvl>
    <w:lvl w:ilvl="1">
      <w:lvlJc w:val="left"/>
      <w:lvlText w:val="(%2)"/>
      <w:numFmt w:val="lowerLetter"/>
      <w:start w:val="1"/>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decimal"/>
      <w:start w:val="3"/>
    </w:lvl>
    <w:lvl w:ilvl="1">
      <w:lvlJc w:val="left"/>
      <w:lvlText w:val="(%2)"/>
      <w:numFmt w:val="lowerLetter"/>
      <w:start w:val="1"/>
    </w:lvl>
  </w:abstractNum>
  <w:abstractNum w:abstractNumId="32">
    <w:nsid w:val="235BA861"/>
    <w:multiLevelType w:val="hybridMultilevel"/>
    <w:lvl w:ilvl="0">
      <w:lvlJc w:val="left"/>
      <w:lvlText w:val="%1"/>
      <w:numFmt w:val="decimal"/>
      <w:start w:val="1"/>
    </w:lvl>
    <w:lvl w:ilvl="1">
      <w:lvlJc w:val="left"/>
      <w:lvlText w:val="(%2)"/>
      <w:numFmt w:val="lowerLetter"/>
      <w:start w:val="2"/>
    </w:lvl>
  </w:abstractNum>
  <w:abstractNum w:abstractNumId="33">
    <w:nsid w:val="47398C89"/>
    <w:multiLevelType w:val="hybridMultilevel"/>
    <w:lvl w:ilvl="0">
      <w:lvlJc w:val="left"/>
      <w:lvlText w:val="%1."/>
      <w:numFmt w:val="decimal"/>
      <w:start w:val="4"/>
    </w:lvl>
    <w:lvl w:ilvl="1">
      <w:lvlJc w:val="left"/>
      <w:lvlText w:val="(%2)"/>
      <w:numFmt w:val="lowerLetter"/>
      <w:start w:val="1"/>
    </w:lvl>
  </w:abstractNum>
  <w:abstractNum w:abstractNumId="34">
    <w:nsid w:val="354FE9F9"/>
    <w:multiLevelType w:val="hybridMultilevel"/>
    <w:lvl w:ilvl="0">
      <w:lvlJc w:val="left"/>
      <w:lvlText w:val="(%1)"/>
      <w:numFmt w:val="lowerLetter"/>
      <w:start w:val="2"/>
    </w:lvl>
  </w:abstractNum>
  <w:abstractNum w:abstractNumId="35">
    <w:nsid w:val="15B5AF5C"/>
    <w:multiLevelType w:val="hybridMultilevel"/>
    <w:lvl w:ilvl="0">
      <w:lvlJc w:val="left"/>
      <w:lvlText w:val="%1."/>
      <w:numFmt w:val="decimal"/>
      <w:start w:val="5"/>
    </w:lvl>
  </w:abstractNum>
  <w:abstractNum w:abstractNumId="36">
    <w:nsid w:val="741226BB"/>
    <w:multiLevelType w:val="hybridMultilevel"/>
    <w:lvl w:ilvl="0">
      <w:lvlJc w:val="left"/>
      <w:lvlText w:val="%1"/>
      <w:numFmt w:val="decimal"/>
      <w:start w:val="1"/>
    </w:lvl>
    <w:lvl w:ilvl="1">
      <w:lvlJc w:val="left"/>
      <w:lvlText w:val="(%2)"/>
      <w:numFmt w:val="lowerLetter"/>
      <w:start w:val="1"/>
    </w:lvl>
  </w:abstractNum>
  <w:abstractNum w:abstractNumId="37">
    <w:nsid w:val="D34B6A8"/>
    <w:multiLevelType w:val="hybridMultilevel"/>
    <w:lvl w:ilvl="0">
      <w:lvlJc w:val="left"/>
      <w:lvlText w:val="%1."/>
      <w:numFmt w:val="decimal"/>
      <w:start w:val="7"/>
    </w:lvl>
    <w:lvl w:ilvl="1">
      <w:lvlJc w:val="left"/>
      <w:lvlText w:val="(%2)"/>
      <w:numFmt w:val="lowerLetter"/>
      <w:start w:val="1"/>
    </w:lvl>
  </w:abstractNum>
  <w:abstractNum w:abstractNumId="38">
    <w:nsid w:val="10233C99"/>
    <w:multiLevelType w:val="hybridMultilevel"/>
    <w:lvl w:ilvl="0">
      <w:lvlJc w:val="left"/>
      <w:lvlText w:val="(%1)"/>
      <w:numFmt w:val="lowerLetter"/>
      <w:start w:val="3"/>
    </w:lvl>
    <w:lvl w:ilvl="1">
      <w:lvlJc w:val="left"/>
      <w:lvlText w:val="(%2)"/>
      <w:numFmt w:val="lowerRoman"/>
      <w:start w:val="1"/>
    </w:lvl>
  </w:abstractNum>
  <w:abstractNum w:abstractNumId="39">
    <w:nsid w:val="3F6AB60F"/>
    <w:multiLevelType w:val="hybridMultilevel"/>
    <w:lvl w:ilvl="0">
      <w:lvlJc w:val="left"/>
      <w:lvlText w:val="(%1)"/>
      <w:numFmt w:val="lowerRoman"/>
      <w:start w:val="4"/>
    </w:lvl>
  </w:abstractNum>
  <w:abstractNum w:abstractNumId="40">
    <w:nsid w:val="61574095"/>
    <w:multiLevelType w:val="hybridMultilevel"/>
    <w:lvl w:ilvl="0">
      <w:lvlJc w:val="left"/>
      <w:lvlText w:val="(%1)"/>
      <w:numFmt w:val="lowerRoman"/>
      <w:start w:val="5"/>
    </w:lvl>
  </w:abstractNum>
  <w:abstractNum w:abstractNumId="41">
    <w:nsid w:val="7E0C57B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42">
    <w:nsid w:val="77AE35EB"/>
    <w:multiLevelType w:val="hybridMultilevel"/>
    <w:lvl w:ilvl="0">
      <w:lvlJc w:val="left"/>
      <w:lvlText w:val="(%1)"/>
      <w:numFmt w:val="lowerRoman"/>
      <w:start w:val="2"/>
    </w:lvl>
  </w:abstractNum>
  <w:abstractNum w:abstractNumId="43">
    <w:nsid w:val="579BE4F1"/>
    <w:multiLevelType w:val="hybridMultilevel"/>
    <w:lvl w:ilvl="0">
      <w:lvlJc w:val="left"/>
      <w:lvlText w:val="(%1)"/>
      <w:numFmt w:val="lowerRoman"/>
      <w:start w:val="4"/>
    </w:lvl>
  </w:abstractNum>
  <w:abstractNum w:abstractNumId="44">
    <w:nsid w:val="310C50B3"/>
    <w:multiLevelType w:val="hybridMultilevel"/>
    <w:lvl w:ilvl="0">
      <w:lvlJc w:val="left"/>
      <w:lvlText w:val="%1"/>
      <w:numFmt w:val="decimal"/>
      <w:start w:val="1"/>
    </w:lvl>
    <w:lvl w:ilvl="1">
      <w:lvlJc w:val="left"/>
      <w:lvlText w:val="(%2)"/>
      <w:numFmt w:val="lowerLetter"/>
      <w:start w:val="2"/>
    </w:lvl>
  </w:abstractNum>
  <w:abstractNum w:abstractNumId="45">
    <w:nsid w:val="5FF87E05"/>
    <w:multiLevelType w:val="hybridMultilevel"/>
    <w:lvl w:ilvl="0">
      <w:lvlJc w:val="left"/>
      <w:lvlText w:val="%1."/>
      <w:numFmt w:val="decimal"/>
      <w:start w:val="9"/>
    </w:lvl>
    <w:lvl w:ilvl="1">
      <w:lvlJc w:val="left"/>
      <w:lvlText w:val="%2"/>
      <w:numFmt w:val="lowerLetter"/>
      <w:start w:val="1"/>
    </w:lvl>
  </w:abstractNum>
  <w:abstractNum w:abstractNumId="46">
    <w:nsid w:val="2F305DEF"/>
    <w:multiLevelType w:val="hybridMultilevel"/>
    <w:lvl w:ilvl="0">
      <w:lvlJc w:val="left"/>
      <w:lvlText w:val="(%1)"/>
      <w:numFmt w:val="lowerLetter"/>
      <w:start w:val="1"/>
    </w:lvl>
    <w:lvl w:ilvl="1">
      <w:lvlJc w:val="left"/>
      <w:lvlText w:val="(%2)"/>
      <w:numFmt w:val="lowerRoman"/>
      <w:start w:val="1"/>
    </w:lvl>
  </w:abstractNum>
  <w:abstractNum w:abstractNumId="47">
    <w:nsid w:val="25A70BF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8">
    <w:nsid w:val="1DBABF00"/>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49">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50">
    <w:nsid w:val="1F48EAA1"/>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1">
    <w:nsid w:val="1381823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52">
    <w:nsid w:val="5DB70AE5"/>
    <w:multiLevelType w:val="hybridMultilevel"/>
    <w:lvl w:ilvl="0">
      <w:lvlJc w:val="left"/>
      <w:lvlText w:val="%1."/>
      <w:numFmt w:val="decimal"/>
      <w:start w:val="11"/>
    </w:lvl>
    <w:lvl w:ilvl="1">
      <w:lvlJc w:val="left"/>
      <w:lvlText w:val="(%2)"/>
      <w:numFmt w:val="lowerLetter"/>
      <w:start w:val="1"/>
    </w:lvl>
  </w:abstractNum>
  <w:abstractNum w:abstractNumId="53">
    <w:nsid w:val="100F8FCA"/>
    <w:multiLevelType w:val="hybridMultilevel"/>
    <w:lvl w:ilvl="0">
      <w:lvlJc w:val="left"/>
      <w:lvlText w:val="%1."/>
      <w:numFmt w:val="decimal"/>
      <w:start w:val="12"/>
    </w:lvl>
    <w:lvl w:ilvl="1">
      <w:lvlJc w:val="left"/>
      <w:lvlText w:val="(%2)"/>
      <w:numFmt w:val="lowerLetter"/>
      <w:start w:val="1"/>
    </w:lvl>
  </w:abstractNum>
  <w:abstractNum w:abstractNumId="54">
    <w:nsid w:val="6590700B"/>
    <w:multiLevelType w:val="hybridMultilevel"/>
    <w:lvl w:ilvl="0">
      <w:lvlJc w:val="left"/>
      <w:lvlText w:val="%1."/>
      <w:numFmt w:val="decimal"/>
      <w:start w:val="14"/>
    </w:lvl>
    <w:lvl w:ilvl="1">
      <w:lvlJc w:val="left"/>
      <w:lvlText w:val="(%2)"/>
      <w:numFmt w:val="lowerLetter"/>
      <w:start w:val="1"/>
    </w:lvl>
  </w:abstractNum>
  <w:abstractNum w:abstractNumId="55">
    <w:nsid w:val="15014ACB"/>
    <w:multiLevelType w:val="hybridMultilevel"/>
    <w:lvl w:ilvl="0">
      <w:lvlJc w:val="left"/>
      <w:lvlText w:val="%1"/>
      <w:numFmt w:val="decimal"/>
      <w:start w:val="1"/>
    </w:lvl>
    <w:lvl w:ilvl="1">
      <w:lvlJc w:val="left"/>
      <w:lvlText w:val="(%2)"/>
      <w:numFmt w:val="lowerLetter"/>
      <w:start w:val="3"/>
    </w:lvl>
  </w:abstractNum>
  <w:abstractNum w:abstractNumId="56">
    <w:nsid w:val="5F5E7FD0"/>
    <w:multiLevelType w:val="hybridMultilevel"/>
    <w:lvl w:ilvl="0">
      <w:lvlJc w:val="left"/>
      <w:lvlText w:val="%1."/>
      <w:numFmt w:val="decimal"/>
      <w:start w:val="15"/>
    </w:lvl>
    <w:lvl w:ilvl="1">
      <w:lvlJc w:val="left"/>
      <w:lvlText w:val="%2"/>
      <w:numFmt w:val="lowerLetter"/>
      <w:start w:val="1"/>
    </w:lvl>
  </w:abstractNum>
  <w:abstractNum w:abstractNumId="57">
    <w:nsid w:val="98A3148"/>
    <w:multiLevelType w:val="hybridMultilevel"/>
    <w:lvl w:ilvl="0">
      <w:lvlJc w:val="left"/>
      <w:lvlText w:val="%1"/>
      <w:numFmt w:val="decimal"/>
      <w:start w:val="1"/>
    </w:lvl>
    <w:lvl w:ilvl="1">
      <w:lvlJc w:val="left"/>
      <w:lvlText w:val="(%2)"/>
      <w:numFmt w:val="lowerLetter"/>
      <w:start w:val="1"/>
    </w:lvl>
  </w:abstractNum>
  <w:abstractNum w:abstractNumId="58">
    <w:nsid w:val="799D0247"/>
    <w:multiLevelType w:val="hybridMultilevel"/>
    <w:lvl w:ilvl="0">
      <w:lvlJc w:val="left"/>
      <w:lvlText w:val="%1."/>
      <w:numFmt w:val="decimal"/>
      <w:start w:val="18"/>
    </w:lvl>
    <w:lvl w:ilvl="1">
      <w:lvlJc w:val="left"/>
      <w:lvlText w:val="(%2)"/>
      <w:numFmt w:val="lowerLetter"/>
      <w:start w:val="1"/>
    </w:lvl>
  </w:abstractNum>
  <w:abstractNum w:abstractNumId="59">
    <w:nsid w:val="6B94764"/>
    <w:multiLevelType w:val="hybridMultilevel"/>
    <w:lvl w:ilvl="0">
      <w:lvlJc w:val="left"/>
      <w:lvlText w:val="%1."/>
      <w:numFmt w:val="decimal"/>
      <w:start w:val="19"/>
    </w:lvl>
    <w:lvl w:ilvl="1">
      <w:lvlJc w:val="left"/>
      <w:lvlText w:val="(%2)"/>
      <w:numFmt w:val="lowerLetter"/>
      <w:start w:val="1"/>
    </w:lvl>
  </w:abstractNum>
  <w:abstractNum w:abstractNumId="60">
    <w:nsid w:val="42C296BD"/>
    <w:multiLevelType w:val="hybridMultilevel"/>
    <w:lvl w:ilvl="0">
      <w:lvlJc w:val="left"/>
      <w:lvlText w:val="%1"/>
      <w:numFmt w:val="decimal"/>
      <w:start w:val="1"/>
    </w:lvl>
    <w:lvl w:ilvl="1">
      <w:lvlJc w:val="left"/>
      <w:lvlText w:val="(%2)"/>
      <w:numFmt w:val="lowerLetter"/>
      <w:start w:val="2"/>
    </w:lvl>
  </w:abstractNum>
  <w:abstractNum w:abstractNumId="61">
    <w:nsid w:val="168E121F"/>
    <w:multiLevelType w:val="hybridMultilevel"/>
    <w:lvl w:ilvl="0">
      <w:lvlJc w:val="left"/>
      <w:lvlText w:val="%1."/>
      <w:numFmt w:val="decimal"/>
      <w:start w:val="24"/>
    </w:lvl>
    <w:lvl w:ilvl="1">
      <w:lvlJc w:val="left"/>
      <w:lvlText w:val="%2"/>
      <w:numFmt w:val="lowerLetter"/>
      <w:start w:val="1"/>
    </w:lvl>
  </w:abstractNum>
  <w:abstractNum w:abstractNumId="62">
    <w:nsid w:val="1EBA5D23"/>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63">
    <w:nsid w:val="661E3F1E"/>
    <w:multiLevelType w:val="hybridMultilevel"/>
    <w:lvl w:ilvl="0">
      <w:lvlJc w:val="left"/>
      <w:lvlText w:val="%1"/>
      <w:numFmt w:val="lowerLetter"/>
      <w:start w:val="1"/>
    </w:lvl>
    <w:lvl w:ilvl="1">
      <w:lvlJc w:val="left"/>
      <w:lvlText w:val="%2."/>
      <w:numFmt w:val="decimal"/>
      <w:start w:val="3"/>
    </w:lvl>
  </w:abstractNum>
  <w:abstractNum w:abstractNumId="64">
    <w:nsid w:val="5DC79EA8"/>
    <w:multiLevelType w:val="hybridMultilevel"/>
    <w:lvl w:ilvl="0">
      <w:lvlJc w:val="left"/>
      <w:lvlText w:val="%1."/>
      <w:numFmt w:val="lowerLetter"/>
      <w:start w:val="2"/>
    </w:lvl>
    <w:lvl w:ilvl="1">
      <w:lvlJc w:val="left"/>
      <w:lvlText w:val="%2."/>
      <w:numFmt w:val="decimal"/>
      <w:start w:val="1"/>
    </w:lvl>
  </w:abstractNum>
  <w:abstractNum w:abstractNumId="65">
    <w:nsid w:val="540A471C"/>
    <w:multiLevelType w:val="hybridMultilevel"/>
    <w:lvl w:ilvl="0">
      <w:lvlJc w:val="left"/>
      <w:lvlText w:val="%1."/>
      <w:numFmt w:val="lowerLetter"/>
      <w:start w:val="7"/>
    </w:lvl>
  </w:abstractNum>
  <w:abstractNum w:abstractNumId="66">
    <w:nsid w:val="7BD3EE7B"/>
    <w:multiLevelType w:val="hybridMultilevel"/>
    <w:lvl w:ilvl="0">
      <w:lvlJc w:val="left"/>
      <w:lvlText w:val="%1"/>
      <w:numFmt w:val="decimal"/>
      <w:start w:val="1"/>
    </w:lvl>
    <w:lvl w:ilvl="1">
      <w:lvlJc w:val="left"/>
      <w:lvlText w:val="%2."/>
      <w:numFmt w:val="lowerLetter"/>
      <w:start w:val="12"/>
    </w:lvl>
    <w:lvl w:ilvl="2">
      <w:lvlJc w:val="left"/>
      <w:lvlText w:val="(%3)"/>
      <w:numFmt w:val="decimal"/>
      <w:start w:val="5"/>
    </w:lvl>
  </w:abstractNum>
  <w:abstractNum w:abstractNumId="67">
    <w:nsid w:val="51D9C56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8">
    <w:nsid w:val="613EFDC5"/>
    <w:multiLevelType w:val="hybridMultilevel"/>
    <w:lvl w:ilvl="0">
      <w:lvlJc w:val="left"/>
      <w:lvlText w:val="%1"/>
      <w:numFmt w:val="decimal"/>
      <w:start w:val="1"/>
    </w:lvl>
    <w:lvl w:ilvl="1">
      <w:lvlJc w:val="left"/>
      <w:lvlText w:val="%2."/>
      <w:numFmt w:val="lowerLetter"/>
      <w:start w:val="15"/>
    </w:lvl>
    <w:lvl w:ilvl="2">
      <w:lvlJc w:val="left"/>
      <w:lvlText w:val="%3"/>
      <w:numFmt w:val="decimal"/>
      <w:start w:val="1"/>
    </w:lvl>
  </w:abstractNum>
  <w:abstractNum w:abstractNumId="69">
    <w:nsid w:val="BF72B14"/>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70">
    <w:nsid w:val="11447B73"/>
    <w:multiLevelType w:val="hybridMultilevel"/>
    <w:lvl w:ilvl="0">
      <w:lvlJc w:val="left"/>
      <w:lvlText w:val="%1."/>
      <w:numFmt w:val="lowerLetter"/>
      <w:start w:val="1"/>
    </w:lvl>
    <w:lvl w:ilvl="1">
      <w:lvlJc w:val="left"/>
      <w:lvlText w:val="%2."/>
      <w:numFmt w:val="decimal"/>
      <w:start w:val="1"/>
    </w:lvl>
  </w:abstractNum>
  <w:abstractNum w:abstractNumId="71">
    <w:nsid w:val="42963E5A"/>
    <w:multiLevelType w:val="hybridMultilevel"/>
    <w:lvl w:ilvl="0">
      <w:lvlJc w:val="left"/>
      <w:lvlText w:val="%1"/>
      <w:numFmt w:val="decimal"/>
      <w:start w:val="1"/>
    </w:lvl>
    <w:lvl w:ilvl="1">
      <w:lvlJc w:val="left"/>
      <w:lvlText w:val="%2."/>
      <w:numFmt w:val="lowerLetter"/>
      <w:start w:val="4"/>
    </w:lvl>
  </w:abstractNum>
  <w:abstractNum w:abstractNumId="72">
    <w:nsid w:val="A0382C5"/>
    <w:multiLevelType w:val="hybridMultilevel"/>
    <w:lvl w:ilvl="0">
      <w:lvlJc w:val="left"/>
      <w:lvlText w:val="%1."/>
      <w:numFmt w:val="decimal"/>
      <w:start w:val="4"/>
    </w:lvl>
    <w:lvl w:ilvl="1">
      <w:lvlJc w:val="left"/>
      <w:lvlText w:val="%2."/>
      <w:numFmt w:val="lowerLetter"/>
      <w:start w:val="1"/>
    </w:lvl>
  </w:abstractNum>
  <w:abstractNum w:abstractNumId="73">
    <w:nsid w:val="8F2B15E"/>
    <w:multiLevelType w:val="hybridMultilevel"/>
    <w:lvl w:ilvl="0">
      <w:lvlJc w:val="left"/>
      <w:lvlText w:val="%1."/>
      <w:numFmt w:val="decimal"/>
      <w:start w:val="5"/>
    </w:lvl>
    <w:lvl w:ilvl="1">
      <w:lvlJc w:val="left"/>
      <w:lvlText w:val="%2."/>
      <w:numFmt w:val="lowerLetter"/>
      <w:start w:val="1"/>
    </w:lvl>
  </w:abstractNum>
  <w:abstractNum w:abstractNumId="74">
    <w:nsid w:val="1A32234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5">
    <w:nsid w:val="3B0FD379"/>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6">
    <w:nsid w:val="68EB2F63"/>
    <w:multiLevelType w:val="hybridMultilevel"/>
    <w:lvl w:ilvl="0">
      <w:lvlJc w:val="left"/>
      <w:lvlText w:val="%1."/>
      <w:numFmt w:val="lowerLetter"/>
      <w:start w:val="3"/>
    </w:lvl>
    <w:lvl w:ilvl="1">
      <w:lvlJc w:val="left"/>
      <w:lvlText w:val="%2."/>
      <w:numFmt w:val="decimal"/>
      <w:start w:val="1"/>
    </w:lvl>
  </w:abstractNum>
  <w:abstractNum w:abstractNumId="77">
    <w:nsid w:val="4962813B"/>
    <w:multiLevelType w:val="hybridMultilevel"/>
    <w:lvl w:ilvl="0">
      <w:lvlJc w:val="left"/>
      <w:lvlText w:val="%1."/>
      <w:numFmt w:val="decimal"/>
      <w:start w:val="9"/>
    </w:lvl>
    <w:lvl w:ilvl="1">
      <w:lvlJc w:val="left"/>
      <w:lvlText w:val="%2."/>
      <w:numFmt w:val="lowerLetter"/>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1."/>
      <w:numFmt w:val="decimal"/>
      <w:start w:val="1"/>
    </w:lvl>
    <w:lvl w:ilvl="1">
      <w:lvlJc w:val="left"/>
      <w:lvlText w:val="%2."/>
      <w:numFmt w:val="lowerLetter"/>
      <w:start w:val="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2026-05-05T16:33:26Z</dcterms:created>
  <dcterms:modified xsi:type="dcterms:W3CDTF">2026-05-05T16:33:26Z</dcterms:modified>
</cp:coreProperties>
</file>