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14A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Proxy Statement Pursuant to Section 14(a) of the</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44" w:lineRule="exact"/>
        <w:rPr>
          <w:sz w:val="24"/>
          <w:szCs w:val="24"/>
          <w:color w:val="auto"/>
        </w:rPr>
      </w:pPr>
    </w:p>
    <w:p>
      <w:pPr>
        <w:ind w:left="3180"/>
        <w:spacing w:after="0"/>
        <w:tabs>
          <w:tab w:leader="none" w:pos="5740" w:val="left"/>
        </w:tabs>
        <w:rPr>
          <w:sz w:val="20"/>
          <w:szCs w:val="20"/>
          <w:color w:val="auto"/>
        </w:rPr>
      </w:pPr>
      <w:r>
        <w:rPr>
          <w:rFonts w:ascii="Arial" w:cs="Arial" w:eastAsia="Arial" w:hAnsi="Arial"/>
          <w:sz w:val="22"/>
          <w:szCs w:val="22"/>
          <w:color w:val="auto"/>
        </w:rPr>
        <w:t>(Amendment No.</w:t>
      </w:r>
      <w:r>
        <w:rPr>
          <w:sz w:val="20"/>
          <w:szCs w:val="20"/>
          <w:color w:val="auto"/>
        </w:rPr>
        <w:tab/>
      </w: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2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2">
            <w:col w:w="2720" w:space="720"/>
            <w:col w:w="5579"/>
          </w:cols>
          <w:pgMar w:left="1440" w:top="1440" w:right="1440" w:bottom="144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2">
            <w:col w:w="3300" w:space="140"/>
            <w:col w:w="5579"/>
          </w:cols>
          <w:pgMar w:left="1440" w:top="1440" w:right="1440" w:bottom="1440" w:gutter="0" w:footer="0" w:header="0"/>
          <w:type w:val="continuous"/>
        </w:sectPr>
      </w:pPr>
    </w:p>
    <w:p>
      <w:pPr>
        <w:spacing w:after="0" w:line="3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300" w:hanging="27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300" w:hanging="27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8" w:lineRule="exact"/>
        <w:rPr>
          <w:sz w:val="24"/>
          <w:szCs w:val="24"/>
          <w:color w:val="auto"/>
        </w:rPr>
      </w:pPr>
    </w:p>
    <w:p>
      <w:pPr>
        <w:ind w:left="300" w:hanging="271"/>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300" w:hanging="271"/>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00" w:hanging="271"/>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HURON CONSULTING GROUP INC.</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40" w:hanging="411"/>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440" w:hanging="411"/>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40" w:hanging="411"/>
        <w:spacing w:after="0"/>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-544830</wp:posOffset>
            </wp:positionH>
            <wp:positionV relativeFrom="paragraph">
              <wp:posOffset>1763395</wp:posOffset>
            </wp:positionV>
            <wp:extent cx="6810375" cy="1482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14820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79"/>
        <w:spacing w:after="0" w:line="245" w:lineRule="auto"/>
        <w:rPr>
          <w:sz w:val="20"/>
          <w:szCs w:val="20"/>
          <w:color w:val="auto"/>
        </w:rPr>
      </w:pPr>
      <w:r>
        <w:rPr>
          <w:rFonts w:ascii="Arial" w:cs="Arial" w:eastAsia="Arial" w:hAnsi="Arial"/>
          <w:sz w:val="54"/>
          <w:szCs w:val="54"/>
          <w:color w:val="00558C"/>
        </w:rPr>
        <w:t>Letter from the Independent Directors of the Board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67" w:lineRule="exact"/>
        <w:rPr>
          <w:sz w:val="20"/>
          <w:szCs w:val="20"/>
          <w:color w:val="auto"/>
        </w:rPr>
      </w:pPr>
    </w:p>
    <w:p>
      <w:pPr>
        <w:ind w:right="119"/>
        <w:spacing w:after="0" w:line="310" w:lineRule="auto"/>
        <w:rPr>
          <w:sz w:val="20"/>
          <w:szCs w:val="20"/>
          <w:color w:val="auto"/>
        </w:rPr>
      </w:pPr>
      <w:r>
        <w:rPr>
          <w:rFonts w:ascii="Arial" w:cs="Arial" w:eastAsia="Arial" w:hAnsi="Arial"/>
          <w:sz w:val="16"/>
          <w:szCs w:val="16"/>
          <w:color w:val="auto"/>
        </w:rPr>
        <w:t>We are writing to you as the independent members of the Huron board of directors (the “board”). As fellow stockholders, we are focused on the execution of the Company’s strategy, delivering on our balanced capital allocation strategy, sustaining the alignment between Huron’s management compensation programs and the interest of stockholders, and the advancement of</w:t>
      </w:r>
    </w:p>
    <w:p>
      <w:pPr>
        <w:sectPr>
          <w:pgSz w:w="11900" w:h="16982" w:orient="portrait"/>
          <w:cols w:equalWidth="0" w:num="1">
            <w:col w:w="9059"/>
          </w:cols>
          <w:pgMar w:left="1400" w:top="1440" w:right="1440" w:bottom="0" w:gutter="0" w:footer="0" w:header="0"/>
        </w:sectPr>
      </w:pPr>
    </w:p>
    <w:bookmarkStart w:id="2" w:name="page3"/>
    <w:bookmarkEnd w:id="2"/>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796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57969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our periodic board refreshment process.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EXECUTING OUR LONG-TERM GROWTH STRATEGY</w:t>
      </w:r>
    </w:p>
    <w:p>
      <w:pPr>
        <w:spacing w:after="0" w:line="18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At our investor day in March 2025, we outlined our refreshed strategy to achieve further revenue growth and margin expansion. We continue to focus on our five strategic priorities: (i) sustaining accelerated growth in healthcare and education,</w:t>
      </w:r>
    </w:p>
    <w:p>
      <w:pPr>
        <w:spacing w:after="0" w:line="1" w:lineRule="exact"/>
        <w:rPr>
          <w:sz w:val="20"/>
          <w:szCs w:val="20"/>
          <w:color w:val="auto"/>
        </w:rPr>
      </w:pPr>
    </w:p>
    <w:p>
      <w:pPr>
        <w:ind w:right="120" w:firstLine="8"/>
        <w:spacing w:after="0" w:line="300" w:lineRule="auto"/>
        <w:tabs>
          <w:tab w:leader="none" w:pos="225"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growing our business in commercial industries, (iii) growing our global digital capability, (iv) executing upon our solid foundation for margin expansion and organic reinvestment, and (v) maintaining a strong balance sheet and cash flows while strategically deploying capital. We believe this refreshed focus, our disciplined execution, and the market tailwinds driving our business will continue to drive further value for our stockholders.</w:t>
      </w:r>
    </w:p>
    <w:p>
      <w:pPr>
        <w:spacing w:after="0" w:line="106"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Driven by disciplined execution of the Company’s strategy and effective leadership, in 2025, Huron delivered another year of strong performance. Revenues before reimbursable expenses (RBR) grew 12% compared to 2024, resulting in record RBR and a fifth consecutive year of growth. In addition, we are pleased with our continued margin and earnings per share expansion and strong cash flows in 2025. Collectively, these results led to total stockholder return of 39% in 2025.</w:t>
      </w:r>
    </w:p>
    <w:p>
      <w:pPr>
        <w:spacing w:after="0" w:line="108"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Since we outlined our initial growth strategy in 2022, our market-tested strategy and disciplined execution have driven results and significant stockholder value. In aggregate, since FY 2023 through FY 2025, we:</w:t>
      </w:r>
    </w:p>
    <w:p>
      <w:pPr>
        <w:ind w:left="180" w:hanging="172"/>
        <w:spacing w:after="0"/>
        <w:tabs>
          <w:tab w:leader="none" w:pos="180" w:val="left"/>
        </w:tabs>
        <w:numPr>
          <w:ilvl w:val="0"/>
          <w:numId w:val="7"/>
        </w:numPr>
        <w:rPr>
          <w:rFonts w:ascii="Arial" w:cs="Arial" w:eastAsia="Arial" w:hAnsi="Arial"/>
          <w:sz w:val="16"/>
          <w:szCs w:val="16"/>
          <w:b w:val="1"/>
          <w:bCs w:val="1"/>
          <w:color w:val="6AAA37"/>
        </w:rPr>
      </w:pPr>
      <w:r>
        <w:rPr>
          <w:rFonts w:ascii="Arial" w:cs="Arial" w:eastAsia="Arial" w:hAnsi="Arial"/>
          <w:sz w:val="16"/>
          <w:szCs w:val="16"/>
          <w:color w:val="auto"/>
        </w:rPr>
        <w:t>Grew revenues before reimbursable expenses at a 10.5% compound annual growth rate;</w:t>
      </w:r>
    </w:p>
    <w:p>
      <w:pPr>
        <w:spacing w:after="0" w:line="38"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
        </w:numPr>
        <w:rPr>
          <w:rFonts w:ascii="Arial" w:cs="Arial" w:eastAsia="Arial" w:hAnsi="Arial"/>
          <w:sz w:val="16"/>
          <w:szCs w:val="16"/>
          <w:b w:val="1"/>
          <w:bCs w:val="1"/>
          <w:color w:val="6AAA37"/>
        </w:rPr>
      </w:pPr>
      <w:r>
        <w:rPr>
          <w:rFonts w:ascii="Arial" w:cs="Arial" w:eastAsia="Arial" w:hAnsi="Arial"/>
          <w:sz w:val="16"/>
          <w:szCs w:val="16"/>
          <w:color w:val="auto"/>
        </w:rPr>
        <w:t>Expanded our net income margin and adjusted EBITDA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by 170 and 200 basis points, respectively;</w:t>
      </w:r>
    </w:p>
    <w:p>
      <w:pPr>
        <w:spacing w:after="0" w:line="10" w:lineRule="exact"/>
        <w:rPr>
          <w:rFonts w:ascii="Arial" w:cs="Arial" w:eastAsia="Arial" w:hAnsi="Arial"/>
          <w:sz w:val="16"/>
          <w:szCs w:val="16"/>
          <w:b w:val="1"/>
          <w:bCs w:val="1"/>
          <w:color w:val="6AAA37"/>
        </w:rPr>
      </w:pPr>
    </w:p>
    <w:p>
      <w:pPr>
        <w:ind w:left="180" w:hanging="172"/>
        <w:spacing w:after="0" w:line="228" w:lineRule="auto"/>
        <w:tabs>
          <w:tab w:leader="none" w:pos="180" w:val="left"/>
        </w:tabs>
        <w:numPr>
          <w:ilvl w:val="0"/>
          <w:numId w:val="7"/>
        </w:numPr>
        <w:rPr>
          <w:rFonts w:ascii="Arial" w:cs="Arial" w:eastAsia="Arial" w:hAnsi="Arial"/>
          <w:sz w:val="16"/>
          <w:szCs w:val="16"/>
          <w:b w:val="1"/>
          <w:bCs w:val="1"/>
          <w:color w:val="6AAA37"/>
        </w:rPr>
      </w:pPr>
      <w:r>
        <w:rPr>
          <w:rFonts w:ascii="Arial" w:cs="Arial" w:eastAsia="Arial" w:hAnsi="Arial"/>
          <w:sz w:val="16"/>
          <w:szCs w:val="16"/>
          <w:color w:val="auto"/>
        </w:rPr>
        <w:t>Grew our diluted earnings per share and adjusted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83% and 59%, respectively; and</w:t>
      </w:r>
    </w:p>
    <w:p>
      <w:pPr>
        <w:ind w:left="180" w:hanging="172"/>
        <w:spacing w:after="0"/>
        <w:tabs>
          <w:tab w:leader="none" w:pos="180" w:val="left"/>
        </w:tabs>
        <w:numPr>
          <w:ilvl w:val="0"/>
          <w:numId w:val="7"/>
        </w:numPr>
        <w:rPr>
          <w:rFonts w:ascii="Arial" w:cs="Arial" w:eastAsia="Arial" w:hAnsi="Arial"/>
          <w:sz w:val="16"/>
          <w:szCs w:val="16"/>
          <w:b w:val="1"/>
          <w:bCs w:val="1"/>
          <w:color w:val="6AAA37"/>
        </w:rPr>
      </w:pPr>
      <w:r>
        <w:rPr>
          <w:rFonts w:ascii="Arial" w:cs="Arial" w:eastAsia="Arial" w:hAnsi="Arial"/>
          <w:sz w:val="16"/>
          <w:szCs w:val="16"/>
          <w:color w:val="auto"/>
        </w:rPr>
        <w:t>Returned $288 million of capital to shareholders by repurchasing 2.4 million shares of our common stock.</w:t>
      </w:r>
    </w:p>
    <w:p>
      <w:pPr>
        <w:spacing w:after="0" w:line="165" w:lineRule="exact"/>
        <w:rPr>
          <w:sz w:val="20"/>
          <w:szCs w:val="20"/>
          <w:color w:val="auto"/>
        </w:rPr>
      </w:pPr>
    </w:p>
    <w:p>
      <w:pPr>
        <w:ind w:right="740"/>
        <w:spacing w:after="0" w:line="475" w:lineRule="auto"/>
        <w:rPr>
          <w:sz w:val="20"/>
          <w:szCs w:val="20"/>
          <w:color w:val="auto"/>
        </w:rPr>
      </w:pPr>
      <w:r>
        <w:rPr>
          <w:rFonts w:ascii="Arial" w:cs="Arial" w:eastAsia="Arial" w:hAnsi="Arial"/>
          <w:sz w:val="16"/>
          <w:szCs w:val="16"/>
          <w:color w:val="auto"/>
        </w:rPr>
        <w:t xml:space="preserve">These proven results culminated in stock price appreciation of 68% from December 31, 2023 to December 31, 2025. </w:t>
      </w:r>
      <w:r>
        <w:rPr>
          <w:rFonts w:ascii="Arial" w:cs="Arial" w:eastAsia="Arial" w:hAnsi="Arial"/>
          <w:sz w:val="16"/>
          <w:szCs w:val="16"/>
          <w:b w:val="1"/>
          <w:bCs w:val="1"/>
          <w:u w:val="single" w:color="auto"/>
          <w:color w:val="auto"/>
        </w:rPr>
        <w:t>DELIVERING ON OUR BALANCED CAPITAL ALLOCATION STRATEGY</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continue to execute our strategic capital deployment framework, which balances growth, flexibility, and return of capital to stockholders. As shared at our investor day in March 2025, we remain committed to our two guiding principles: (i) maintaining a strong, flexible balance sheet and (ii) driving strong cash flow to enable our strategy while also returning capital to stockholders via share repurchases. In coordination with the Finance and Capital Allocation Committee, in 2025, we repurchased 1.2 million shares of our common stock for $166 million and deployed $112 million of cash on six strategic, tuck-in acquisitions while achieving a leverage ratio (as defined in our senior secured credit agreement) of 1.93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firstLine="8"/>
        <w:spacing w:after="0" w:line="224" w:lineRule="auto"/>
        <w:tabs>
          <w:tab w:leader="none" w:pos="8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A for the definitions of adjusted EBITDA margin and adjusted diluted earnings per share, and other non-GAAP financial measures included in this Proxy Statement, as well as their reconciliation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718820</wp:posOffset>
            </wp:positionV>
            <wp:extent cx="6810375" cy="463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463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ALIGNING COMPENSATION PROGRAMS TO DRIVE STOCKHOLDER VALUE</w:t>
      </w:r>
    </w:p>
    <w:p>
      <w:pPr>
        <w:spacing w:after="0" w:line="16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Our professionals' expertise, skills and experience and our strong company culture are our biggest differentiators. We believe Huron’s long-term success is enabled by a balanced compensation program that aligns stockholder value, enterprise objectives, and employee performance. To achieve these goals, long-term equity plays a critical role in the variable portion of the compensation programs for not only our named executive officers (NEOs), but also our revenue-generating managing directors and principals to directly link pay with performance. It also fosters a sense of ownership among employees and promotes long-term retention for our leaders. Between 2023 and 2025, approximately 84% of total shares granted were issued to revenue-generating managing directors and principals as part of their annual incentive compensation, while approximately 12% of total shares granted were issued to NEOs.</w:t>
      </w:r>
    </w:p>
    <w:p>
      <w:pPr>
        <w:spacing w:after="0" w:line="113"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recognize the dilutive impact of granting equity awards, and we reflect the expense associated with these awards in our adjusted EBITDA and adjusted diluted earnings per share metrics. Both the board and management are committed to thoughtfully managing our equity compensation programs while mitigating risk and dilution for stockholders.</w:t>
      </w:r>
    </w:p>
    <w:p>
      <w:pPr>
        <w:spacing w:after="0" w:line="104"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We believe that continuing to provide a portion of annual incentives in equity for our revenue-generating managing directors and principals aligns total compensation with performance and helps us achieve our companywide strategic and financial objectives that drive stockholder value. This also contributes to the future success of our business as we attract, engage and retain the top talent needed to support our growth strategy.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EXECUTING OUR PERIODIC BOARD REFRESHMENT PROCESS</w:t>
      </w:r>
    </w:p>
    <w:p>
      <w:pPr>
        <w:spacing w:after="0" w:line="18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Nominating and Corporate Governance Committee, in coordination with the board, regularly evaluates the future composition of the board in light of the age, tenure, experience and capabilities of its current members. The board’s periodic board refreshment process is intended to ensure that the board has the best mix of knowledge, skills, industry expertise and business acumen, derived from high quality professional experience, to evaluate and support the Company’s strategy going forward. The Nominating and Corporate Governance Committee believes that its nominated directors have extensive experience leading and managing professional service businesses or relevant industry expertise which provides significant insight into the Company and its operations and provides valuable contributions to the board and our management team. The Nominating and Corporate Governance Committee also recognizes the potential benefits of fresh perspectives and adjacent</w:t>
      </w:r>
    </w:p>
    <w:p>
      <w:pPr>
        <w:sectPr>
          <w:pgSz w:w="11900" w:h="16913" w:orient="portrait"/>
          <w:cols w:equalWidth="0" w:num="1">
            <w:col w:w="9080"/>
          </w:cols>
          <w:pgMar w:left="1400" w:top="152" w:right="1419" w:bottom="0" w:gutter="0" w:footer="0" w:header="0"/>
        </w:sectPr>
      </w:pPr>
    </w:p>
    <w:bookmarkStart w:id="3" w:name="page4"/>
    <w:bookmarkEnd w:id="3"/>
    <w:p>
      <w:pPr>
        <w:ind w:right="20"/>
        <w:spacing w:after="0" w:line="301" w:lineRule="auto"/>
        <w:rPr>
          <w:sz w:val="20"/>
          <w:szCs w:val="20"/>
          <w:color w:val="auto"/>
        </w:rPr>
      </w:pPr>
      <w:r>
        <w:rPr>
          <w:rFonts w:ascii="Arial" w:cs="Arial" w:eastAsia="Arial" w:hAnsi="Arial"/>
          <w:sz w:val="16"/>
          <w:szCs w:val="16"/>
          <w:color w:val="auto"/>
        </w:rPr>
        <w:t>skillsets that highly qualified new directors may bring to the board as well as the benefits of increased innovation and creativity that may be fostered by greater range of thought and experience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-275590</wp:posOffset>
            </wp:positionV>
            <wp:extent cx="6810375" cy="4219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4219575"/>
                    </a:xfrm>
                    <a:prstGeom prst="rect">
                      <a:avLst/>
                    </a:prstGeom>
                    <a:noFill/>
                  </pic:spPr>
                </pic:pic>
              </a:graphicData>
            </a:graphic>
          </wp:anchor>
        </w:drawing>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Nominating and Corporate Governance Committee will continue to consider a variety of factors as it works to enhance the composition of the board, reduce average tenure and ensure structured and orderly board succession through a process of both board member additions and retirements. As a result, during the next several years, the board may periodically expand or contract as part of its periodic refreshment process. It is the expressed desire of the board that it continue to remain relatively small in number and composed principally of non-executive independent directors.</w:t>
      </w:r>
    </w:p>
    <w:p>
      <w:pPr>
        <w:spacing w:after="0" w:line="107"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In closing, 2025 was another strong year of performance for Huron. In our continuous commitment to transparency and collaboration, we affirm our commitment to consider and respond to the perspectives of our stockholders.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gridSpan w:val="2"/>
          </w:tcPr>
          <w:p>
            <w:pPr>
              <w:jc w:val="center"/>
              <w:ind w:right="220"/>
              <w:spacing w:after="0"/>
              <w:rPr>
                <w:sz w:val="20"/>
                <w:szCs w:val="20"/>
                <w:color w:val="auto"/>
              </w:rPr>
            </w:pPr>
            <w:r>
              <w:rPr>
                <w:rFonts w:ascii="Arial" w:cs="Arial" w:eastAsia="Arial" w:hAnsi="Arial"/>
                <w:sz w:val="16"/>
                <w:szCs w:val="16"/>
                <w:color w:val="auto"/>
              </w:rPr>
              <w:t>H. Eugene Lockhart</w:t>
            </w:r>
          </w:p>
        </w:tc>
        <w:tc>
          <w:tcPr>
            <w:tcW w:w="3120" w:type="dxa"/>
            <w:vAlign w:val="bottom"/>
            <w:gridSpan w:val="2"/>
          </w:tcPr>
          <w:p>
            <w:pPr>
              <w:ind w:left="840"/>
              <w:spacing w:after="0"/>
              <w:rPr>
                <w:sz w:val="20"/>
                <w:szCs w:val="20"/>
                <w:color w:val="auto"/>
              </w:rPr>
            </w:pPr>
            <w:r>
              <w:rPr>
                <w:rFonts w:ascii="Arial" w:cs="Arial" w:eastAsia="Arial" w:hAnsi="Arial"/>
                <w:sz w:val="16"/>
                <w:szCs w:val="16"/>
                <w:color w:val="auto"/>
              </w:rPr>
              <w:t>Hugh E. Sawyer</w:t>
            </w:r>
          </w:p>
        </w:tc>
        <w:tc>
          <w:tcPr>
            <w:tcW w:w="2820" w:type="dxa"/>
            <w:vAlign w:val="bottom"/>
          </w:tcPr>
          <w:p>
            <w:pPr>
              <w:jc w:val="center"/>
              <w:spacing w:after="0"/>
              <w:rPr>
                <w:sz w:val="20"/>
                <w:szCs w:val="20"/>
                <w:color w:val="auto"/>
              </w:rPr>
            </w:pPr>
            <w:r>
              <w:rPr>
                <w:rFonts w:ascii="Arial" w:cs="Arial" w:eastAsia="Arial" w:hAnsi="Arial"/>
                <w:sz w:val="16"/>
                <w:szCs w:val="16"/>
                <w:color w:val="auto"/>
              </w:rPr>
              <w:t>John McCartney</w:t>
            </w:r>
          </w:p>
        </w:tc>
      </w:tr>
      <w:tr>
        <w:trPr>
          <w:trHeight w:val="610"/>
        </w:trPr>
        <w:tc>
          <w:tcPr>
            <w:tcW w:w="2840" w:type="dxa"/>
            <w:vAlign w:val="bottom"/>
            <w:tcBorders>
              <w:bottom w:val="single" w:sz="8" w:color="B2B3B6"/>
            </w:tcBorders>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bottom w:val="single" w:sz="8" w:color="B2B3B6"/>
            </w:tcBorders>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tcBorders>
              <w:bottom w:val="single" w:sz="8" w:color="B2B3B6"/>
            </w:tcBorders>
          </w:tcPr>
          <w:p>
            <w:pPr>
              <w:spacing w:after="0"/>
              <w:rPr>
                <w:sz w:val="24"/>
                <w:szCs w:val="24"/>
                <w:color w:val="auto"/>
              </w:rPr>
            </w:pPr>
          </w:p>
        </w:tc>
      </w:tr>
      <w:tr>
        <w:trPr>
          <w:trHeight w:val="234"/>
        </w:trPr>
        <w:tc>
          <w:tcPr>
            <w:tcW w:w="3120" w:type="dxa"/>
            <w:vAlign w:val="bottom"/>
            <w:gridSpan w:val="2"/>
          </w:tcPr>
          <w:p>
            <w:pPr>
              <w:jc w:val="center"/>
              <w:ind w:right="240"/>
              <w:spacing w:after="0"/>
              <w:rPr>
                <w:sz w:val="20"/>
                <w:szCs w:val="20"/>
                <w:color w:val="auto"/>
              </w:rPr>
            </w:pPr>
            <w:r>
              <w:rPr>
                <w:rFonts w:ascii="Arial" w:cs="Arial" w:eastAsia="Arial" w:hAnsi="Arial"/>
                <w:sz w:val="16"/>
                <w:szCs w:val="16"/>
                <w:color w:val="auto"/>
              </w:rPr>
              <w:t>Debra L. Zumwalt</w:t>
            </w:r>
          </w:p>
        </w:tc>
        <w:tc>
          <w:tcPr>
            <w:tcW w:w="3120" w:type="dxa"/>
            <w:vAlign w:val="bottom"/>
            <w:gridSpan w:val="2"/>
          </w:tcPr>
          <w:p>
            <w:pPr>
              <w:ind w:left="840"/>
              <w:spacing w:after="0"/>
              <w:rPr>
                <w:sz w:val="20"/>
                <w:szCs w:val="20"/>
                <w:color w:val="auto"/>
              </w:rPr>
            </w:pPr>
            <w:r>
              <w:rPr>
                <w:rFonts w:ascii="Arial" w:cs="Arial" w:eastAsia="Arial" w:hAnsi="Arial"/>
                <w:sz w:val="16"/>
                <w:szCs w:val="16"/>
                <w:color w:val="auto"/>
              </w:rPr>
              <w:t>Peter K. Markell</w:t>
            </w:r>
          </w:p>
        </w:tc>
        <w:tc>
          <w:tcPr>
            <w:tcW w:w="2820" w:type="dxa"/>
            <w:vAlign w:val="bottom"/>
          </w:tcPr>
          <w:p>
            <w:pPr>
              <w:jc w:val="center"/>
              <w:spacing w:after="0"/>
              <w:rPr>
                <w:sz w:val="20"/>
                <w:szCs w:val="20"/>
                <w:color w:val="auto"/>
              </w:rPr>
            </w:pPr>
            <w:r>
              <w:rPr>
                <w:rFonts w:ascii="Arial" w:cs="Arial" w:eastAsia="Arial" w:hAnsi="Arial"/>
                <w:sz w:val="16"/>
                <w:szCs w:val="16"/>
                <w:color w:val="auto"/>
                <w:w w:val="98"/>
              </w:rPr>
              <w:t>Joy T. Brown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1302385</wp:posOffset>
            </wp:positionV>
            <wp:extent cx="6810375" cy="6214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6214110"/>
                    </a:xfrm>
                    <a:prstGeom prst="rect">
                      <a:avLst/>
                    </a:prstGeom>
                    <a:noFill/>
                  </pic:spPr>
                </pic:pic>
              </a:graphicData>
            </a:graphic>
          </wp:anchor>
        </w:drawing>
      </w:r>
    </w:p>
    <w:p>
      <w:pPr>
        <w:sectPr>
          <w:pgSz w:w="11900" w:h="16838" w:orient="portrait"/>
          <w:cols w:equalWidth="0" w:num="1">
            <w:col w:w="9060"/>
          </w:cols>
          <w:pgMar w:left="1400" w:top="114" w:right="1439"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20"/>
        <w:spacing w:after="0" w:line="262" w:lineRule="auto"/>
        <w:rPr>
          <w:sz w:val="20"/>
          <w:szCs w:val="20"/>
          <w:color w:val="auto"/>
        </w:rPr>
      </w:pPr>
      <w:r>
        <w:rPr>
          <w:rFonts w:ascii="Arial" w:cs="Arial" w:eastAsia="Arial" w:hAnsi="Arial"/>
          <w:sz w:val="54"/>
          <w:szCs w:val="54"/>
          <w:color w:val="00558C"/>
        </w:rPr>
        <w:t>Notice of Annual Meeting of Stockholders</w:t>
      </w:r>
    </w:p>
    <w:p>
      <w:pPr>
        <w:spacing w:after="0" w:line="3"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May 8, 2026</w:t>
      </w:r>
    </w:p>
    <w:p>
      <w:pPr>
        <w:spacing w:after="0" w:line="200" w:lineRule="exact"/>
        <w:rPr>
          <w:sz w:val="20"/>
          <w:szCs w:val="20"/>
          <w:color w:val="auto"/>
        </w:rPr>
      </w:pPr>
    </w:p>
    <w:p>
      <w:pPr>
        <w:spacing w:after="0" w:line="20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Annual Meeting of Stockholders of Huron Consulting Group Inc. (the “Company,” "Huron," "we" or "us") will be held on May 8, 2026, at 11:00 a.m. Central Time in a virtual meeting format via live audio webcast at www.virtualshareholdermeeting.com/ HURN2026, (the "Annual Meeting") for the following purposes: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40" w:type="dxa"/>
            <w:vAlign w:val="bottom"/>
            <w:shd w:val="clear" w:color="auto" w:fill="00558C"/>
          </w:tcPr>
          <w:p>
            <w:pPr>
              <w:spacing w:after="0"/>
              <w:rPr>
                <w:sz w:val="24"/>
                <w:szCs w:val="24"/>
                <w:color w:val="auto"/>
              </w:rPr>
            </w:pPr>
          </w:p>
        </w:tc>
        <w:tc>
          <w:tcPr>
            <w:tcW w:w="3960" w:type="dxa"/>
            <w:vAlign w:val="bottom"/>
            <w:shd w:val="clear" w:color="auto" w:fill="00558C"/>
          </w:tcPr>
          <w:p>
            <w:pPr>
              <w:spacing w:after="0"/>
              <w:rPr>
                <w:sz w:val="24"/>
                <w:szCs w:val="24"/>
                <w:color w:val="auto"/>
              </w:rPr>
            </w:pPr>
          </w:p>
        </w:tc>
        <w:tc>
          <w:tcPr>
            <w:tcW w:w="1720" w:type="dxa"/>
            <w:vAlign w:val="bottom"/>
            <w:gridSpan w:val="4"/>
            <w:shd w:val="clear" w:color="auto" w:fill="00558C"/>
          </w:tcPr>
          <w:p>
            <w:pPr>
              <w:ind w:left="120"/>
              <w:spacing w:after="0"/>
              <w:rPr>
                <w:sz w:val="20"/>
                <w:szCs w:val="20"/>
                <w:color w:val="auto"/>
              </w:rPr>
            </w:pPr>
            <w:r>
              <w:rPr>
                <w:rFonts w:ascii="Arial" w:cs="Arial" w:eastAsia="Arial" w:hAnsi="Arial"/>
                <w:sz w:val="14"/>
                <w:szCs w:val="14"/>
                <w:b w:val="1"/>
                <w:bCs w:val="1"/>
                <w:color w:val="FFFFFF"/>
              </w:rPr>
              <w:t>Board</w:t>
            </w:r>
          </w:p>
        </w:tc>
        <w:tc>
          <w:tcPr>
            <w:tcW w:w="0" w:type="dxa"/>
            <w:vAlign w:val="bottom"/>
          </w:tcPr>
          <w:p>
            <w:pPr>
              <w:spacing w:after="0"/>
              <w:rPr>
                <w:sz w:val="1"/>
                <w:szCs w:val="1"/>
                <w:color w:val="auto"/>
              </w:rPr>
            </w:pPr>
          </w:p>
        </w:tc>
      </w:tr>
      <w:tr>
        <w:trPr>
          <w:trHeight w:val="196"/>
        </w:trPr>
        <w:tc>
          <w:tcPr>
            <w:tcW w:w="4500" w:type="dxa"/>
            <w:vAlign w:val="bottom"/>
            <w:gridSpan w:val="2"/>
            <w:shd w:val="clear" w:color="auto" w:fill="00558C"/>
          </w:tcPr>
          <w:p>
            <w:pPr>
              <w:ind w:left="140"/>
              <w:spacing w:after="0"/>
              <w:rPr>
                <w:sz w:val="20"/>
                <w:szCs w:val="20"/>
                <w:color w:val="auto"/>
              </w:rPr>
            </w:pPr>
            <w:r>
              <w:rPr>
                <w:rFonts w:ascii="Arial" w:cs="Arial" w:eastAsia="Arial" w:hAnsi="Arial"/>
                <w:sz w:val="14"/>
                <w:szCs w:val="14"/>
                <w:b w:val="1"/>
                <w:bCs w:val="1"/>
                <w:color w:val="FFFFFF"/>
              </w:rPr>
              <w:t>Voting Matter</w:t>
            </w:r>
          </w:p>
        </w:tc>
        <w:tc>
          <w:tcPr>
            <w:tcW w:w="1720" w:type="dxa"/>
            <w:vAlign w:val="bottom"/>
            <w:gridSpan w:val="4"/>
            <w:shd w:val="clear" w:color="auto" w:fill="00558C"/>
          </w:tcPr>
          <w:p>
            <w:pPr>
              <w:ind w:left="120"/>
              <w:spacing w:after="0"/>
              <w:rPr>
                <w:sz w:val="20"/>
                <w:szCs w:val="20"/>
                <w:color w:val="auto"/>
              </w:rPr>
            </w:pPr>
            <w:r>
              <w:rPr>
                <w:rFonts w:ascii="Arial" w:cs="Arial" w:eastAsia="Arial" w:hAnsi="Arial"/>
                <w:sz w:val="14"/>
                <w:szCs w:val="14"/>
                <w:b w:val="1"/>
                <w:bCs w:val="1"/>
                <w:color w:val="FFFFFF"/>
              </w:rPr>
              <w:t>Recommendation</w:t>
            </w:r>
          </w:p>
        </w:tc>
        <w:tc>
          <w:tcPr>
            <w:tcW w:w="0" w:type="dxa"/>
            <w:vAlign w:val="bottom"/>
          </w:tcPr>
          <w:p>
            <w:pPr>
              <w:spacing w:after="0"/>
              <w:rPr>
                <w:sz w:val="1"/>
                <w:szCs w:val="1"/>
                <w:color w:val="auto"/>
              </w:rPr>
            </w:pPr>
          </w:p>
        </w:tc>
      </w:tr>
      <w:tr>
        <w:trPr>
          <w:trHeight w:val="110"/>
        </w:trPr>
        <w:tc>
          <w:tcPr>
            <w:tcW w:w="540" w:type="dxa"/>
            <w:vAlign w:val="bottom"/>
            <w:shd w:val="clear" w:color="auto" w:fill="00558C"/>
          </w:tcPr>
          <w:p>
            <w:pPr>
              <w:spacing w:after="0"/>
              <w:rPr>
                <w:sz w:val="9"/>
                <w:szCs w:val="9"/>
                <w:color w:val="auto"/>
              </w:rPr>
            </w:pPr>
          </w:p>
        </w:tc>
        <w:tc>
          <w:tcPr>
            <w:tcW w:w="3960" w:type="dxa"/>
            <w:vAlign w:val="bottom"/>
            <w:shd w:val="clear" w:color="auto" w:fill="00558C"/>
          </w:tcPr>
          <w:p>
            <w:pPr>
              <w:spacing w:after="0"/>
              <w:rPr>
                <w:sz w:val="9"/>
                <w:szCs w:val="9"/>
                <w:color w:val="auto"/>
              </w:rPr>
            </w:pPr>
          </w:p>
        </w:tc>
        <w:tc>
          <w:tcPr>
            <w:tcW w:w="1280" w:type="dxa"/>
            <w:vAlign w:val="bottom"/>
            <w:shd w:val="clear" w:color="auto" w:fill="00558C"/>
          </w:tcPr>
          <w:p>
            <w:pPr>
              <w:spacing w:after="0"/>
              <w:rPr>
                <w:sz w:val="9"/>
                <w:szCs w:val="9"/>
                <w:color w:val="auto"/>
              </w:rPr>
            </w:pPr>
          </w:p>
        </w:tc>
        <w:tc>
          <w:tcPr>
            <w:tcW w:w="80" w:type="dxa"/>
            <w:vAlign w:val="bottom"/>
            <w:shd w:val="clear" w:color="auto" w:fill="00558C"/>
          </w:tcPr>
          <w:p>
            <w:pPr>
              <w:spacing w:after="0"/>
              <w:rPr>
                <w:sz w:val="9"/>
                <w:szCs w:val="9"/>
                <w:color w:val="auto"/>
              </w:rPr>
            </w:pPr>
          </w:p>
        </w:tc>
        <w:tc>
          <w:tcPr>
            <w:tcW w:w="60" w:type="dxa"/>
            <w:vAlign w:val="bottom"/>
            <w:shd w:val="clear" w:color="auto" w:fill="00558C"/>
          </w:tcPr>
          <w:p>
            <w:pPr>
              <w:spacing w:after="0"/>
              <w:rPr>
                <w:sz w:val="9"/>
                <w:szCs w:val="9"/>
                <w:color w:val="auto"/>
              </w:rPr>
            </w:pPr>
          </w:p>
        </w:tc>
        <w:tc>
          <w:tcPr>
            <w:tcW w:w="300" w:type="dxa"/>
            <w:vAlign w:val="bottom"/>
            <w:shd w:val="clear" w:color="auto" w:fill="00558C"/>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540" w:type="dxa"/>
            <w:vAlign w:val="bottom"/>
            <w:vMerge w:val="restart"/>
          </w:tcPr>
          <w:p>
            <w:pPr>
              <w:ind w:left="260"/>
              <w:spacing w:after="0"/>
              <w:rPr>
                <w:sz w:val="20"/>
                <w:szCs w:val="20"/>
                <w:color w:val="auto"/>
              </w:rPr>
            </w:pPr>
            <w:r>
              <w:rPr>
                <w:rFonts w:ascii="Arial" w:cs="Arial" w:eastAsia="Arial" w:hAnsi="Arial"/>
                <w:sz w:val="29"/>
                <w:szCs w:val="29"/>
                <w:b w:val="1"/>
                <w:bCs w:val="1"/>
                <w:color w:val="FFFFFF"/>
              </w:rPr>
              <w:t>1</w:t>
            </w:r>
          </w:p>
        </w:tc>
        <w:tc>
          <w:tcPr>
            <w:tcW w:w="3960" w:type="dxa"/>
            <w:vAlign w:val="bottom"/>
            <w:vMerge w:val="restart"/>
            <w:shd w:val="clear" w:color="auto" w:fill="F2F3F2"/>
          </w:tcPr>
          <w:p>
            <w:pPr>
              <w:ind w:left="140"/>
              <w:spacing w:after="0"/>
              <w:rPr>
                <w:sz w:val="20"/>
                <w:szCs w:val="20"/>
                <w:color w:val="auto"/>
              </w:rPr>
            </w:pPr>
            <w:r>
              <w:rPr>
                <w:rFonts w:ascii="Arial" w:cs="Arial" w:eastAsia="Arial" w:hAnsi="Arial"/>
                <w:sz w:val="14"/>
                <w:szCs w:val="14"/>
                <w:color w:val="auto"/>
              </w:rPr>
              <w:t>To elect to the Board of Directors the eight director</w:t>
            </w:r>
          </w:p>
        </w:tc>
        <w:tc>
          <w:tcPr>
            <w:tcW w:w="1720" w:type="dxa"/>
            <w:vAlign w:val="bottom"/>
            <w:gridSpan w:val="4"/>
            <w:shd w:val="clear" w:color="auto" w:fill="F2F3F2"/>
          </w:tcPr>
          <w:p>
            <w:pPr>
              <w:ind w:left="700"/>
              <w:spacing w:after="0"/>
              <w:rPr>
                <w:sz w:val="20"/>
                <w:szCs w:val="20"/>
                <w:color w:val="auto"/>
              </w:rPr>
            </w:pPr>
            <w:r>
              <w:rPr>
                <w:rFonts w:ascii="Arial" w:cs="Arial" w:eastAsia="Arial" w:hAnsi="Arial"/>
                <w:sz w:val="20"/>
                <w:szCs w:val="20"/>
                <w:b w:val="1"/>
                <w:bCs w:val="1"/>
                <w:color w:val="00558C"/>
              </w:rPr>
              <w:t xml:space="preserve">FOR </w:t>
            </w:r>
            <w:r>
              <w:rPr>
                <w:rFonts w:ascii="Arial" w:cs="Arial" w:eastAsia="Arial" w:hAnsi="Arial"/>
                <w:sz w:val="14"/>
                <w:szCs w:val="14"/>
                <w:color w:val="000000"/>
              </w:rPr>
              <w:t>each</w:t>
            </w:r>
          </w:p>
        </w:tc>
        <w:tc>
          <w:tcPr>
            <w:tcW w:w="0" w:type="dxa"/>
            <w:vAlign w:val="bottom"/>
          </w:tcPr>
          <w:p>
            <w:pPr>
              <w:spacing w:after="0"/>
              <w:rPr>
                <w:sz w:val="1"/>
                <w:szCs w:val="1"/>
                <w:color w:val="auto"/>
              </w:rPr>
            </w:pPr>
          </w:p>
        </w:tc>
      </w:tr>
      <w:tr>
        <w:trPr>
          <w:trHeight w:val="40"/>
        </w:trPr>
        <w:tc>
          <w:tcPr>
            <w:tcW w:w="540" w:type="dxa"/>
            <w:vAlign w:val="bottom"/>
            <w:vMerge w:val="continue"/>
          </w:tcPr>
          <w:p>
            <w:pPr>
              <w:spacing w:after="0"/>
              <w:rPr>
                <w:sz w:val="3"/>
                <w:szCs w:val="3"/>
                <w:color w:val="auto"/>
              </w:rPr>
            </w:pPr>
          </w:p>
        </w:tc>
        <w:tc>
          <w:tcPr>
            <w:tcW w:w="3960" w:type="dxa"/>
            <w:vAlign w:val="bottom"/>
            <w:vMerge w:val="continue"/>
            <w:shd w:val="clear" w:color="auto" w:fill="F2F3F2"/>
          </w:tcPr>
          <w:p>
            <w:pPr>
              <w:spacing w:after="0"/>
              <w:rPr>
                <w:sz w:val="3"/>
                <w:szCs w:val="3"/>
                <w:color w:val="auto"/>
              </w:rPr>
            </w:pPr>
          </w:p>
        </w:tc>
        <w:tc>
          <w:tcPr>
            <w:tcW w:w="1720" w:type="dxa"/>
            <w:vAlign w:val="bottom"/>
            <w:gridSpan w:val="4"/>
            <w:vMerge w:val="restart"/>
            <w:shd w:val="clear" w:color="auto" w:fill="F2F3F2"/>
          </w:tcPr>
          <w:p>
            <w:pPr>
              <w:ind w:left="700"/>
              <w:spacing w:after="0"/>
              <w:rPr>
                <w:sz w:val="20"/>
                <w:szCs w:val="20"/>
                <w:color w:val="auto"/>
              </w:rPr>
            </w:pPr>
            <w:r>
              <w:rPr>
                <w:rFonts w:ascii="Arial" w:cs="Arial" w:eastAsia="Arial" w:hAnsi="Arial"/>
                <w:sz w:val="14"/>
                <w:szCs w:val="14"/>
                <w:color w:val="auto"/>
              </w:rPr>
              <w:t>nominee</w:t>
            </w:r>
          </w:p>
        </w:tc>
        <w:tc>
          <w:tcPr>
            <w:tcW w:w="0" w:type="dxa"/>
            <w:vAlign w:val="bottom"/>
          </w:tcPr>
          <w:p>
            <w:pPr>
              <w:spacing w:after="0"/>
              <w:rPr>
                <w:sz w:val="1"/>
                <w:szCs w:val="1"/>
                <w:color w:val="auto"/>
              </w:rPr>
            </w:pPr>
          </w:p>
        </w:tc>
      </w:tr>
      <w:tr>
        <w:trPr>
          <w:trHeight w:val="144"/>
        </w:trPr>
        <w:tc>
          <w:tcPr>
            <w:tcW w:w="540" w:type="dxa"/>
            <w:vAlign w:val="bottom"/>
            <w:vMerge w:val="continue"/>
          </w:tcPr>
          <w:p>
            <w:pPr>
              <w:spacing w:after="0"/>
              <w:rPr>
                <w:sz w:val="12"/>
                <w:szCs w:val="12"/>
                <w:color w:val="auto"/>
              </w:rPr>
            </w:pPr>
          </w:p>
        </w:tc>
        <w:tc>
          <w:tcPr>
            <w:tcW w:w="3960" w:type="dxa"/>
            <w:vAlign w:val="bottom"/>
            <w:shd w:val="clear" w:color="auto" w:fill="F2F3F2"/>
          </w:tcPr>
          <w:p>
            <w:pPr>
              <w:ind w:left="140"/>
              <w:spacing w:after="0" w:line="145" w:lineRule="exact"/>
              <w:rPr>
                <w:sz w:val="20"/>
                <w:szCs w:val="20"/>
                <w:color w:val="auto"/>
              </w:rPr>
            </w:pPr>
            <w:r>
              <w:rPr>
                <w:rFonts w:ascii="Arial" w:cs="Arial" w:eastAsia="Arial" w:hAnsi="Arial"/>
                <w:sz w:val="14"/>
                <w:szCs w:val="14"/>
                <w:color w:val="auto"/>
              </w:rPr>
              <w:t>nominees described in this proxy statement;</w:t>
            </w:r>
          </w:p>
        </w:tc>
        <w:tc>
          <w:tcPr>
            <w:tcW w:w="1720" w:type="dxa"/>
            <w:vAlign w:val="bottom"/>
            <w:gridSpan w:val="4"/>
            <w:vMerge w:val="continue"/>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3960" w:type="dxa"/>
            <w:vAlign w:val="bottom"/>
            <w:shd w:val="clear" w:color="auto" w:fill="F2F3F2"/>
          </w:tcPr>
          <w:p>
            <w:pPr>
              <w:spacing w:after="0"/>
              <w:rPr>
                <w:sz w:val="10"/>
                <w:szCs w:val="10"/>
                <w:color w:val="auto"/>
              </w:rPr>
            </w:pPr>
          </w:p>
        </w:tc>
        <w:tc>
          <w:tcPr>
            <w:tcW w:w="1720" w:type="dxa"/>
            <w:vAlign w:val="bottom"/>
            <w:gridSpan w:val="4"/>
            <w:shd w:val="clear" w:color="auto" w:fill="F2F3F2"/>
          </w:tcPr>
          <w:p>
            <w:pPr>
              <w:ind w:left="700"/>
              <w:spacing w:after="0" w:line="122" w:lineRule="exact"/>
              <w:rPr>
                <w:sz w:val="20"/>
                <w:szCs w:val="20"/>
                <w:color w:val="auto"/>
              </w:rPr>
            </w:pPr>
            <w:r>
              <w:rPr>
                <w:rFonts w:ascii="Arial" w:cs="Arial" w:eastAsia="Arial" w:hAnsi="Arial"/>
                <w:sz w:val="13"/>
                <w:szCs w:val="13"/>
                <w:b w:val="1"/>
                <w:bCs w:val="1"/>
                <w:color w:val="00558C"/>
              </w:rPr>
              <w:t xml:space="preserve">See page </w:t>
            </w:r>
            <w:r>
              <w:rPr>
                <w:rFonts w:ascii="Arial" w:cs="Arial" w:eastAsia="Arial" w:hAnsi="Arial"/>
                <w:sz w:val="13"/>
                <w:szCs w:val="13"/>
                <w:b w:val="1"/>
                <w:bCs w:val="1"/>
                <w:color w:val="0000FF"/>
              </w:rPr>
              <w:t>2</w:t>
            </w:r>
          </w:p>
        </w:tc>
        <w:tc>
          <w:tcPr>
            <w:tcW w:w="0" w:type="dxa"/>
            <w:vAlign w:val="bottom"/>
          </w:tcPr>
          <w:p>
            <w:pPr>
              <w:spacing w:after="0"/>
              <w:rPr>
                <w:sz w:val="1"/>
                <w:szCs w:val="1"/>
                <w:color w:val="auto"/>
              </w:rPr>
            </w:pPr>
          </w:p>
        </w:tc>
      </w:tr>
      <w:tr>
        <w:trPr>
          <w:trHeight w:val="115"/>
        </w:trPr>
        <w:tc>
          <w:tcPr>
            <w:tcW w:w="540" w:type="dxa"/>
            <w:vAlign w:val="bottom"/>
            <w:vMerge w:val="restart"/>
          </w:tcPr>
          <w:p>
            <w:pPr>
              <w:ind w:left="220"/>
              <w:spacing w:after="0"/>
              <w:rPr>
                <w:sz w:val="20"/>
                <w:szCs w:val="20"/>
                <w:color w:val="auto"/>
              </w:rPr>
            </w:pPr>
            <w:r>
              <w:rPr>
                <w:rFonts w:ascii="Arial" w:cs="Arial" w:eastAsia="Arial" w:hAnsi="Arial"/>
                <w:sz w:val="29"/>
                <w:szCs w:val="29"/>
                <w:b w:val="1"/>
                <w:bCs w:val="1"/>
                <w:color w:val="FFFFFF"/>
              </w:rPr>
              <w:t>2</w:t>
            </w:r>
          </w:p>
        </w:tc>
        <w:tc>
          <w:tcPr>
            <w:tcW w:w="3960" w:type="dxa"/>
            <w:vAlign w:val="bottom"/>
            <w:tcBorders>
              <w:top w:val="single" w:sz="8" w:color="F2F3F2"/>
            </w:tcBorders>
            <w:shd w:val="clear" w:color="auto" w:fill="F2F3F2"/>
          </w:tcPr>
          <w:p>
            <w:pPr>
              <w:spacing w:after="0"/>
              <w:rPr>
                <w:sz w:val="10"/>
                <w:szCs w:val="10"/>
                <w:color w:val="auto"/>
              </w:rPr>
            </w:pPr>
          </w:p>
        </w:tc>
        <w:tc>
          <w:tcPr>
            <w:tcW w:w="1280" w:type="dxa"/>
            <w:vAlign w:val="bottom"/>
            <w:tcBorders>
              <w:top w:val="single" w:sz="8" w:color="F2F3F2"/>
            </w:tcBorders>
            <w:shd w:val="clear" w:color="auto" w:fill="F2F3F2"/>
          </w:tcPr>
          <w:p>
            <w:pPr>
              <w:spacing w:after="0"/>
              <w:rPr>
                <w:sz w:val="10"/>
                <w:szCs w:val="10"/>
                <w:color w:val="auto"/>
              </w:rPr>
            </w:pPr>
          </w:p>
        </w:tc>
        <w:tc>
          <w:tcPr>
            <w:tcW w:w="80" w:type="dxa"/>
            <w:vAlign w:val="bottom"/>
            <w:tcBorders>
              <w:top w:val="single" w:sz="8" w:color="0000FF"/>
            </w:tcBorders>
            <w:shd w:val="clear" w:color="auto" w:fill="F2F3F2"/>
          </w:tcPr>
          <w:p>
            <w:pPr>
              <w:spacing w:after="0"/>
              <w:rPr>
                <w:sz w:val="10"/>
                <w:szCs w:val="10"/>
                <w:color w:val="auto"/>
              </w:rPr>
            </w:pPr>
          </w:p>
        </w:tc>
        <w:tc>
          <w:tcPr>
            <w:tcW w:w="60" w:type="dxa"/>
            <w:vAlign w:val="bottom"/>
            <w:tcBorders>
              <w:top w:val="single" w:sz="8" w:color="F2F3F2"/>
            </w:tcBorders>
            <w:shd w:val="clear" w:color="auto" w:fill="F2F3F2"/>
          </w:tcPr>
          <w:p>
            <w:pPr>
              <w:spacing w:after="0"/>
              <w:rPr>
                <w:sz w:val="10"/>
                <w:szCs w:val="10"/>
                <w:color w:val="auto"/>
              </w:rPr>
            </w:pPr>
          </w:p>
        </w:tc>
        <w:tc>
          <w:tcPr>
            <w:tcW w:w="300" w:type="dxa"/>
            <w:vAlign w:val="bottom"/>
            <w:tcBorders>
              <w:top w:val="single" w:sz="8" w:color="F2F3F2"/>
            </w:tcBorders>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540" w:type="dxa"/>
            <w:vAlign w:val="bottom"/>
            <w:vMerge w:val="continue"/>
          </w:tcPr>
          <w:p>
            <w:pPr>
              <w:spacing w:after="0"/>
              <w:rPr>
                <w:sz w:val="24"/>
                <w:szCs w:val="24"/>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An advisory vote to approve the Company’s Executive</w:t>
            </w:r>
          </w:p>
        </w:tc>
        <w:tc>
          <w:tcPr>
            <w:tcW w:w="1720" w:type="dxa"/>
            <w:vAlign w:val="bottom"/>
            <w:gridSpan w:val="4"/>
          </w:tcPr>
          <w:p>
            <w:pPr>
              <w:ind w:left="700"/>
              <w:spacing w:after="0"/>
              <w:rPr>
                <w:sz w:val="20"/>
                <w:szCs w:val="20"/>
                <w:color w:val="auto"/>
              </w:rPr>
            </w:pPr>
            <w:r>
              <w:rPr>
                <w:rFonts w:ascii="Arial" w:cs="Arial" w:eastAsia="Arial" w:hAnsi="Arial"/>
                <w:sz w:val="20"/>
                <w:szCs w:val="20"/>
                <w:b w:val="1"/>
                <w:bCs w:val="1"/>
                <w:color w:val="00558C"/>
              </w:rPr>
              <w:t>FOR</w:t>
            </w:r>
          </w:p>
        </w:tc>
        <w:tc>
          <w:tcPr>
            <w:tcW w:w="0" w:type="dxa"/>
            <w:vAlign w:val="bottom"/>
          </w:tcPr>
          <w:p>
            <w:pPr>
              <w:spacing w:after="0"/>
              <w:rPr>
                <w:sz w:val="1"/>
                <w:szCs w:val="1"/>
                <w:color w:val="auto"/>
              </w:rPr>
            </w:pPr>
          </w:p>
        </w:tc>
      </w:tr>
      <w:tr>
        <w:trPr>
          <w:trHeight w:val="171"/>
        </w:trPr>
        <w:tc>
          <w:tcPr>
            <w:tcW w:w="540" w:type="dxa"/>
            <w:vAlign w:val="bottom"/>
            <w:vMerge w:val="continue"/>
          </w:tcPr>
          <w:p>
            <w:pPr>
              <w:spacing w:after="0"/>
              <w:rPr>
                <w:sz w:val="14"/>
                <w:szCs w:val="14"/>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720" w:type="dxa"/>
            <w:vAlign w:val="bottom"/>
            <w:gridSpan w:val="4"/>
          </w:tcPr>
          <w:p>
            <w:pPr>
              <w:ind w:left="700"/>
              <w:spacing w:after="0"/>
              <w:rPr>
                <w:sz w:val="20"/>
                <w:szCs w:val="20"/>
                <w:color w:val="auto"/>
              </w:rPr>
            </w:pPr>
            <w:r>
              <w:rPr>
                <w:rFonts w:ascii="Arial" w:cs="Arial" w:eastAsia="Arial" w:hAnsi="Arial"/>
                <w:sz w:val="13"/>
                <w:szCs w:val="13"/>
                <w:b w:val="1"/>
                <w:bCs w:val="1"/>
                <w:color w:val="00558C"/>
              </w:rPr>
              <w:t xml:space="preserve">See page </w:t>
            </w:r>
            <w:r>
              <w:rPr>
                <w:rFonts w:ascii="Arial" w:cs="Arial" w:eastAsia="Arial" w:hAnsi="Arial"/>
                <w:sz w:val="13"/>
                <w:szCs w:val="13"/>
                <w:b w:val="1"/>
                <w:bCs w:val="1"/>
                <w:color w:val="0000FF"/>
              </w:rPr>
              <w:t>32</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40" w:type="dxa"/>
            <w:vAlign w:val="bottom"/>
            <w:vMerge w:val="restart"/>
          </w:tcPr>
          <w:p>
            <w:pPr>
              <w:ind w:left="220"/>
              <w:spacing w:after="0"/>
              <w:rPr>
                <w:sz w:val="20"/>
                <w:szCs w:val="20"/>
                <w:color w:val="auto"/>
              </w:rPr>
            </w:pPr>
            <w:r>
              <w:rPr>
                <w:rFonts w:ascii="Arial" w:cs="Arial" w:eastAsia="Arial" w:hAnsi="Arial"/>
                <w:sz w:val="29"/>
                <w:szCs w:val="29"/>
                <w:b w:val="1"/>
                <w:bCs w:val="1"/>
                <w:color w:val="FFFFFF"/>
              </w:rPr>
              <w:t>3</w:t>
            </w: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To ratify the appointment of PricewaterhouseCoopers LLP</w:t>
            </w:r>
          </w:p>
        </w:tc>
        <w:tc>
          <w:tcPr>
            <w:tcW w:w="1720" w:type="dxa"/>
            <w:vAlign w:val="bottom"/>
            <w:gridSpan w:val="4"/>
            <w:vMerge w:val="restart"/>
            <w:shd w:val="clear" w:color="auto" w:fill="F2F3F2"/>
          </w:tcPr>
          <w:p>
            <w:pPr>
              <w:ind w:left="700"/>
              <w:spacing w:after="0"/>
              <w:rPr>
                <w:sz w:val="20"/>
                <w:szCs w:val="20"/>
                <w:color w:val="auto"/>
              </w:rPr>
            </w:pPr>
            <w:r>
              <w:rPr>
                <w:rFonts w:ascii="Arial" w:cs="Arial" w:eastAsia="Arial" w:hAnsi="Arial"/>
                <w:sz w:val="20"/>
                <w:szCs w:val="20"/>
                <w:b w:val="1"/>
                <w:bCs w:val="1"/>
                <w:color w:val="00558C"/>
              </w:rPr>
              <w:t>FOR</w:t>
            </w: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as the Company’s independent registered public</w:t>
            </w:r>
          </w:p>
        </w:tc>
        <w:tc>
          <w:tcPr>
            <w:tcW w:w="1720" w:type="dxa"/>
            <w:vAlign w:val="bottom"/>
            <w:gridSpan w:val="4"/>
            <w:vMerge w:val="continue"/>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vMerge w:val="continue"/>
          </w:tcPr>
          <w:p>
            <w:pPr>
              <w:spacing w:after="0"/>
              <w:rPr>
                <w:sz w:val="14"/>
                <w:szCs w:val="14"/>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accounting firm for the fiscal year ending December 31,</w:t>
            </w:r>
          </w:p>
        </w:tc>
        <w:tc>
          <w:tcPr>
            <w:tcW w:w="1720" w:type="dxa"/>
            <w:vAlign w:val="bottom"/>
            <w:gridSpan w:val="4"/>
            <w:shd w:val="clear" w:color="auto" w:fill="F2F3F2"/>
          </w:tcPr>
          <w:p>
            <w:pPr>
              <w:ind w:left="700"/>
              <w:spacing w:after="0"/>
              <w:rPr>
                <w:sz w:val="20"/>
                <w:szCs w:val="20"/>
                <w:color w:val="auto"/>
              </w:rPr>
            </w:pPr>
            <w:r>
              <w:rPr>
                <w:rFonts w:ascii="Arial" w:cs="Arial" w:eastAsia="Arial" w:hAnsi="Arial"/>
                <w:sz w:val="13"/>
                <w:szCs w:val="13"/>
                <w:b w:val="1"/>
                <w:bCs w:val="1"/>
                <w:color w:val="00558C"/>
              </w:rPr>
              <w:t xml:space="preserve">See page </w:t>
            </w:r>
            <w:r>
              <w:rPr>
                <w:rFonts w:ascii="Arial" w:cs="Arial" w:eastAsia="Arial" w:hAnsi="Arial"/>
                <w:sz w:val="13"/>
                <w:szCs w:val="13"/>
                <w:b w:val="1"/>
                <w:bCs w:val="1"/>
                <w:color w:val="0000FF"/>
              </w:rPr>
              <w:t>68</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3960" w:type="dxa"/>
            <w:vAlign w:val="bottom"/>
            <w:tcBorders>
              <w:top w:val="single" w:sz="8" w:color="F2F3F2"/>
            </w:tcBorders>
            <w:shd w:val="clear" w:color="auto" w:fill="F2F3F2"/>
          </w:tcPr>
          <w:p>
            <w:pPr>
              <w:ind w:left="140"/>
              <w:spacing w:after="0"/>
              <w:rPr>
                <w:sz w:val="20"/>
                <w:szCs w:val="20"/>
                <w:color w:val="auto"/>
              </w:rPr>
            </w:pPr>
            <w:r>
              <w:rPr>
                <w:rFonts w:ascii="Arial" w:cs="Arial" w:eastAsia="Arial" w:hAnsi="Arial"/>
                <w:sz w:val="14"/>
                <w:szCs w:val="14"/>
                <w:color w:val="auto"/>
              </w:rPr>
              <w:t>2026; and</w:t>
            </w:r>
          </w:p>
        </w:tc>
        <w:tc>
          <w:tcPr>
            <w:tcW w:w="1280" w:type="dxa"/>
            <w:vAlign w:val="bottom"/>
            <w:tcBorders>
              <w:top w:val="single" w:sz="8" w:color="F2F3F2"/>
            </w:tcBorders>
            <w:shd w:val="clear" w:color="auto" w:fill="F2F3F2"/>
          </w:tcPr>
          <w:p>
            <w:pPr>
              <w:spacing w:after="0"/>
              <w:rPr>
                <w:sz w:val="15"/>
                <w:szCs w:val="15"/>
                <w:color w:val="auto"/>
              </w:rPr>
            </w:pPr>
          </w:p>
        </w:tc>
        <w:tc>
          <w:tcPr>
            <w:tcW w:w="80" w:type="dxa"/>
            <w:vAlign w:val="bottom"/>
            <w:tcBorders>
              <w:top w:val="single" w:sz="8" w:color="0000FF"/>
            </w:tcBorders>
            <w:shd w:val="clear" w:color="auto" w:fill="F2F3F2"/>
          </w:tcPr>
          <w:p>
            <w:pPr>
              <w:spacing w:after="0"/>
              <w:rPr>
                <w:sz w:val="15"/>
                <w:szCs w:val="15"/>
                <w:color w:val="auto"/>
              </w:rPr>
            </w:pPr>
          </w:p>
        </w:tc>
        <w:tc>
          <w:tcPr>
            <w:tcW w:w="60" w:type="dxa"/>
            <w:vAlign w:val="bottom"/>
            <w:tcBorders>
              <w:top w:val="single" w:sz="8" w:color="0000FF"/>
            </w:tcBorders>
            <w:shd w:val="clear" w:color="auto" w:fill="F2F3F2"/>
          </w:tcPr>
          <w:p>
            <w:pPr>
              <w:spacing w:after="0"/>
              <w:rPr>
                <w:sz w:val="15"/>
                <w:szCs w:val="15"/>
                <w:color w:val="auto"/>
              </w:rPr>
            </w:pPr>
          </w:p>
        </w:tc>
        <w:tc>
          <w:tcPr>
            <w:tcW w:w="300" w:type="dxa"/>
            <w:vAlign w:val="bottom"/>
            <w:tcBorders>
              <w:top w:val="single" w:sz="8" w:color="F2F3F2"/>
            </w:tcBorders>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3960" w:type="dxa"/>
            <w:vAlign w:val="bottom"/>
            <w:shd w:val="clear" w:color="auto" w:fill="F2F3F2"/>
          </w:tcPr>
          <w:p>
            <w:pPr>
              <w:spacing w:after="0"/>
              <w:rPr>
                <w:sz w:val="14"/>
                <w:szCs w:val="14"/>
                <w:color w:val="auto"/>
              </w:rPr>
            </w:pPr>
          </w:p>
        </w:tc>
        <w:tc>
          <w:tcPr>
            <w:tcW w:w="1280" w:type="dxa"/>
            <w:vAlign w:val="bottom"/>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60" w:type="dxa"/>
            <w:vAlign w:val="bottom"/>
            <w:shd w:val="clear" w:color="auto" w:fill="F2F3F2"/>
          </w:tcPr>
          <w:p>
            <w:pPr>
              <w:spacing w:after="0"/>
              <w:rPr>
                <w:sz w:val="14"/>
                <w:szCs w:val="14"/>
                <w:color w:val="auto"/>
              </w:rPr>
            </w:pPr>
          </w:p>
        </w:tc>
        <w:tc>
          <w:tcPr>
            <w:tcW w:w="30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540" w:type="dxa"/>
            <w:vAlign w:val="bottom"/>
            <w:vMerge w:val="restart"/>
          </w:tcPr>
          <w:p>
            <w:pPr>
              <w:ind w:left="200"/>
              <w:spacing w:after="0"/>
              <w:rPr>
                <w:sz w:val="20"/>
                <w:szCs w:val="20"/>
                <w:color w:val="auto"/>
              </w:rPr>
            </w:pPr>
            <w:r>
              <w:rPr>
                <w:rFonts w:ascii="Arial" w:cs="Arial" w:eastAsia="Arial" w:hAnsi="Arial"/>
                <w:sz w:val="29"/>
                <w:szCs w:val="29"/>
                <w:b w:val="1"/>
                <w:bCs w:val="1"/>
                <w:color w:val="FFFFFF"/>
              </w:rPr>
              <w:t>4</w:t>
            </w:r>
          </w:p>
        </w:tc>
        <w:tc>
          <w:tcPr>
            <w:tcW w:w="3960" w:type="dxa"/>
            <w:vAlign w:val="bottom"/>
          </w:tcPr>
          <w:p>
            <w:pPr>
              <w:ind w:left="140"/>
              <w:spacing w:after="0"/>
              <w:rPr>
                <w:sz w:val="20"/>
                <w:szCs w:val="20"/>
                <w:color w:val="auto"/>
              </w:rPr>
            </w:pPr>
            <w:r>
              <w:rPr>
                <w:rFonts w:ascii="Arial" w:cs="Arial" w:eastAsia="Arial" w:hAnsi="Arial"/>
                <w:sz w:val="14"/>
                <w:szCs w:val="14"/>
                <w:color w:val="auto"/>
              </w:rPr>
              <w:t>To transact such other business as may properly come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 w:type="dxa"/>
            <w:vAlign w:val="bottom"/>
            <w:vMerge w:val="continue"/>
          </w:tcPr>
          <w:p>
            <w:pPr>
              <w:spacing w:after="0"/>
              <w:rPr>
                <w:sz w:val="16"/>
                <w:szCs w:val="16"/>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before the meeting or any postponement or adjournment</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4"/>
          <w:szCs w:val="14"/>
          <w:color w:val="auto"/>
        </w:rPr>
        <w:t>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Time &amp;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May 8, 2026,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11:00 a.m. Central Time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Virtual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80"/>
        <w:spacing w:after="0" w:line="310" w:lineRule="auto"/>
        <w:rPr>
          <w:sz w:val="20"/>
          <w:szCs w:val="20"/>
          <w:color w:val="auto"/>
        </w:rPr>
      </w:pPr>
      <w:r>
        <w:rPr>
          <w:rFonts w:ascii="Arial" w:cs="Arial" w:eastAsia="Arial" w:hAnsi="Arial"/>
          <w:sz w:val="16"/>
          <w:szCs w:val="16"/>
          <w:color w:val="auto"/>
        </w:rPr>
        <w:t>live audio webcast at virtualshareholdermeeting. com/HURN2026</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Voting</w:t>
      </w:r>
    </w:p>
    <w:p>
      <w:pPr>
        <w:sectPr>
          <w:pgSz w:w="11900" w:h="16838" w:orient="portrait"/>
          <w:cols w:equalWidth="0" w:num="2">
            <w:col w:w="6220" w:space="560"/>
            <w:col w:w="2280"/>
          </w:cols>
          <w:pgMar w:left="1400" w:top="114" w:right="1439" w:bottom="160" w:gutter="0" w:footer="0" w:header="0"/>
          <w:type w:val="continuous"/>
        </w:sectPr>
      </w:pPr>
    </w:p>
    <w:bookmarkStart w:id="4" w:name="page5"/>
    <w:bookmarkEnd w:id="4"/>
    <w:p>
      <w:pPr>
        <w:spacing w:after="0" w:line="40" w:lineRule="exact"/>
        <w:rPr>
          <w:sz w:val="20"/>
          <w:szCs w:val="20"/>
          <w:color w:val="auto"/>
        </w:rPr>
      </w:pPr>
    </w:p>
    <w:p>
      <w:pPr>
        <w:spacing w:after="0" w:line="209" w:lineRule="auto"/>
        <w:rPr>
          <w:sz w:val="20"/>
          <w:szCs w:val="20"/>
          <w:color w:val="auto"/>
        </w:rPr>
      </w:pPr>
      <w:r>
        <w:rPr>
          <w:rFonts w:ascii="Arial" w:cs="Arial" w:eastAsia="Arial" w:hAnsi="Arial"/>
          <w:sz w:val="16"/>
          <w:szCs w:val="16"/>
          <w:color w:val="auto"/>
        </w:rPr>
        <w:t>Only stockholders of record at the close of business on March 9, 2026 will be entitled to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-186055</wp:posOffset>
            </wp:positionV>
            <wp:extent cx="6810375" cy="2642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2642235"/>
                    </a:xfrm>
                    <a:prstGeom prst="rect">
                      <a:avLst/>
                    </a:prstGeom>
                    <a:noFill/>
                  </pic:spPr>
                </pic:pic>
              </a:graphicData>
            </a:graphic>
          </wp:anchor>
        </w:drawing>
      </w:r>
    </w:p>
    <w:p>
      <w:pPr>
        <w:spacing w:after="0" w:line="130"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Your vote is very important, regardless of the number of shares you hold. Whether or not you plan to attend the Annual Meeting, please cast your vote, as instructed in the Notice of Internet Availability of Proxy Materials or proxy card, over the Internet,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1857375</wp:posOffset>
            </wp:positionV>
            <wp:extent cx="6810375" cy="779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779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Only stockholders of record at the close of business on March 9, 2026 will be entitled to notice of and to vote at the Annual Meeting.</w:t>
      </w:r>
    </w:p>
    <w:p>
      <w:pPr>
        <w:spacing w:after="0" w:line="110" w:lineRule="exact"/>
        <w:rPr>
          <w:sz w:val="20"/>
          <w:szCs w:val="20"/>
          <w:color w:val="auto"/>
        </w:rPr>
      </w:pPr>
    </w:p>
    <w:p>
      <w:pPr>
        <w:ind w:right="600"/>
        <w:spacing w:after="0" w:line="300" w:lineRule="auto"/>
        <w:rPr>
          <w:sz w:val="20"/>
          <w:szCs w:val="20"/>
          <w:color w:val="auto"/>
        </w:rPr>
      </w:pPr>
      <w:r>
        <w:rPr>
          <w:rFonts w:ascii="Arial" w:cs="Arial" w:eastAsia="Arial" w:hAnsi="Arial"/>
          <w:sz w:val="16"/>
          <w:szCs w:val="16"/>
          <w:color w:val="auto"/>
        </w:rPr>
        <w:t>Your vote is very important, regardless of the number of shares you hold.</w:t>
      </w:r>
    </w:p>
    <w:p>
      <w:pPr>
        <w:spacing w:after="0" w:line="200" w:lineRule="exact"/>
        <w:rPr>
          <w:sz w:val="20"/>
          <w:szCs w:val="20"/>
          <w:color w:val="auto"/>
        </w:rPr>
      </w:pPr>
    </w:p>
    <w:p>
      <w:pPr>
        <w:sectPr>
          <w:pgSz w:w="11900" w:h="16879" w:orient="portrait"/>
          <w:cols w:equalWidth="0" w:num="2">
            <w:col w:w="6080" w:space="700"/>
            <w:col w:w="230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If you received only a Notice of Internet Availability of Proxy Materials in the mail or by electronic mail, you may also request a paper proxy card to submit your vote by mail, if you prefer. However, we encourage you to vote over the Internet because it is convenient and will save printing costs and postage fees, as well as natural resources.</w:t>
      </w:r>
    </w:p>
    <w:p>
      <w:pPr>
        <w:sectPr>
          <w:pgSz w:w="11900" w:h="16879" w:orient="portrait"/>
          <w:cols w:equalWidth="0" w:num="1">
            <w:col w:w="9080"/>
          </w:cols>
          <w:pgMar w:left="1400" w:top="114"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Phone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1-800-690-6903</w:t>
      </w:r>
    </w:p>
    <w:p>
      <w:pPr>
        <w:spacing w:after="0" w:line="69" w:lineRule="exact"/>
        <w:rPr>
          <w:sz w:val="20"/>
          <w:szCs w:val="20"/>
          <w:color w:val="auto"/>
        </w:rPr>
      </w:pPr>
    </w:p>
    <w:p>
      <w:pPr>
        <w:ind w:left="240"/>
        <w:spacing w:after="0" w:line="267" w:lineRule="auto"/>
        <w:rPr>
          <w:sz w:val="20"/>
          <w:szCs w:val="20"/>
          <w:color w:val="auto"/>
        </w:rPr>
      </w:pPr>
      <w:r>
        <w:rPr>
          <w:rFonts w:ascii="Arial" w:cs="Arial" w:eastAsia="Arial" w:hAnsi="Arial"/>
          <w:sz w:val="14"/>
          <w:szCs w:val="14"/>
          <w:color w:val="auto"/>
        </w:rPr>
        <w:t>Use any touch-tone telephone to transmit your voting instructions. Vote by 11:59 p.m. ET on May 7, 2026. Have your proxy card in hand when you call and the follow the instructions.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48"/>
        </w:trPr>
        <w:tc>
          <w:tcPr>
            <w:tcW w:w="100" w:type="dxa"/>
            <w:vAlign w:val="bottom"/>
            <w:tcBorders>
              <w:right w:val="single" w:sz="8" w:color="B2B3B6"/>
            </w:tcBorders>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Borders>
              <w:right w:val="single" w:sz="8" w:color="B2B3B6"/>
            </w:tcBorders>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Borders>
              <w:right w:val="single" w:sz="8" w:color="F2F3F2"/>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vMerge w:val="restart"/>
            <w:shd w:val="clear" w:color="auto" w:fill="F2F3F2"/>
          </w:tcPr>
          <w:p>
            <w:pPr>
              <w:ind w:left="120"/>
              <w:spacing w:after="0"/>
              <w:rPr>
                <w:sz w:val="20"/>
                <w:szCs w:val="20"/>
                <w:color w:val="auto"/>
              </w:rPr>
            </w:pPr>
            <w:r>
              <w:rPr>
                <w:rFonts w:ascii="Arial" w:cs="Arial" w:eastAsia="Arial" w:hAnsi="Arial"/>
                <w:sz w:val="18"/>
                <w:szCs w:val="18"/>
                <w:b w:val="1"/>
                <w:bCs w:val="1"/>
                <w:color w:val="auto"/>
              </w:rPr>
              <w:t>Mail</w:t>
            </w:r>
          </w:p>
        </w:tc>
        <w:tc>
          <w:tcPr>
            <w:tcW w:w="100" w:type="dxa"/>
            <w:vAlign w:val="bottom"/>
            <w:tcBorders>
              <w:right w:val="single" w:sz="8" w:color="F2F3F2"/>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20" w:type="dxa"/>
            <w:vAlign w:val="bottom"/>
            <w:vMerge w:val="restart"/>
            <w:shd w:val="clear" w:color="auto" w:fill="F2F3F2"/>
          </w:tcPr>
          <w:p>
            <w:pPr>
              <w:ind w:left="140"/>
              <w:spacing w:after="0"/>
              <w:rPr>
                <w:sz w:val="20"/>
                <w:szCs w:val="20"/>
                <w:color w:val="auto"/>
              </w:rPr>
            </w:pPr>
            <w:r>
              <w:rPr>
                <w:rFonts w:ascii="Arial" w:cs="Arial" w:eastAsia="Arial" w:hAnsi="Arial"/>
                <w:sz w:val="18"/>
                <w:szCs w:val="18"/>
                <w:b w:val="1"/>
                <w:bCs w:val="1"/>
                <w:color w:val="auto"/>
              </w:rPr>
              <w:t>Online</w:t>
            </w:r>
          </w:p>
        </w:tc>
        <w:tc>
          <w:tcPr>
            <w:tcW w:w="0" w:type="dxa"/>
            <w:vAlign w:val="bottom"/>
          </w:tcPr>
          <w:p>
            <w:pPr>
              <w:spacing w:after="0"/>
              <w:rPr>
                <w:sz w:val="1"/>
                <w:szCs w:val="1"/>
                <w:color w:val="auto"/>
              </w:rPr>
            </w:pPr>
          </w:p>
        </w:tc>
      </w:tr>
      <w:tr>
        <w:trPr>
          <w:trHeight w:val="255"/>
        </w:trPr>
        <w:tc>
          <w:tcPr>
            <w:tcW w:w="100" w:type="dxa"/>
            <w:vAlign w:val="bottom"/>
            <w:tcBorders>
              <w:right w:val="single" w:sz="8" w:color="B2B3B6"/>
            </w:tcBorders>
            <w:shd w:val="clear" w:color="auto" w:fill="F2F3F2"/>
          </w:tcPr>
          <w:p>
            <w:pPr>
              <w:spacing w:after="0"/>
              <w:rPr>
                <w:sz w:val="22"/>
                <w:szCs w:val="22"/>
                <w:color w:val="auto"/>
              </w:rPr>
            </w:pPr>
          </w:p>
        </w:tc>
        <w:tc>
          <w:tcPr>
            <w:tcW w:w="80" w:type="dxa"/>
            <w:vAlign w:val="bottom"/>
            <w:shd w:val="clear" w:color="auto" w:fill="F2F3F2"/>
          </w:tcPr>
          <w:p>
            <w:pPr>
              <w:spacing w:after="0"/>
              <w:rPr>
                <w:sz w:val="22"/>
                <w:szCs w:val="22"/>
                <w:color w:val="auto"/>
              </w:rPr>
            </w:pPr>
          </w:p>
        </w:tc>
        <w:tc>
          <w:tcPr>
            <w:tcW w:w="2840" w:type="dxa"/>
            <w:vAlign w:val="bottom"/>
            <w:vMerge w:val="continue"/>
            <w:shd w:val="clear" w:color="auto" w:fill="F2F3F2"/>
          </w:tcPr>
          <w:p>
            <w:pPr>
              <w:spacing w:after="0"/>
              <w:rPr>
                <w:sz w:val="22"/>
                <w:szCs w:val="22"/>
                <w:color w:val="auto"/>
              </w:rPr>
            </w:pPr>
          </w:p>
        </w:tc>
        <w:tc>
          <w:tcPr>
            <w:tcW w:w="100" w:type="dxa"/>
            <w:vAlign w:val="bottom"/>
            <w:tcBorders>
              <w:right w:val="single" w:sz="8" w:color="B2B3B6"/>
            </w:tcBorders>
            <w:shd w:val="clear" w:color="auto" w:fill="F2F3F2"/>
          </w:tcPr>
          <w:p>
            <w:pPr>
              <w:spacing w:after="0"/>
              <w:rPr>
                <w:sz w:val="22"/>
                <w:szCs w:val="22"/>
                <w:color w:val="auto"/>
              </w:rPr>
            </w:pPr>
          </w:p>
        </w:tc>
        <w:tc>
          <w:tcPr>
            <w:tcW w:w="80" w:type="dxa"/>
            <w:vAlign w:val="bottom"/>
            <w:shd w:val="clear" w:color="auto" w:fill="F2F3F2"/>
          </w:tcPr>
          <w:p>
            <w:pPr>
              <w:spacing w:after="0"/>
              <w:rPr>
                <w:sz w:val="22"/>
                <w:szCs w:val="22"/>
                <w:color w:val="auto"/>
              </w:rPr>
            </w:pPr>
          </w:p>
        </w:tc>
        <w:tc>
          <w:tcPr>
            <w:tcW w:w="2920" w:type="dxa"/>
            <w:vAlign w:val="bottom"/>
            <w:vMerge w:val="continue"/>
            <w:shd w:val="clear" w:color="auto" w:fill="F2F3F2"/>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0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Mark, sign and date your proxy card and</w:t>
            </w:r>
          </w:p>
        </w:tc>
        <w:tc>
          <w:tcPr>
            <w:tcW w:w="10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Use the Internet to transmit your voting</w:t>
            </w:r>
          </w:p>
        </w:tc>
        <w:tc>
          <w:tcPr>
            <w:tcW w:w="0" w:type="dxa"/>
            <w:vAlign w:val="bottom"/>
          </w:tcPr>
          <w:p>
            <w:pPr>
              <w:spacing w:after="0"/>
              <w:rPr>
                <w:sz w:val="1"/>
                <w:szCs w:val="1"/>
                <w:color w:val="auto"/>
              </w:rPr>
            </w:pPr>
          </w:p>
        </w:tc>
      </w:tr>
      <w:tr>
        <w:trPr>
          <w:trHeight w:val="175"/>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return it in the postage-paid envelope</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instructions and for electronic delivery</w:t>
            </w:r>
          </w:p>
        </w:tc>
        <w:tc>
          <w:tcPr>
            <w:tcW w:w="0" w:type="dxa"/>
            <w:vAlign w:val="bottom"/>
          </w:tcPr>
          <w:p>
            <w:pPr>
              <w:spacing w:after="0"/>
              <w:rPr>
                <w:sz w:val="1"/>
                <w:szCs w:val="1"/>
                <w:color w:val="auto"/>
              </w:rPr>
            </w:pPr>
          </w:p>
        </w:tc>
      </w:tr>
      <w:tr>
        <w:trPr>
          <w:trHeight w:val="162"/>
        </w:trPr>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we have provided or return it to Vote</w:t>
            </w: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of information. Vote by 11:59 p.m. ET on</w:t>
            </w:r>
          </w:p>
        </w:tc>
        <w:tc>
          <w:tcPr>
            <w:tcW w:w="0" w:type="dxa"/>
            <w:vAlign w:val="bottom"/>
          </w:tcPr>
          <w:p>
            <w:pPr>
              <w:spacing w:after="0"/>
              <w:rPr>
                <w:sz w:val="1"/>
                <w:szCs w:val="1"/>
                <w:color w:val="auto"/>
              </w:rPr>
            </w:pPr>
          </w:p>
        </w:tc>
      </w:tr>
      <w:tr>
        <w:trPr>
          <w:trHeight w:val="175"/>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Processing, c/o Broadridge, 51</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May 7, 2026. Have your proxy card in</w:t>
            </w:r>
          </w:p>
        </w:tc>
        <w:tc>
          <w:tcPr>
            <w:tcW w:w="0" w:type="dxa"/>
            <w:vAlign w:val="bottom"/>
          </w:tcPr>
          <w:p>
            <w:pPr>
              <w:spacing w:after="0"/>
              <w:rPr>
                <w:sz w:val="1"/>
                <w:szCs w:val="1"/>
                <w:color w:val="auto"/>
              </w:rPr>
            </w:pPr>
          </w:p>
        </w:tc>
      </w:tr>
      <w:tr>
        <w:trPr>
          <w:trHeight w:val="175"/>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Mercedes Way, Edgewood, NY 11717.</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hand when you access the website and</w:t>
            </w:r>
          </w:p>
        </w:tc>
        <w:tc>
          <w:tcPr>
            <w:tcW w:w="0" w:type="dxa"/>
            <w:vAlign w:val="bottom"/>
          </w:tcPr>
          <w:p>
            <w:pPr>
              <w:spacing w:after="0"/>
              <w:rPr>
                <w:sz w:val="1"/>
                <w:szCs w:val="1"/>
                <w:color w:val="auto"/>
              </w:rPr>
            </w:pPr>
          </w:p>
        </w:tc>
      </w:tr>
      <w:tr>
        <w:trPr>
          <w:trHeight w:val="175"/>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follow the instructions to obtain your</w:t>
            </w:r>
          </w:p>
        </w:tc>
        <w:tc>
          <w:tcPr>
            <w:tcW w:w="0" w:type="dxa"/>
            <w:vAlign w:val="bottom"/>
          </w:tcPr>
          <w:p>
            <w:pPr>
              <w:spacing w:after="0"/>
              <w:rPr>
                <w:sz w:val="1"/>
                <w:szCs w:val="1"/>
                <w:color w:val="auto"/>
              </w:rPr>
            </w:pPr>
          </w:p>
        </w:tc>
      </w:tr>
      <w:tr>
        <w:trPr>
          <w:trHeight w:val="176"/>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records and to create an electronic</w:t>
            </w:r>
          </w:p>
        </w:tc>
        <w:tc>
          <w:tcPr>
            <w:tcW w:w="0" w:type="dxa"/>
            <w:vAlign w:val="bottom"/>
          </w:tcPr>
          <w:p>
            <w:pPr>
              <w:spacing w:after="0"/>
              <w:rPr>
                <w:sz w:val="1"/>
                <w:szCs w:val="1"/>
                <w:color w:val="auto"/>
              </w:rPr>
            </w:pPr>
          </w:p>
        </w:tc>
      </w:tr>
      <w:tr>
        <w:trPr>
          <w:trHeight w:val="198"/>
        </w:trPr>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40" w:type="dxa"/>
            <w:vAlign w:val="bottom"/>
            <w:shd w:val="clear" w:color="auto" w:fill="F2F3F2"/>
          </w:tcPr>
          <w:p>
            <w:pPr>
              <w:spacing w:after="0"/>
              <w:rPr>
                <w:sz w:val="17"/>
                <w:szCs w:val="17"/>
                <w:color w:val="auto"/>
              </w:rPr>
            </w:pP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voting instruction form.</w:t>
            </w:r>
          </w:p>
        </w:tc>
        <w:tc>
          <w:tcPr>
            <w:tcW w:w="0" w:type="dxa"/>
            <w:vAlign w:val="bottom"/>
          </w:tcPr>
          <w:p>
            <w:pPr>
              <w:spacing w:after="0"/>
              <w:rPr>
                <w:sz w:val="1"/>
                <w:szCs w:val="1"/>
                <w:color w:val="auto"/>
              </w:rPr>
            </w:pPr>
          </w:p>
        </w:tc>
      </w:tr>
      <w:tr>
        <w:trPr>
          <w:trHeight w:val="270"/>
        </w:trPr>
        <w:tc>
          <w:tcPr>
            <w:tcW w:w="10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840" w:type="dxa"/>
            <w:vAlign w:val="bottom"/>
            <w:shd w:val="clear" w:color="auto" w:fill="F2F3F2"/>
          </w:tcPr>
          <w:p>
            <w:pPr>
              <w:spacing w:after="0"/>
              <w:rPr>
                <w:sz w:val="23"/>
                <w:szCs w:val="23"/>
                <w:color w:val="auto"/>
              </w:rPr>
            </w:pPr>
          </w:p>
        </w:tc>
        <w:tc>
          <w:tcPr>
            <w:tcW w:w="10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920" w:type="dxa"/>
            <w:vAlign w:val="bottom"/>
            <w:shd w:val="clear" w:color="auto" w:fill="F2F3F2"/>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79" w:orient="portrait"/>
          <w:cols w:equalWidth="0" w:num="2">
            <w:col w:w="2900" w:space="60"/>
            <w:col w:w="6120"/>
          </w:cols>
          <w:pgMar w:left="1400" w:top="114" w:right="1419" w:bottom="0" w:gutter="0" w:footer="0" w:header="0"/>
          <w:type w:val="continuous"/>
        </w:sectPr>
      </w:pPr>
    </w:p>
    <w:p>
      <w:pPr>
        <w:spacing w:after="0" w:line="218"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We intend to hold our Annual Meeting via live audio webcast. You will not be able to attend in person. If we do decide to hold our Annual Meeting in person, then we will announce our decision and post additional information on our Investor Relations website at https://ir.huronconsultinggroup.com. Please check this website in advance of the Annual Meeting date.</w:t>
      </w:r>
    </w:p>
    <w:p>
      <w:pPr>
        <w:spacing w:after="0" w:line="8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Stockholders who wish to attend the Annual Meeting via live audio webcast may do so via the website reflected on their proxy card. We have worked to offer the same participation opportunities as were provided at the in-person portion of our past meetings while further enhancing the online experience available to all stockholders regardless of their location. During the Annual Meeting, stockholders will have the opportunity to ask questions of management or directors via live chat and to vote or change their previous vote. You may also address any questions in advance of the Annual Meeting to Corporate Secretary, Huron Consulting Group Inc., 550 West Van Buren Street, 17th Floor, Chicago, Illinois 60607, or </w:t>
      </w:r>
      <w:r>
        <w:rPr>
          <w:rFonts w:ascii="Arial" w:cs="Arial" w:eastAsia="Arial" w:hAnsi="Arial"/>
          <w:sz w:val="16"/>
          <w:szCs w:val="16"/>
          <w:i w:val="1"/>
          <w:iCs w:val="1"/>
          <w:color w:val="auto"/>
        </w:rPr>
        <w:t>corporatesecretary@hcg.com.</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Hope Katz</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 and Corporate Secretary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80" w:right="1400" w:hanging="1264"/>
        <w:spacing w:after="0" w:line="324" w:lineRule="auto"/>
        <w:rPr>
          <w:sz w:val="20"/>
          <w:szCs w:val="20"/>
          <w:color w:val="auto"/>
        </w:rPr>
      </w:pPr>
      <w:r>
        <w:rPr>
          <w:rFonts w:ascii="Arial" w:cs="Arial" w:eastAsia="Arial" w:hAnsi="Arial"/>
          <w:sz w:val="22"/>
          <w:szCs w:val="22"/>
          <w:b w:val="1"/>
          <w:bCs w:val="1"/>
          <w:color w:val="00558C"/>
        </w:rPr>
        <w:t>Important Notice Regarding the Availability of Proxy Materials for the Stockholder Meeting to be Held on May 8, 2026</w:t>
      </w:r>
    </w:p>
    <w:p>
      <w:pPr>
        <w:sectPr>
          <w:pgSz w:w="11900" w:h="16879" w:orient="portrait"/>
          <w:cols w:equalWidth="0" w:num="1">
            <w:col w:w="9080"/>
          </w:cols>
          <w:pgMar w:left="1400" w:top="114" w:right="1419" w:bottom="0" w:gutter="0" w:footer="0" w:header="0"/>
          <w:type w:val="continuous"/>
        </w:sectPr>
      </w:pPr>
    </w:p>
    <w:p>
      <w:pPr>
        <w:spacing w:after="0" w:line="56" w:lineRule="exact"/>
        <w:rPr>
          <w:sz w:val="20"/>
          <w:szCs w:val="20"/>
          <w:color w:val="auto"/>
        </w:rPr>
      </w:pPr>
    </w:p>
    <w:p>
      <w:pPr>
        <w:ind w:left="340"/>
        <w:spacing w:after="0"/>
        <w:rPr>
          <w:sz w:val="20"/>
          <w:szCs w:val="20"/>
          <w:color w:val="auto"/>
        </w:rPr>
      </w:pPr>
      <w:r>
        <w:rPr>
          <w:rFonts w:ascii="Arial" w:cs="Arial" w:eastAsia="Arial" w:hAnsi="Arial"/>
          <w:sz w:val="17"/>
          <w:szCs w:val="17"/>
          <w:color w:val="00558C"/>
        </w:rPr>
        <w:t>The Proxy Statement and Annual Report to Stockholders are available at www.proxyvote.com</w:t>
      </w:r>
    </w:p>
    <w:p>
      <w:pPr>
        <w:sectPr>
          <w:pgSz w:w="11900" w:h="16879" w:orient="portrait"/>
          <w:cols w:equalWidth="0" w:num="1">
            <w:col w:w="9080"/>
          </w:cols>
          <w:pgMar w:left="1400" w:top="114" w:right="1419"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014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1001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53"/>
          <w:szCs w:val="53"/>
          <w:color w:val="00558C"/>
        </w:rPr>
        <w:t>Table of Contents</w:t>
      </w:r>
    </w:p>
    <w:p>
      <w:pPr>
        <w:sectPr>
          <w:pgSz w:w="11900" w:h="16838" w:orient="portrait"/>
          <w:cols w:equalWidth="0" w:num="1">
            <w:col w:w="9080"/>
          </w:cols>
          <w:pgMar w:left="1400" w:top="1440" w:right="1419" w:bottom="1440" w:gutter="0" w:footer="0" w:header="0"/>
        </w:sectPr>
      </w:pPr>
    </w:p>
    <w:p>
      <w:pPr>
        <w:spacing w:after="0" w:line="338" w:lineRule="exact"/>
        <w:rPr>
          <w:sz w:val="20"/>
          <w:szCs w:val="20"/>
          <w:color w:val="auto"/>
        </w:rPr>
      </w:pPr>
    </w:p>
    <w:p>
      <w:pPr>
        <w:ind w:left="140"/>
        <w:spacing w:after="0"/>
        <w:rPr>
          <w:sz w:val="20"/>
          <w:szCs w:val="20"/>
          <w:color w:val="auto"/>
        </w:rPr>
      </w:pPr>
      <w:r>
        <w:rPr>
          <w:rFonts w:ascii="Arial" w:cs="Arial" w:eastAsia="Arial" w:hAnsi="Arial"/>
          <w:sz w:val="27"/>
          <w:szCs w:val="27"/>
          <w:color w:val="00558C"/>
        </w:rPr>
        <w:t>Company Overview</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27"/>
          <w:szCs w:val="27"/>
          <w:color w:val="00558C"/>
        </w:rPr>
        <w:t>General Information About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i</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00558C"/>
        </w:rPr>
        <w:t>1</w:t>
      </w:r>
    </w:p>
    <w:p>
      <w:pPr>
        <w:spacing w:after="0" w:line="158" w:lineRule="exact"/>
        <w:rPr>
          <w:sz w:val="20"/>
          <w:szCs w:val="20"/>
          <w:color w:val="auto"/>
        </w:rPr>
      </w:pPr>
    </w:p>
    <w:p>
      <w:pPr>
        <w:sectPr>
          <w:pgSz w:w="11900" w:h="16838" w:orient="portrait"/>
          <w:cols w:equalWidth="0" w:num="2">
            <w:col w:w="8240" w:space="720"/>
            <w:col w:w="120"/>
          </w:cols>
          <w:pgMar w:left="1400" w:top="1440" w:right="1419" w:bottom="1440" w:gutter="0" w:footer="0" w:header="0"/>
          <w:type w:val="continuous"/>
        </w:sectPr>
      </w:pPr>
    </w:p>
    <w:tbl>
      <w:tblPr>
        <w:tblLayout w:type="fixed"/>
        <w:tblInd w:w="80" w:type="dxa"/>
        <w:tblCellMar>
          <w:top w:w="0" w:type="dxa"/>
          <w:left w:w="0" w:type="dxa"/>
          <w:bottom w:w="0" w:type="dxa"/>
          <w:right w:w="0" w:type="dxa"/>
        </w:tblCellMar>
      </w:tblPr>
      <w:tr>
        <w:trPr>
          <w:trHeight w:val="289"/>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Quorum and Voting Requirements</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1</w:t>
            </w:r>
          </w:p>
        </w:tc>
      </w:tr>
      <w:tr>
        <w:trPr>
          <w:trHeight w:val="75"/>
        </w:trPr>
        <w:tc>
          <w:tcPr>
            <w:tcW w:w="6900" w:type="dxa"/>
            <w:vAlign w:val="bottom"/>
            <w:tcBorders>
              <w:bottom w:val="single" w:sz="8" w:color="B2B3B6"/>
            </w:tcBorders>
            <w:shd w:val="clear" w:color="auto" w:fill="F2F3F2"/>
          </w:tcPr>
          <w:p>
            <w:pPr>
              <w:spacing w:after="0"/>
              <w:rPr>
                <w:sz w:val="6"/>
                <w:szCs w:val="6"/>
                <w:color w:val="auto"/>
              </w:rPr>
            </w:pPr>
          </w:p>
        </w:tc>
        <w:tc>
          <w:tcPr>
            <w:tcW w:w="2100" w:type="dxa"/>
            <w:vAlign w:val="bottom"/>
            <w:tcBorders>
              <w:bottom w:val="single" w:sz="8" w:color="B2B3B6"/>
            </w:tcBorders>
            <w:shd w:val="clear" w:color="auto" w:fill="F2F3F2"/>
          </w:tcPr>
          <w:p>
            <w:pPr>
              <w:spacing w:after="0"/>
              <w:rPr>
                <w:sz w:val="6"/>
                <w:szCs w:val="6"/>
                <w:color w:val="auto"/>
              </w:rPr>
            </w:pPr>
          </w:p>
        </w:tc>
      </w:tr>
      <w:tr>
        <w:trPr>
          <w:trHeight w:val="363"/>
        </w:trPr>
        <w:tc>
          <w:tcPr>
            <w:tcW w:w="6900" w:type="dxa"/>
            <w:vAlign w:val="bottom"/>
          </w:tcPr>
          <w:p>
            <w:pPr>
              <w:ind w:left="60"/>
              <w:spacing w:after="0"/>
              <w:rPr>
                <w:sz w:val="20"/>
                <w:szCs w:val="20"/>
                <w:color w:val="auto"/>
              </w:rPr>
            </w:pPr>
            <w:r>
              <w:rPr>
                <w:rFonts w:ascii="Arial" w:cs="Arial" w:eastAsia="Arial" w:hAnsi="Arial"/>
                <w:sz w:val="27"/>
                <w:szCs w:val="27"/>
                <w:color w:val="00558C"/>
              </w:rPr>
              <w:t>Proposal One - Election of Directors</w:t>
            </w:r>
          </w:p>
        </w:tc>
        <w:tc>
          <w:tcPr>
            <w:tcW w:w="2100" w:type="dxa"/>
            <w:vAlign w:val="bottom"/>
          </w:tcPr>
          <w:p>
            <w:pPr>
              <w:jc w:val="right"/>
              <w:spacing w:after="0"/>
              <w:rPr>
                <w:sz w:val="20"/>
                <w:szCs w:val="20"/>
                <w:color w:val="auto"/>
              </w:rPr>
            </w:pPr>
            <w:r>
              <w:rPr>
                <w:rFonts w:ascii="Arial" w:cs="Arial" w:eastAsia="Arial" w:hAnsi="Arial"/>
                <w:sz w:val="14"/>
                <w:szCs w:val="14"/>
                <w:color w:val="00558C"/>
              </w:rPr>
              <w:t>2</w:t>
            </w:r>
          </w:p>
        </w:tc>
      </w:tr>
      <w:tr>
        <w:trPr>
          <w:trHeight w:val="63"/>
        </w:trPr>
        <w:tc>
          <w:tcPr>
            <w:tcW w:w="690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89"/>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Board of Directors</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w:t>
            </w:r>
          </w:p>
        </w:tc>
      </w:tr>
      <w:tr>
        <w:trPr>
          <w:trHeight w:val="75"/>
        </w:trPr>
        <w:tc>
          <w:tcPr>
            <w:tcW w:w="6900" w:type="dxa"/>
            <w:vAlign w:val="bottom"/>
            <w:shd w:val="clear" w:color="auto" w:fill="F2F3F2"/>
          </w:tcPr>
          <w:p>
            <w:pPr>
              <w:spacing w:after="0"/>
              <w:rPr>
                <w:sz w:val="6"/>
                <w:szCs w:val="6"/>
                <w:color w:val="auto"/>
              </w:rPr>
            </w:pPr>
          </w:p>
        </w:tc>
        <w:tc>
          <w:tcPr>
            <w:tcW w:w="2100" w:type="dxa"/>
            <w:vAlign w:val="bottom"/>
            <w:shd w:val="clear" w:color="auto" w:fill="F2F3F2"/>
          </w:tcPr>
          <w:p>
            <w:pPr>
              <w:spacing w:after="0"/>
              <w:rPr>
                <w:sz w:val="6"/>
                <w:szCs w:val="6"/>
                <w:color w:val="auto"/>
              </w:rPr>
            </w:pPr>
          </w:p>
        </w:tc>
      </w:tr>
      <w:tr>
        <w:trPr>
          <w:trHeight w:val="290"/>
        </w:trPr>
        <w:tc>
          <w:tcPr>
            <w:tcW w:w="6900" w:type="dxa"/>
            <w:vAlign w:val="bottom"/>
          </w:tcPr>
          <w:p>
            <w:pPr>
              <w:ind w:left="60"/>
              <w:spacing w:after="0"/>
              <w:rPr>
                <w:sz w:val="20"/>
                <w:szCs w:val="20"/>
                <w:color w:val="auto"/>
              </w:rPr>
            </w:pPr>
            <w:r>
              <w:rPr>
                <w:rFonts w:ascii="Arial" w:cs="Arial" w:eastAsia="Arial" w:hAnsi="Arial"/>
                <w:sz w:val="16"/>
                <w:szCs w:val="16"/>
                <w:b w:val="1"/>
                <w:bCs w:val="1"/>
                <w:color w:val="00558C"/>
              </w:rPr>
              <w:t>About the Board</w:t>
            </w:r>
          </w:p>
        </w:tc>
        <w:tc>
          <w:tcPr>
            <w:tcW w:w="2100" w:type="dxa"/>
            <w:vAlign w:val="bottom"/>
          </w:tcPr>
          <w:p>
            <w:pPr>
              <w:jc w:val="right"/>
              <w:spacing w:after="0"/>
              <w:rPr>
                <w:sz w:val="20"/>
                <w:szCs w:val="20"/>
                <w:color w:val="auto"/>
              </w:rPr>
            </w:pPr>
            <w:r>
              <w:rPr>
                <w:rFonts w:ascii="Arial" w:cs="Arial" w:eastAsia="Arial" w:hAnsi="Arial"/>
                <w:sz w:val="14"/>
                <w:szCs w:val="14"/>
                <w:color w:val="00558C"/>
              </w:rPr>
              <w:t>3</w:t>
            </w:r>
          </w:p>
        </w:tc>
      </w:tr>
      <w:tr>
        <w:trPr>
          <w:trHeight w:val="75"/>
        </w:trPr>
        <w:tc>
          <w:tcPr>
            <w:tcW w:w="6900" w:type="dxa"/>
            <w:vAlign w:val="bottom"/>
          </w:tcPr>
          <w:p>
            <w:pPr>
              <w:spacing w:after="0"/>
              <w:rPr>
                <w:sz w:val="6"/>
                <w:szCs w:val="6"/>
                <w:color w:val="auto"/>
              </w:rPr>
            </w:pPr>
          </w:p>
        </w:tc>
        <w:tc>
          <w:tcPr>
            <w:tcW w:w="2100" w:type="dxa"/>
            <w:vAlign w:val="bottom"/>
          </w:tcPr>
          <w:p>
            <w:pPr>
              <w:spacing w:after="0"/>
              <w:rPr>
                <w:sz w:val="6"/>
                <w:szCs w:val="6"/>
                <w:color w:val="auto"/>
              </w:rPr>
            </w:pPr>
          </w:p>
        </w:tc>
      </w:tr>
      <w:tr>
        <w:trPr>
          <w:trHeight w:val="290"/>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Nominees to Board of Directors</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6</w:t>
            </w:r>
          </w:p>
        </w:tc>
      </w:tr>
      <w:tr>
        <w:trPr>
          <w:trHeight w:val="75"/>
        </w:trPr>
        <w:tc>
          <w:tcPr>
            <w:tcW w:w="6900" w:type="dxa"/>
            <w:vAlign w:val="bottom"/>
            <w:shd w:val="clear" w:color="auto" w:fill="F2F3F2"/>
          </w:tcPr>
          <w:p>
            <w:pPr>
              <w:spacing w:after="0"/>
              <w:rPr>
                <w:sz w:val="6"/>
                <w:szCs w:val="6"/>
                <w:color w:val="auto"/>
              </w:rPr>
            </w:pPr>
          </w:p>
        </w:tc>
        <w:tc>
          <w:tcPr>
            <w:tcW w:w="2100" w:type="dxa"/>
            <w:vAlign w:val="bottom"/>
            <w:shd w:val="clear" w:color="auto" w:fill="F2F3F2"/>
          </w:tcPr>
          <w:p>
            <w:pPr>
              <w:spacing w:after="0"/>
              <w:rPr>
                <w:sz w:val="6"/>
                <w:szCs w:val="6"/>
                <w:color w:val="auto"/>
              </w:rPr>
            </w:pPr>
          </w:p>
        </w:tc>
      </w:tr>
      <w:tr>
        <w:trPr>
          <w:trHeight w:val="289"/>
        </w:trPr>
        <w:tc>
          <w:tcPr>
            <w:tcW w:w="6900" w:type="dxa"/>
            <w:vAlign w:val="bottom"/>
          </w:tcPr>
          <w:p>
            <w:pPr>
              <w:ind w:left="60"/>
              <w:spacing w:after="0"/>
              <w:rPr>
                <w:sz w:val="20"/>
                <w:szCs w:val="20"/>
                <w:color w:val="auto"/>
              </w:rPr>
            </w:pPr>
            <w:r>
              <w:rPr>
                <w:rFonts w:ascii="Arial" w:cs="Arial" w:eastAsia="Arial" w:hAnsi="Arial"/>
                <w:sz w:val="16"/>
                <w:szCs w:val="16"/>
                <w:b w:val="1"/>
                <w:bCs w:val="1"/>
                <w:color w:val="00558C"/>
              </w:rPr>
              <w:t>Director Independence</w:t>
            </w:r>
          </w:p>
        </w:tc>
        <w:tc>
          <w:tcPr>
            <w:tcW w:w="2100" w:type="dxa"/>
            <w:vAlign w:val="bottom"/>
          </w:tcPr>
          <w:p>
            <w:pPr>
              <w:jc w:val="right"/>
              <w:spacing w:after="0"/>
              <w:rPr>
                <w:sz w:val="20"/>
                <w:szCs w:val="20"/>
                <w:color w:val="auto"/>
              </w:rPr>
            </w:pPr>
            <w:r>
              <w:rPr>
                <w:rFonts w:ascii="Arial" w:cs="Arial" w:eastAsia="Arial" w:hAnsi="Arial"/>
                <w:sz w:val="14"/>
                <w:szCs w:val="14"/>
                <w:color w:val="00558C"/>
              </w:rPr>
              <w:t>14</w:t>
            </w:r>
          </w:p>
        </w:tc>
      </w:tr>
      <w:tr>
        <w:trPr>
          <w:trHeight w:val="75"/>
        </w:trPr>
        <w:tc>
          <w:tcPr>
            <w:tcW w:w="6900" w:type="dxa"/>
            <w:vAlign w:val="bottom"/>
            <w:tcBorders>
              <w:bottom w:val="single" w:sz="8" w:color="B2B3B6"/>
            </w:tcBorders>
          </w:tcPr>
          <w:p>
            <w:pPr>
              <w:spacing w:after="0"/>
              <w:rPr>
                <w:sz w:val="6"/>
                <w:szCs w:val="6"/>
                <w:color w:val="auto"/>
              </w:rPr>
            </w:pPr>
          </w:p>
        </w:tc>
        <w:tc>
          <w:tcPr>
            <w:tcW w:w="2100" w:type="dxa"/>
            <w:vAlign w:val="bottom"/>
            <w:tcBorders>
              <w:bottom w:val="single" w:sz="8" w:color="B2B3B6"/>
            </w:tcBorders>
          </w:tcPr>
          <w:p>
            <w:pPr>
              <w:spacing w:after="0"/>
              <w:rPr>
                <w:sz w:val="6"/>
                <w:szCs w:val="6"/>
                <w:color w:val="auto"/>
              </w:rPr>
            </w:pPr>
          </w:p>
        </w:tc>
      </w:tr>
      <w:tr>
        <w:trPr>
          <w:trHeight w:val="377"/>
        </w:trPr>
        <w:tc>
          <w:tcPr>
            <w:tcW w:w="6900" w:type="dxa"/>
            <w:vAlign w:val="bottom"/>
          </w:tcPr>
          <w:p>
            <w:pPr>
              <w:ind w:left="60"/>
              <w:spacing w:after="0"/>
              <w:rPr>
                <w:sz w:val="20"/>
                <w:szCs w:val="20"/>
                <w:color w:val="auto"/>
              </w:rPr>
            </w:pPr>
            <w:r>
              <w:rPr>
                <w:rFonts w:ascii="Arial" w:cs="Arial" w:eastAsia="Arial" w:hAnsi="Arial"/>
                <w:sz w:val="27"/>
                <w:szCs w:val="27"/>
                <w:color w:val="00558C"/>
              </w:rPr>
              <w:t>Corporate Governance</w:t>
            </w:r>
          </w:p>
        </w:tc>
        <w:tc>
          <w:tcPr>
            <w:tcW w:w="2100" w:type="dxa"/>
            <w:vAlign w:val="bottom"/>
          </w:tcPr>
          <w:p>
            <w:pPr>
              <w:jc w:val="right"/>
              <w:spacing w:after="0"/>
              <w:rPr>
                <w:sz w:val="20"/>
                <w:szCs w:val="20"/>
                <w:color w:val="auto"/>
              </w:rPr>
            </w:pPr>
            <w:r>
              <w:rPr>
                <w:rFonts w:ascii="Arial" w:cs="Arial" w:eastAsia="Arial" w:hAnsi="Arial"/>
                <w:sz w:val="14"/>
                <w:szCs w:val="14"/>
                <w:color w:val="00558C"/>
              </w:rPr>
              <w:t>15</w:t>
            </w:r>
          </w:p>
        </w:tc>
      </w:tr>
      <w:tr>
        <w:trPr>
          <w:trHeight w:val="90"/>
        </w:trPr>
        <w:tc>
          <w:tcPr>
            <w:tcW w:w="6900" w:type="dxa"/>
            <w:vAlign w:val="bottom"/>
          </w:tcPr>
          <w:p>
            <w:pPr>
              <w:spacing w:after="0"/>
              <w:rPr>
                <w:sz w:val="7"/>
                <w:szCs w:val="7"/>
                <w:color w:val="auto"/>
              </w:rPr>
            </w:pPr>
          </w:p>
        </w:tc>
        <w:tc>
          <w:tcPr>
            <w:tcW w:w="2100" w:type="dxa"/>
            <w:vAlign w:val="bottom"/>
          </w:tcPr>
          <w:p>
            <w:pPr>
              <w:spacing w:after="0"/>
              <w:rPr>
                <w:sz w:val="7"/>
                <w:szCs w:val="7"/>
                <w:color w:val="auto"/>
              </w:rPr>
            </w:pPr>
          </w:p>
        </w:tc>
      </w:tr>
      <w:tr>
        <w:trPr>
          <w:trHeight w:val="290"/>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Board Compensation, Leadership Structure and Risk Oversight</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15</w:t>
            </w:r>
          </w:p>
        </w:tc>
      </w:tr>
      <w:tr>
        <w:trPr>
          <w:trHeight w:val="75"/>
        </w:trPr>
        <w:tc>
          <w:tcPr>
            <w:tcW w:w="6900" w:type="dxa"/>
            <w:vAlign w:val="bottom"/>
            <w:shd w:val="clear" w:color="auto" w:fill="F2F3F2"/>
          </w:tcPr>
          <w:p>
            <w:pPr>
              <w:spacing w:after="0"/>
              <w:rPr>
                <w:sz w:val="6"/>
                <w:szCs w:val="6"/>
                <w:color w:val="auto"/>
              </w:rPr>
            </w:pPr>
          </w:p>
        </w:tc>
        <w:tc>
          <w:tcPr>
            <w:tcW w:w="2100" w:type="dxa"/>
            <w:vAlign w:val="bottom"/>
            <w:shd w:val="clear" w:color="auto" w:fill="F2F3F2"/>
          </w:tcPr>
          <w:p>
            <w:pPr>
              <w:spacing w:after="0"/>
              <w:rPr>
                <w:sz w:val="6"/>
                <w:szCs w:val="6"/>
                <w:color w:val="auto"/>
              </w:rPr>
            </w:pPr>
          </w:p>
        </w:tc>
      </w:tr>
      <w:tr>
        <w:trPr>
          <w:trHeight w:val="289"/>
        </w:trPr>
        <w:tc>
          <w:tcPr>
            <w:tcW w:w="6900" w:type="dxa"/>
            <w:vAlign w:val="bottom"/>
          </w:tcPr>
          <w:p>
            <w:pPr>
              <w:ind w:left="60"/>
              <w:spacing w:after="0"/>
              <w:rPr>
                <w:sz w:val="20"/>
                <w:szCs w:val="20"/>
                <w:color w:val="auto"/>
              </w:rPr>
            </w:pPr>
            <w:r>
              <w:rPr>
                <w:rFonts w:ascii="Arial" w:cs="Arial" w:eastAsia="Arial" w:hAnsi="Arial"/>
                <w:sz w:val="16"/>
                <w:szCs w:val="16"/>
                <w:b w:val="1"/>
                <w:bCs w:val="1"/>
                <w:color w:val="00558C"/>
              </w:rPr>
              <w:t>Board Meetings and Committees</w:t>
            </w:r>
          </w:p>
        </w:tc>
        <w:tc>
          <w:tcPr>
            <w:tcW w:w="2100" w:type="dxa"/>
            <w:vAlign w:val="bottom"/>
          </w:tcPr>
          <w:p>
            <w:pPr>
              <w:jc w:val="right"/>
              <w:spacing w:after="0"/>
              <w:rPr>
                <w:sz w:val="20"/>
                <w:szCs w:val="20"/>
                <w:color w:val="auto"/>
              </w:rPr>
            </w:pPr>
            <w:r>
              <w:rPr>
                <w:rFonts w:ascii="Arial" w:cs="Arial" w:eastAsia="Arial" w:hAnsi="Arial"/>
                <w:sz w:val="14"/>
                <w:szCs w:val="14"/>
                <w:color w:val="00558C"/>
              </w:rPr>
              <w:t>18</w:t>
            </w:r>
          </w:p>
        </w:tc>
      </w:tr>
      <w:tr>
        <w:trPr>
          <w:trHeight w:val="75"/>
        </w:trPr>
        <w:tc>
          <w:tcPr>
            <w:tcW w:w="6900" w:type="dxa"/>
            <w:vAlign w:val="bottom"/>
          </w:tcPr>
          <w:p>
            <w:pPr>
              <w:spacing w:after="0"/>
              <w:rPr>
                <w:sz w:val="6"/>
                <w:szCs w:val="6"/>
                <w:color w:val="auto"/>
              </w:rPr>
            </w:pPr>
          </w:p>
        </w:tc>
        <w:tc>
          <w:tcPr>
            <w:tcW w:w="2100" w:type="dxa"/>
            <w:vAlign w:val="bottom"/>
          </w:tcPr>
          <w:p>
            <w:pPr>
              <w:spacing w:after="0"/>
              <w:rPr>
                <w:sz w:val="6"/>
                <w:szCs w:val="6"/>
                <w:color w:val="auto"/>
              </w:rPr>
            </w:pPr>
          </w:p>
        </w:tc>
      </w:tr>
      <w:tr>
        <w:trPr>
          <w:trHeight w:val="290"/>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Director Resignation Policy</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22</w:t>
            </w:r>
          </w:p>
        </w:tc>
      </w:tr>
      <w:tr>
        <w:trPr>
          <w:trHeight w:val="75"/>
        </w:trPr>
        <w:tc>
          <w:tcPr>
            <w:tcW w:w="6900" w:type="dxa"/>
            <w:vAlign w:val="bottom"/>
            <w:shd w:val="clear" w:color="auto" w:fill="F2F3F2"/>
          </w:tcPr>
          <w:p>
            <w:pPr>
              <w:spacing w:after="0"/>
              <w:rPr>
                <w:sz w:val="6"/>
                <w:szCs w:val="6"/>
                <w:color w:val="auto"/>
              </w:rPr>
            </w:pPr>
          </w:p>
        </w:tc>
        <w:tc>
          <w:tcPr>
            <w:tcW w:w="2100" w:type="dxa"/>
            <w:vAlign w:val="bottom"/>
            <w:shd w:val="clear" w:color="auto" w:fill="F2F3F2"/>
          </w:tcPr>
          <w:p>
            <w:pPr>
              <w:spacing w:after="0"/>
              <w:rPr>
                <w:sz w:val="6"/>
                <w:szCs w:val="6"/>
                <w:color w:val="auto"/>
              </w:rPr>
            </w:pPr>
          </w:p>
        </w:tc>
      </w:tr>
      <w:tr>
        <w:trPr>
          <w:trHeight w:val="290"/>
        </w:trPr>
        <w:tc>
          <w:tcPr>
            <w:tcW w:w="6900" w:type="dxa"/>
            <w:vAlign w:val="bottom"/>
          </w:tcPr>
          <w:p>
            <w:pPr>
              <w:ind w:left="60"/>
              <w:spacing w:after="0"/>
              <w:rPr>
                <w:sz w:val="20"/>
                <w:szCs w:val="20"/>
                <w:color w:val="auto"/>
              </w:rPr>
            </w:pPr>
            <w:r>
              <w:rPr>
                <w:rFonts w:ascii="Arial" w:cs="Arial" w:eastAsia="Arial" w:hAnsi="Arial"/>
                <w:sz w:val="16"/>
                <w:szCs w:val="16"/>
                <w:b w:val="1"/>
                <w:bCs w:val="1"/>
                <w:color w:val="00558C"/>
              </w:rPr>
              <w:t>Range of Board Skills and Experiences</w:t>
            </w:r>
          </w:p>
        </w:tc>
        <w:tc>
          <w:tcPr>
            <w:tcW w:w="2100" w:type="dxa"/>
            <w:vAlign w:val="bottom"/>
          </w:tcPr>
          <w:p>
            <w:pPr>
              <w:jc w:val="right"/>
              <w:spacing w:after="0"/>
              <w:rPr>
                <w:sz w:val="20"/>
                <w:szCs w:val="20"/>
                <w:color w:val="auto"/>
              </w:rPr>
            </w:pPr>
            <w:r>
              <w:rPr>
                <w:rFonts w:ascii="Arial" w:cs="Arial" w:eastAsia="Arial" w:hAnsi="Arial"/>
                <w:sz w:val="14"/>
                <w:szCs w:val="14"/>
                <w:color w:val="00558C"/>
              </w:rPr>
              <w:t>22</w:t>
            </w:r>
          </w:p>
        </w:tc>
      </w:tr>
      <w:tr>
        <w:trPr>
          <w:trHeight w:val="75"/>
        </w:trPr>
        <w:tc>
          <w:tcPr>
            <w:tcW w:w="6900" w:type="dxa"/>
            <w:vAlign w:val="bottom"/>
          </w:tcPr>
          <w:p>
            <w:pPr>
              <w:spacing w:after="0"/>
              <w:rPr>
                <w:sz w:val="6"/>
                <w:szCs w:val="6"/>
                <w:color w:val="auto"/>
              </w:rPr>
            </w:pPr>
          </w:p>
        </w:tc>
        <w:tc>
          <w:tcPr>
            <w:tcW w:w="2100" w:type="dxa"/>
            <w:vAlign w:val="bottom"/>
          </w:tcPr>
          <w:p>
            <w:pPr>
              <w:spacing w:after="0"/>
              <w:rPr>
                <w:sz w:val="6"/>
                <w:szCs w:val="6"/>
                <w:color w:val="auto"/>
              </w:rPr>
            </w:pPr>
          </w:p>
        </w:tc>
      </w:tr>
      <w:tr>
        <w:trPr>
          <w:trHeight w:val="289"/>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Compensation of Directors</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23</w:t>
            </w:r>
          </w:p>
        </w:tc>
      </w:tr>
      <w:tr>
        <w:trPr>
          <w:trHeight w:val="75"/>
        </w:trPr>
        <w:tc>
          <w:tcPr>
            <w:tcW w:w="6900" w:type="dxa"/>
            <w:vAlign w:val="bottom"/>
            <w:shd w:val="clear" w:color="auto" w:fill="F2F3F2"/>
          </w:tcPr>
          <w:p>
            <w:pPr>
              <w:spacing w:after="0"/>
              <w:rPr>
                <w:sz w:val="6"/>
                <w:szCs w:val="6"/>
                <w:color w:val="auto"/>
              </w:rPr>
            </w:pPr>
          </w:p>
        </w:tc>
        <w:tc>
          <w:tcPr>
            <w:tcW w:w="2100" w:type="dxa"/>
            <w:vAlign w:val="bottom"/>
            <w:shd w:val="clear" w:color="auto" w:fill="F2F3F2"/>
          </w:tcPr>
          <w:p>
            <w:pPr>
              <w:spacing w:after="0"/>
              <w:rPr>
                <w:sz w:val="6"/>
                <w:szCs w:val="6"/>
                <w:color w:val="auto"/>
              </w:rPr>
            </w:pPr>
          </w:p>
        </w:tc>
      </w:tr>
      <w:tr>
        <w:trPr>
          <w:trHeight w:val="290"/>
        </w:trPr>
        <w:tc>
          <w:tcPr>
            <w:tcW w:w="6900" w:type="dxa"/>
            <w:vAlign w:val="bottom"/>
          </w:tcPr>
          <w:p>
            <w:pPr>
              <w:ind w:left="60"/>
              <w:spacing w:after="0"/>
              <w:rPr>
                <w:sz w:val="20"/>
                <w:szCs w:val="20"/>
                <w:color w:val="auto"/>
              </w:rPr>
            </w:pPr>
            <w:r>
              <w:rPr>
                <w:rFonts w:ascii="Arial" w:cs="Arial" w:eastAsia="Arial" w:hAnsi="Arial"/>
                <w:sz w:val="16"/>
                <w:szCs w:val="16"/>
                <w:b w:val="1"/>
                <w:bCs w:val="1"/>
                <w:color w:val="00558C"/>
              </w:rPr>
              <w:t>Director Compensation Table</w:t>
            </w:r>
          </w:p>
        </w:tc>
        <w:tc>
          <w:tcPr>
            <w:tcW w:w="2100" w:type="dxa"/>
            <w:vAlign w:val="bottom"/>
          </w:tcPr>
          <w:p>
            <w:pPr>
              <w:jc w:val="right"/>
              <w:spacing w:after="0"/>
              <w:rPr>
                <w:sz w:val="20"/>
                <w:szCs w:val="20"/>
                <w:color w:val="auto"/>
              </w:rPr>
            </w:pPr>
            <w:r>
              <w:rPr>
                <w:rFonts w:ascii="Arial" w:cs="Arial" w:eastAsia="Arial" w:hAnsi="Arial"/>
                <w:sz w:val="14"/>
                <w:szCs w:val="14"/>
                <w:color w:val="00558C"/>
              </w:rPr>
              <w:t>24</w:t>
            </w:r>
          </w:p>
        </w:tc>
      </w:tr>
      <w:tr>
        <w:trPr>
          <w:trHeight w:val="75"/>
        </w:trPr>
        <w:tc>
          <w:tcPr>
            <w:tcW w:w="6900" w:type="dxa"/>
            <w:vAlign w:val="bottom"/>
          </w:tcPr>
          <w:p>
            <w:pPr>
              <w:spacing w:after="0"/>
              <w:rPr>
                <w:sz w:val="6"/>
                <w:szCs w:val="6"/>
                <w:color w:val="auto"/>
              </w:rPr>
            </w:pPr>
          </w:p>
        </w:tc>
        <w:tc>
          <w:tcPr>
            <w:tcW w:w="2100" w:type="dxa"/>
            <w:vAlign w:val="bottom"/>
          </w:tcPr>
          <w:p>
            <w:pPr>
              <w:spacing w:after="0"/>
              <w:rPr>
                <w:sz w:val="6"/>
                <w:szCs w:val="6"/>
                <w:color w:val="auto"/>
              </w:rPr>
            </w:pPr>
          </w:p>
        </w:tc>
      </w:tr>
      <w:tr>
        <w:trPr>
          <w:trHeight w:val="290"/>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Executive Officers</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25</w:t>
            </w:r>
          </w:p>
        </w:tc>
      </w:tr>
      <w:tr>
        <w:trPr>
          <w:trHeight w:val="75"/>
        </w:trPr>
        <w:tc>
          <w:tcPr>
            <w:tcW w:w="6900" w:type="dxa"/>
            <w:vAlign w:val="bottom"/>
            <w:shd w:val="clear" w:color="auto" w:fill="F2F3F2"/>
          </w:tcPr>
          <w:p>
            <w:pPr>
              <w:spacing w:after="0"/>
              <w:rPr>
                <w:sz w:val="6"/>
                <w:szCs w:val="6"/>
                <w:color w:val="auto"/>
              </w:rPr>
            </w:pPr>
          </w:p>
        </w:tc>
        <w:tc>
          <w:tcPr>
            <w:tcW w:w="2100" w:type="dxa"/>
            <w:vAlign w:val="bottom"/>
            <w:shd w:val="clear" w:color="auto" w:fill="F2F3F2"/>
          </w:tcPr>
          <w:p>
            <w:pPr>
              <w:spacing w:after="0"/>
              <w:rPr>
                <w:sz w:val="6"/>
                <w:szCs w:val="6"/>
                <w:color w:val="auto"/>
              </w:rPr>
            </w:pPr>
          </w:p>
        </w:tc>
      </w:tr>
      <w:tr>
        <w:trPr>
          <w:trHeight w:val="289"/>
        </w:trPr>
        <w:tc>
          <w:tcPr>
            <w:tcW w:w="6900" w:type="dxa"/>
            <w:vAlign w:val="bottom"/>
          </w:tcPr>
          <w:p>
            <w:pPr>
              <w:ind w:left="60"/>
              <w:spacing w:after="0"/>
              <w:rPr>
                <w:sz w:val="20"/>
                <w:szCs w:val="20"/>
                <w:color w:val="auto"/>
              </w:rPr>
            </w:pPr>
            <w:r>
              <w:rPr>
                <w:rFonts w:ascii="Arial" w:cs="Arial" w:eastAsia="Arial" w:hAnsi="Arial"/>
                <w:sz w:val="16"/>
                <w:szCs w:val="16"/>
                <w:b w:val="1"/>
                <w:bCs w:val="1"/>
                <w:color w:val="00558C"/>
              </w:rPr>
              <w:t>Stock Ownership of Certain Beneficial Owners and Management</w:t>
            </w:r>
          </w:p>
        </w:tc>
        <w:tc>
          <w:tcPr>
            <w:tcW w:w="2100" w:type="dxa"/>
            <w:vAlign w:val="bottom"/>
          </w:tcPr>
          <w:p>
            <w:pPr>
              <w:jc w:val="right"/>
              <w:spacing w:after="0"/>
              <w:rPr>
                <w:sz w:val="20"/>
                <w:szCs w:val="20"/>
                <w:color w:val="auto"/>
              </w:rPr>
            </w:pPr>
            <w:r>
              <w:rPr>
                <w:rFonts w:ascii="Arial" w:cs="Arial" w:eastAsia="Arial" w:hAnsi="Arial"/>
                <w:sz w:val="14"/>
                <w:szCs w:val="14"/>
                <w:color w:val="00558C"/>
              </w:rPr>
              <w:t>26</w:t>
            </w:r>
          </w:p>
        </w:tc>
      </w:tr>
      <w:tr>
        <w:trPr>
          <w:trHeight w:val="75"/>
        </w:trPr>
        <w:tc>
          <w:tcPr>
            <w:tcW w:w="6900" w:type="dxa"/>
            <w:vAlign w:val="bottom"/>
          </w:tcPr>
          <w:p>
            <w:pPr>
              <w:spacing w:after="0"/>
              <w:rPr>
                <w:sz w:val="6"/>
                <w:szCs w:val="6"/>
                <w:color w:val="auto"/>
              </w:rPr>
            </w:pPr>
          </w:p>
        </w:tc>
        <w:tc>
          <w:tcPr>
            <w:tcW w:w="2100" w:type="dxa"/>
            <w:vAlign w:val="bottom"/>
          </w:tcPr>
          <w:p>
            <w:pPr>
              <w:spacing w:after="0"/>
              <w:rPr>
                <w:sz w:val="6"/>
                <w:szCs w:val="6"/>
                <w:color w:val="auto"/>
              </w:rPr>
            </w:pPr>
          </w:p>
        </w:tc>
      </w:tr>
      <w:tr>
        <w:trPr>
          <w:trHeight w:val="290"/>
        </w:trPr>
        <w:tc>
          <w:tcPr>
            <w:tcW w:w="690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Corporate Social Responsibility</w:t>
            </w:r>
          </w:p>
        </w:tc>
        <w:tc>
          <w:tcPr>
            <w:tcW w:w="21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29</w:t>
            </w:r>
          </w:p>
        </w:tc>
      </w:tr>
      <w:tr>
        <w:trPr>
          <w:trHeight w:val="75"/>
        </w:trPr>
        <w:tc>
          <w:tcPr>
            <w:tcW w:w="6900" w:type="dxa"/>
            <w:vAlign w:val="bottom"/>
            <w:shd w:val="clear" w:color="auto" w:fill="F2F3F2"/>
          </w:tcPr>
          <w:p>
            <w:pPr>
              <w:spacing w:after="0"/>
              <w:rPr>
                <w:sz w:val="6"/>
                <w:szCs w:val="6"/>
                <w:color w:val="auto"/>
              </w:rPr>
            </w:pPr>
          </w:p>
        </w:tc>
        <w:tc>
          <w:tcPr>
            <w:tcW w:w="2100" w:type="dxa"/>
            <w:vAlign w:val="bottom"/>
            <w:shd w:val="clear" w:color="auto" w:fill="F2F3F2"/>
          </w:tcPr>
          <w:p>
            <w:pPr>
              <w:spacing w:after="0"/>
              <w:rPr>
                <w:sz w:val="6"/>
                <w:szCs w:val="6"/>
                <w:color w:val="auto"/>
              </w:rPr>
            </w:pPr>
          </w:p>
        </w:tc>
      </w:tr>
      <w:tr>
        <w:trPr>
          <w:trHeight w:val="289"/>
        </w:trPr>
        <w:tc>
          <w:tcPr>
            <w:tcW w:w="6900" w:type="dxa"/>
            <w:vAlign w:val="bottom"/>
          </w:tcPr>
          <w:p>
            <w:pPr>
              <w:ind w:left="60"/>
              <w:spacing w:after="0"/>
              <w:rPr>
                <w:sz w:val="20"/>
                <w:szCs w:val="20"/>
                <w:color w:val="auto"/>
              </w:rPr>
            </w:pPr>
            <w:r>
              <w:rPr>
                <w:rFonts w:ascii="Arial" w:cs="Arial" w:eastAsia="Arial" w:hAnsi="Arial"/>
                <w:sz w:val="16"/>
                <w:szCs w:val="16"/>
                <w:b w:val="1"/>
                <w:bCs w:val="1"/>
                <w:color w:val="00558C"/>
              </w:rPr>
              <w:t>Stockholder Communications Policy</w:t>
            </w:r>
          </w:p>
        </w:tc>
        <w:tc>
          <w:tcPr>
            <w:tcW w:w="2100" w:type="dxa"/>
            <w:vAlign w:val="bottom"/>
          </w:tcPr>
          <w:p>
            <w:pPr>
              <w:jc w:val="right"/>
              <w:spacing w:after="0"/>
              <w:rPr>
                <w:sz w:val="20"/>
                <w:szCs w:val="20"/>
                <w:color w:val="auto"/>
              </w:rPr>
            </w:pPr>
            <w:r>
              <w:rPr>
                <w:rFonts w:ascii="Arial" w:cs="Arial" w:eastAsia="Arial" w:hAnsi="Arial"/>
                <w:sz w:val="14"/>
                <w:szCs w:val="14"/>
                <w:color w:val="00558C"/>
              </w:rPr>
              <w:t>31</w:t>
            </w:r>
          </w:p>
        </w:tc>
      </w:tr>
    </w:tbl>
    <w:p>
      <w:pPr>
        <w:spacing w:after="0" w:line="75" w:lineRule="exact"/>
        <w:rPr>
          <w:sz w:val="20"/>
          <w:szCs w:val="20"/>
          <w:color w:val="auto"/>
        </w:rPr>
      </w:pPr>
    </w:p>
    <w:p>
      <w:pPr>
        <w:sectPr>
          <w:pgSz w:w="11900" w:h="16838" w:orient="portrait"/>
          <w:cols w:equalWidth="0" w:num="1">
            <w:col w:w="9080"/>
          </w:cols>
          <w:pgMar w:left="1400" w:top="1440" w:right="1419" w:bottom="1440" w:gutter="0" w:footer="0" w:header="0"/>
          <w:type w:val="continuous"/>
        </w:sectPr>
      </w:pPr>
    </w:p>
    <w:p>
      <w:pPr>
        <w:ind w:left="140" w:right="1240"/>
        <w:spacing w:after="0" w:line="285" w:lineRule="auto"/>
        <w:rPr>
          <w:sz w:val="20"/>
          <w:szCs w:val="20"/>
          <w:color w:val="auto"/>
        </w:rPr>
      </w:pPr>
      <w:r>
        <w:rPr>
          <w:rFonts w:ascii="Arial" w:cs="Arial" w:eastAsia="Arial" w:hAnsi="Arial"/>
          <w:sz w:val="27"/>
          <w:szCs w:val="27"/>
          <w:color w:val="00558C"/>
        </w:rPr>
        <w:t>Proposal Two - Advisory Vote to Approve the Company’s Executive Compensation</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27"/>
          <w:szCs w:val="27"/>
          <w:color w:val="00558C"/>
        </w:rPr>
        <w:t>Executive Compensation</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558C"/>
        </w:rPr>
        <w:t>Compensation Discussion and Analysis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558C"/>
        </w:rPr>
        <w:t>Compensation Committee Report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00558C"/>
        </w:rPr>
        <w:t>32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00558C"/>
        </w:rPr>
        <w:t>33</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00558C"/>
        </w:rPr>
        <w:t>34</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00558C"/>
        </w:rPr>
        <w:t>49</w:t>
      </w:r>
    </w:p>
    <w:p>
      <w:pPr>
        <w:spacing w:after="0" w:line="172" w:lineRule="exact"/>
        <w:rPr>
          <w:sz w:val="20"/>
          <w:szCs w:val="20"/>
          <w:color w:val="auto"/>
        </w:rPr>
      </w:pPr>
    </w:p>
    <w:p>
      <w:pPr>
        <w:sectPr>
          <w:pgSz w:w="11900" w:h="16838" w:orient="portrait"/>
          <w:cols w:equalWidth="0" w:num="2">
            <w:col w:w="8160" w:space="720"/>
            <w:col w:w="200"/>
          </w:cols>
          <w:pgMar w:left="1400" w:top="1440" w:right="1419" w:bottom="1440" w:gutter="0" w:footer="0" w:header="0"/>
          <w:type w:val="continuous"/>
        </w:sectPr>
      </w:pPr>
    </w:p>
    <w:p>
      <w:pPr>
        <w:ind w:left="140"/>
        <w:spacing w:after="0"/>
        <w:tabs>
          <w:tab w:leader="none" w:pos="8860" w:val="left"/>
        </w:tabs>
        <w:rPr>
          <w:sz w:val="20"/>
          <w:szCs w:val="20"/>
          <w:color w:val="auto"/>
        </w:rPr>
      </w:pPr>
      <w:r>
        <w:rPr>
          <w:rFonts w:ascii="Arial" w:cs="Arial" w:eastAsia="Arial" w:hAnsi="Arial"/>
          <w:sz w:val="16"/>
          <w:szCs w:val="16"/>
          <w:b w:val="1"/>
          <w:bCs w:val="1"/>
          <w:color w:val="00558C"/>
        </w:rPr>
        <w:t>2025 Summary Compensation Table</w:t>
      </w:r>
      <w:r>
        <w:rPr>
          <w:sz w:val="20"/>
          <w:szCs w:val="20"/>
          <w:color w:val="auto"/>
        </w:rPr>
        <w:tab/>
      </w:r>
      <w:r>
        <w:rPr>
          <w:rFonts w:ascii="Arial" w:cs="Arial" w:eastAsia="Arial" w:hAnsi="Arial"/>
          <w:sz w:val="14"/>
          <w:szCs w:val="14"/>
          <w:color w:val="00558C"/>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798830</wp:posOffset>
            </wp:positionV>
            <wp:extent cx="6810375" cy="419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419100"/>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type w:val="continuous"/>
        </w:sectPr>
      </w:pPr>
    </w:p>
    <w:bookmarkStart w:id="6" w:name="page7"/>
    <w:bookmarkEnd w:id="6"/>
    <w:tbl>
      <w:tblPr>
        <w:tblLayout w:type="fixed"/>
        <w:tblInd w:w="80" w:type="dxa"/>
        <w:tblCellMar>
          <w:top w:w="0" w:type="dxa"/>
          <w:left w:w="0" w:type="dxa"/>
          <w:bottom w:w="0" w:type="dxa"/>
          <w:right w:w="0" w:type="dxa"/>
        </w:tblCellMar>
      </w:tblPr>
      <w:tr>
        <w:trPr>
          <w:trHeight w:val="223"/>
        </w:trPr>
        <w:tc>
          <w:tcPr>
            <w:tcW w:w="460" w:type="dxa"/>
            <w:vAlign w:val="bottom"/>
          </w:tcPr>
          <w:p>
            <w:pPr>
              <w:ind w:left="60"/>
              <w:spacing w:after="0"/>
              <w:rPr>
                <w:sz w:val="20"/>
                <w:szCs w:val="20"/>
                <w:color w:val="auto"/>
              </w:rPr>
            </w:pPr>
            <w:r>
              <w:rPr>
                <w:rFonts w:ascii="Arial" w:cs="Arial" w:eastAsia="Arial" w:hAnsi="Arial"/>
                <w:sz w:val="16"/>
                <w:szCs w:val="16"/>
                <w:b w:val="1"/>
                <w:bCs w:val="1"/>
                <w:color w:val="00558C"/>
              </w:rPr>
              <w:t>2025</w:t>
            </w:r>
          </w:p>
        </w:tc>
        <w:tc>
          <w:tcPr>
            <w:tcW w:w="6340" w:type="dxa"/>
            <w:vAlign w:val="bottom"/>
          </w:tcPr>
          <w:p>
            <w:pPr>
              <w:ind w:left="20"/>
              <w:spacing w:after="0"/>
              <w:rPr>
                <w:sz w:val="20"/>
                <w:szCs w:val="20"/>
                <w:color w:val="auto"/>
              </w:rPr>
            </w:pPr>
            <w:r>
              <w:rPr>
                <w:rFonts w:ascii="Arial" w:cs="Arial" w:eastAsia="Arial" w:hAnsi="Arial"/>
                <w:sz w:val="16"/>
                <w:szCs w:val="16"/>
                <w:b w:val="1"/>
                <w:bCs w:val="1"/>
                <w:color w:val="00558C"/>
              </w:rPr>
              <w:t>Grants of Plan-Based Awards</w:t>
            </w:r>
          </w:p>
        </w:tc>
        <w:tc>
          <w:tcPr>
            <w:tcW w:w="2200" w:type="dxa"/>
            <w:vAlign w:val="bottom"/>
          </w:tcPr>
          <w:p>
            <w:pPr>
              <w:jc w:val="right"/>
              <w:spacing w:after="0"/>
              <w:rPr>
                <w:sz w:val="20"/>
                <w:szCs w:val="20"/>
                <w:color w:val="auto"/>
              </w:rPr>
            </w:pPr>
            <w:r>
              <w:rPr>
                <w:rFonts w:ascii="Arial" w:cs="Arial" w:eastAsia="Arial" w:hAnsi="Arial"/>
                <w:sz w:val="14"/>
                <w:szCs w:val="14"/>
                <w:color w:val="00558C"/>
              </w:rPr>
              <w:t>52</w:t>
            </w:r>
          </w:p>
        </w:tc>
      </w:tr>
      <w:tr>
        <w:trPr>
          <w:trHeight w:val="61"/>
        </w:trPr>
        <w:tc>
          <w:tcPr>
            <w:tcW w:w="46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200" w:type="dxa"/>
            <w:vAlign w:val="bottom"/>
          </w:tcPr>
          <w:p>
            <w:pPr>
              <w:spacing w:after="0"/>
              <w:rPr>
                <w:sz w:val="5"/>
                <w:szCs w:val="5"/>
                <w:color w:val="auto"/>
              </w:rPr>
            </w:pPr>
          </w:p>
        </w:tc>
      </w:tr>
      <w:tr>
        <w:trPr>
          <w:trHeight w:val="290"/>
        </w:trPr>
        <w:tc>
          <w:tcPr>
            <w:tcW w:w="46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2025</w:t>
            </w:r>
          </w:p>
        </w:tc>
        <w:tc>
          <w:tcPr>
            <w:tcW w:w="6340" w:type="dxa"/>
            <w:vAlign w:val="bottom"/>
            <w:shd w:val="clear" w:color="auto" w:fill="F2F3F2"/>
          </w:tcPr>
          <w:p>
            <w:pPr>
              <w:ind w:left="20"/>
              <w:spacing w:after="0"/>
              <w:rPr>
                <w:sz w:val="20"/>
                <w:szCs w:val="20"/>
                <w:color w:val="auto"/>
              </w:rPr>
            </w:pPr>
            <w:r>
              <w:rPr>
                <w:rFonts w:ascii="Arial" w:cs="Arial" w:eastAsia="Arial" w:hAnsi="Arial"/>
                <w:sz w:val="16"/>
                <w:szCs w:val="16"/>
                <w:b w:val="1"/>
                <w:bCs w:val="1"/>
                <w:color w:val="00558C"/>
              </w:rPr>
              <w:t>Outstanding Equity Awards at Fiscal Year-End</w:t>
            </w:r>
          </w:p>
        </w:tc>
        <w:tc>
          <w:tcPr>
            <w:tcW w:w="22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53</w:t>
            </w:r>
          </w:p>
        </w:tc>
      </w:tr>
      <w:tr>
        <w:trPr>
          <w:trHeight w:val="75"/>
        </w:trPr>
        <w:tc>
          <w:tcPr>
            <w:tcW w:w="460" w:type="dxa"/>
            <w:vAlign w:val="bottom"/>
            <w:shd w:val="clear" w:color="auto" w:fill="F2F3F2"/>
          </w:tcPr>
          <w:p>
            <w:pPr>
              <w:spacing w:after="0"/>
              <w:rPr>
                <w:sz w:val="6"/>
                <w:szCs w:val="6"/>
                <w:color w:val="auto"/>
              </w:rPr>
            </w:pPr>
          </w:p>
        </w:tc>
        <w:tc>
          <w:tcPr>
            <w:tcW w:w="6340" w:type="dxa"/>
            <w:vAlign w:val="bottom"/>
            <w:shd w:val="clear" w:color="auto" w:fill="F2F3F2"/>
          </w:tcPr>
          <w:p>
            <w:pPr>
              <w:spacing w:after="0"/>
              <w:rPr>
                <w:sz w:val="6"/>
                <w:szCs w:val="6"/>
                <w:color w:val="auto"/>
              </w:rPr>
            </w:pPr>
          </w:p>
        </w:tc>
        <w:tc>
          <w:tcPr>
            <w:tcW w:w="2200" w:type="dxa"/>
            <w:vAlign w:val="bottom"/>
            <w:shd w:val="clear" w:color="auto" w:fill="F2F3F2"/>
          </w:tcPr>
          <w:p>
            <w:pPr>
              <w:spacing w:after="0"/>
              <w:rPr>
                <w:sz w:val="6"/>
                <w:szCs w:val="6"/>
                <w:color w:val="auto"/>
              </w:rPr>
            </w:pPr>
          </w:p>
        </w:tc>
      </w:tr>
      <w:tr>
        <w:trPr>
          <w:trHeight w:val="289"/>
        </w:trPr>
        <w:tc>
          <w:tcPr>
            <w:tcW w:w="460" w:type="dxa"/>
            <w:vAlign w:val="bottom"/>
          </w:tcPr>
          <w:p>
            <w:pPr>
              <w:ind w:left="60"/>
              <w:spacing w:after="0"/>
              <w:rPr>
                <w:sz w:val="20"/>
                <w:szCs w:val="20"/>
                <w:color w:val="auto"/>
              </w:rPr>
            </w:pPr>
            <w:r>
              <w:rPr>
                <w:rFonts w:ascii="Arial" w:cs="Arial" w:eastAsia="Arial" w:hAnsi="Arial"/>
                <w:sz w:val="16"/>
                <w:szCs w:val="16"/>
                <w:b w:val="1"/>
                <w:bCs w:val="1"/>
                <w:color w:val="00558C"/>
              </w:rPr>
              <w:t>2025</w:t>
            </w:r>
          </w:p>
        </w:tc>
        <w:tc>
          <w:tcPr>
            <w:tcW w:w="6340" w:type="dxa"/>
            <w:vAlign w:val="bottom"/>
          </w:tcPr>
          <w:p>
            <w:pPr>
              <w:ind w:left="20"/>
              <w:spacing w:after="0"/>
              <w:rPr>
                <w:sz w:val="20"/>
                <w:szCs w:val="20"/>
                <w:color w:val="auto"/>
              </w:rPr>
            </w:pPr>
            <w:r>
              <w:rPr>
                <w:rFonts w:ascii="Arial" w:cs="Arial" w:eastAsia="Arial" w:hAnsi="Arial"/>
                <w:sz w:val="16"/>
                <w:szCs w:val="16"/>
                <w:b w:val="1"/>
                <w:bCs w:val="1"/>
                <w:color w:val="00558C"/>
              </w:rPr>
              <w:t>Option Exercises and Stock Vested</w:t>
            </w:r>
          </w:p>
        </w:tc>
        <w:tc>
          <w:tcPr>
            <w:tcW w:w="2200" w:type="dxa"/>
            <w:vAlign w:val="bottom"/>
          </w:tcPr>
          <w:p>
            <w:pPr>
              <w:jc w:val="right"/>
              <w:spacing w:after="0"/>
              <w:rPr>
                <w:sz w:val="20"/>
                <w:szCs w:val="20"/>
                <w:color w:val="auto"/>
              </w:rPr>
            </w:pPr>
            <w:r>
              <w:rPr>
                <w:rFonts w:ascii="Arial" w:cs="Arial" w:eastAsia="Arial" w:hAnsi="Arial"/>
                <w:sz w:val="14"/>
                <w:szCs w:val="14"/>
                <w:color w:val="00558C"/>
              </w:rPr>
              <w:t>55</w:t>
            </w:r>
          </w:p>
        </w:tc>
      </w:tr>
      <w:tr>
        <w:trPr>
          <w:trHeight w:val="75"/>
        </w:trPr>
        <w:tc>
          <w:tcPr>
            <w:tcW w:w="46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200" w:type="dxa"/>
            <w:vAlign w:val="bottom"/>
          </w:tcPr>
          <w:p>
            <w:pPr>
              <w:spacing w:after="0"/>
              <w:rPr>
                <w:sz w:val="6"/>
                <w:szCs w:val="6"/>
                <w:color w:val="auto"/>
              </w:rPr>
            </w:pPr>
          </w:p>
        </w:tc>
      </w:tr>
      <w:tr>
        <w:trPr>
          <w:trHeight w:val="289"/>
        </w:trPr>
        <w:tc>
          <w:tcPr>
            <w:tcW w:w="46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2025</w:t>
            </w:r>
          </w:p>
        </w:tc>
        <w:tc>
          <w:tcPr>
            <w:tcW w:w="6340" w:type="dxa"/>
            <w:vAlign w:val="bottom"/>
            <w:shd w:val="clear" w:color="auto" w:fill="F2F3F2"/>
          </w:tcPr>
          <w:p>
            <w:pPr>
              <w:ind w:left="20"/>
              <w:spacing w:after="0"/>
              <w:rPr>
                <w:sz w:val="20"/>
                <w:szCs w:val="20"/>
                <w:color w:val="auto"/>
              </w:rPr>
            </w:pPr>
            <w:r>
              <w:rPr>
                <w:rFonts w:ascii="Arial" w:cs="Arial" w:eastAsia="Arial" w:hAnsi="Arial"/>
                <w:sz w:val="16"/>
                <w:szCs w:val="16"/>
                <w:b w:val="1"/>
                <w:bCs w:val="1"/>
                <w:color w:val="00558C"/>
              </w:rPr>
              <w:t>Nonqualified Deferred Compensation</w:t>
            </w:r>
          </w:p>
        </w:tc>
        <w:tc>
          <w:tcPr>
            <w:tcW w:w="22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55</w:t>
            </w:r>
          </w:p>
        </w:tc>
      </w:tr>
      <w:tr>
        <w:trPr>
          <w:trHeight w:val="75"/>
        </w:trPr>
        <w:tc>
          <w:tcPr>
            <w:tcW w:w="6800" w:type="dxa"/>
            <w:vAlign w:val="bottom"/>
            <w:gridSpan w:val="2"/>
            <w:shd w:val="clear" w:color="auto" w:fill="F2F3F2"/>
          </w:tcPr>
          <w:p>
            <w:pPr>
              <w:spacing w:after="0"/>
              <w:rPr>
                <w:sz w:val="6"/>
                <w:szCs w:val="6"/>
                <w:color w:val="auto"/>
              </w:rPr>
            </w:pPr>
          </w:p>
        </w:tc>
        <w:tc>
          <w:tcPr>
            <w:tcW w:w="2200" w:type="dxa"/>
            <w:vAlign w:val="bottom"/>
            <w:shd w:val="clear" w:color="auto" w:fill="F2F3F2"/>
          </w:tcPr>
          <w:p>
            <w:pPr>
              <w:spacing w:after="0"/>
              <w:rPr>
                <w:sz w:val="6"/>
                <w:szCs w:val="6"/>
                <w:color w:val="auto"/>
              </w:rPr>
            </w:pPr>
          </w:p>
        </w:tc>
      </w:tr>
      <w:tr>
        <w:trPr>
          <w:trHeight w:val="290"/>
        </w:trPr>
        <w:tc>
          <w:tcPr>
            <w:tcW w:w="6800" w:type="dxa"/>
            <w:vAlign w:val="bottom"/>
            <w:gridSpan w:val="2"/>
          </w:tcPr>
          <w:p>
            <w:pPr>
              <w:ind w:left="60"/>
              <w:spacing w:after="0"/>
              <w:rPr>
                <w:sz w:val="20"/>
                <w:szCs w:val="20"/>
                <w:color w:val="auto"/>
              </w:rPr>
            </w:pPr>
            <w:r>
              <w:rPr>
                <w:rFonts w:ascii="Arial" w:cs="Arial" w:eastAsia="Arial" w:hAnsi="Arial"/>
                <w:sz w:val="16"/>
                <w:szCs w:val="16"/>
                <w:b w:val="1"/>
                <w:bCs w:val="1"/>
                <w:color w:val="00558C"/>
              </w:rPr>
              <w:t>Potential Payments upon Termination or Change of Control</w:t>
            </w:r>
          </w:p>
        </w:tc>
        <w:tc>
          <w:tcPr>
            <w:tcW w:w="2200" w:type="dxa"/>
            <w:vAlign w:val="bottom"/>
          </w:tcPr>
          <w:p>
            <w:pPr>
              <w:jc w:val="right"/>
              <w:spacing w:after="0"/>
              <w:rPr>
                <w:sz w:val="20"/>
                <w:szCs w:val="20"/>
                <w:color w:val="auto"/>
              </w:rPr>
            </w:pPr>
            <w:r>
              <w:rPr>
                <w:rFonts w:ascii="Arial" w:cs="Arial" w:eastAsia="Arial" w:hAnsi="Arial"/>
                <w:sz w:val="14"/>
                <w:szCs w:val="14"/>
                <w:color w:val="00558C"/>
              </w:rPr>
              <w:t>56</w:t>
            </w:r>
          </w:p>
        </w:tc>
      </w:tr>
      <w:tr>
        <w:trPr>
          <w:trHeight w:val="75"/>
        </w:trPr>
        <w:tc>
          <w:tcPr>
            <w:tcW w:w="6800" w:type="dxa"/>
            <w:vAlign w:val="bottom"/>
            <w:gridSpan w:val="2"/>
          </w:tcPr>
          <w:p>
            <w:pPr>
              <w:spacing w:after="0"/>
              <w:rPr>
                <w:sz w:val="6"/>
                <w:szCs w:val="6"/>
                <w:color w:val="auto"/>
              </w:rPr>
            </w:pPr>
          </w:p>
        </w:tc>
        <w:tc>
          <w:tcPr>
            <w:tcW w:w="2200" w:type="dxa"/>
            <w:vAlign w:val="bottom"/>
          </w:tcPr>
          <w:p>
            <w:pPr>
              <w:spacing w:after="0"/>
              <w:rPr>
                <w:sz w:val="6"/>
                <w:szCs w:val="6"/>
                <w:color w:val="auto"/>
              </w:rPr>
            </w:pPr>
          </w:p>
        </w:tc>
      </w:tr>
      <w:tr>
        <w:trPr>
          <w:trHeight w:val="289"/>
        </w:trPr>
        <w:tc>
          <w:tcPr>
            <w:tcW w:w="680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00558C"/>
              </w:rPr>
              <w:t>Pay Versus Performance</w:t>
            </w:r>
          </w:p>
        </w:tc>
        <w:tc>
          <w:tcPr>
            <w:tcW w:w="22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62</w:t>
            </w:r>
          </w:p>
        </w:tc>
      </w:tr>
      <w:tr>
        <w:trPr>
          <w:trHeight w:val="75"/>
        </w:trPr>
        <w:tc>
          <w:tcPr>
            <w:tcW w:w="6800" w:type="dxa"/>
            <w:vAlign w:val="bottom"/>
            <w:gridSpan w:val="2"/>
            <w:shd w:val="clear" w:color="auto" w:fill="F2F3F2"/>
          </w:tcPr>
          <w:p>
            <w:pPr>
              <w:spacing w:after="0"/>
              <w:rPr>
                <w:sz w:val="6"/>
                <w:szCs w:val="6"/>
                <w:color w:val="auto"/>
              </w:rPr>
            </w:pPr>
          </w:p>
        </w:tc>
        <w:tc>
          <w:tcPr>
            <w:tcW w:w="2200" w:type="dxa"/>
            <w:vAlign w:val="bottom"/>
            <w:shd w:val="clear" w:color="auto" w:fill="F2F3F2"/>
          </w:tcPr>
          <w:p>
            <w:pPr>
              <w:spacing w:after="0"/>
              <w:rPr>
                <w:sz w:val="6"/>
                <w:szCs w:val="6"/>
                <w:color w:val="auto"/>
              </w:rPr>
            </w:pPr>
          </w:p>
        </w:tc>
      </w:tr>
      <w:tr>
        <w:trPr>
          <w:trHeight w:val="290"/>
        </w:trPr>
        <w:tc>
          <w:tcPr>
            <w:tcW w:w="6800" w:type="dxa"/>
            <w:vAlign w:val="bottom"/>
            <w:gridSpan w:val="2"/>
          </w:tcPr>
          <w:p>
            <w:pPr>
              <w:ind w:left="60"/>
              <w:spacing w:after="0"/>
              <w:rPr>
                <w:sz w:val="20"/>
                <w:szCs w:val="20"/>
                <w:color w:val="auto"/>
              </w:rPr>
            </w:pPr>
            <w:r>
              <w:rPr>
                <w:rFonts w:ascii="Arial" w:cs="Arial" w:eastAsia="Arial" w:hAnsi="Arial"/>
                <w:sz w:val="16"/>
                <w:szCs w:val="16"/>
                <w:b w:val="1"/>
                <w:bCs w:val="1"/>
                <w:color w:val="00558C"/>
              </w:rPr>
              <w:t>CEO Pay Ratio</w:t>
            </w:r>
          </w:p>
        </w:tc>
        <w:tc>
          <w:tcPr>
            <w:tcW w:w="2200" w:type="dxa"/>
            <w:vAlign w:val="bottom"/>
          </w:tcPr>
          <w:p>
            <w:pPr>
              <w:jc w:val="right"/>
              <w:spacing w:after="0"/>
              <w:rPr>
                <w:sz w:val="20"/>
                <w:szCs w:val="20"/>
                <w:color w:val="auto"/>
              </w:rPr>
            </w:pPr>
            <w:r>
              <w:rPr>
                <w:rFonts w:ascii="Arial" w:cs="Arial" w:eastAsia="Arial" w:hAnsi="Arial"/>
                <w:sz w:val="14"/>
                <w:szCs w:val="14"/>
                <w:color w:val="00558C"/>
              </w:rPr>
              <w:t>65</w:t>
            </w:r>
          </w:p>
        </w:tc>
      </w:tr>
      <w:tr>
        <w:trPr>
          <w:trHeight w:val="75"/>
        </w:trPr>
        <w:tc>
          <w:tcPr>
            <w:tcW w:w="6800" w:type="dxa"/>
            <w:vAlign w:val="bottom"/>
            <w:gridSpan w:val="2"/>
          </w:tcPr>
          <w:p>
            <w:pPr>
              <w:spacing w:after="0"/>
              <w:rPr>
                <w:sz w:val="6"/>
                <w:szCs w:val="6"/>
                <w:color w:val="auto"/>
              </w:rPr>
            </w:pPr>
          </w:p>
        </w:tc>
        <w:tc>
          <w:tcPr>
            <w:tcW w:w="2200" w:type="dxa"/>
            <w:vAlign w:val="bottom"/>
          </w:tcPr>
          <w:p>
            <w:pPr>
              <w:spacing w:after="0"/>
              <w:rPr>
                <w:sz w:val="6"/>
                <w:szCs w:val="6"/>
                <w:color w:val="auto"/>
              </w:rPr>
            </w:pPr>
          </w:p>
        </w:tc>
      </w:tr>
      <w:tr>
        <w:trPr>
          <w:trHeight w:val="289"/>
        </w:trPr>
        <w:tc>
          <w:tcPr>
            <w:tcW w:w="680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00558C"/>
              </w:rPr>
              <w:t>Compensation Committee Interlocks and Insider Participation</w:t>
            </w:r>
          </w:p>
        </w:tc>
        <w:tc>
          <w:tcPr>
            <w:tcW w:w="220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66</w:t>
            </w:r>
          </w:p>
        </w:tc>
      </w:tr>
      <w:tr>
        <w:trPr>
          <w:trHeight w:val="75"/>
        </w:trPr>
        <w:tc>
          <w:tcPr>
            <w:tcW w:w="6800" w:type="dxa"/>
            <w:vAlign w:val="bottom"/>
            <w:gridSpan w:val="2"/>
            <w:shd w:val="clear" w:color="auto" w:fill="F2F3F2"/>
          </w:tcPr>
          <w:p>
            <w:pPr>
              <w:spacing w:after="0"/>
              <w:rPr>
                <w:sz w:val="6"/>
                <w:szCs w:val="6"/>
                <w:color w:val="auto"/>
              </w:rPr>
            </w:pPr>
          </w:p>
        </w:tc>
        <w:tc>
          <w:tcPr>
            <w:tcW w:w="2200" w:type="dxa"/>
            <w:vAlign w:val="bottom"/>
            <w:shd w:val="clear" w:color="auto" w:fill="F2F3F2"/>
          </w:tcPr>
          <w:p>
            <w:pPr>
              <w:spacing w:after="0"/>
              <w:rPr>
                <w:sz w:val="6"/>
                <w:szCs w:val="6"/>
                <w:color w:val="auto"/>
              </w:rPr>
            </w:pPr>
          </w:p>
        </w:tc>
      </w:tr>
      <w:tr>
        <w:trPr>
          <w:trHeight w:val="289"/>
        </w:trPr>
        <w:tc>
          <w:tcPr>
            <w:tcW w:w="6800" w:type="dxa"/>
            <w:vAlign w:val="bottom"/>
            <w:gridSpan w:val="2"/>
          </w:tcPr>
          <w:p>
            <w:pPr>
              <w:ind w:left="60"/>
              <w:spacing w:after="0"/>
              <w:rPr>
                <w:sz w:val="20"/>
                <w:szCs w:val="20"/>
                <w:color w:val="auto"/>
              </w:rPr>
            </w:pPr>
            <w:r>
              <w:rPr>
                <w:rFonts w:ascii="Arial" w:cs="Arial" w:eastAsia="Arial" w:hAnsi="Arial"/>
                <w:sz w:val="16"/>
                <w:szCs w:val="16"/>
                <w:b w:val="1"/>
                <w:bCs w:val="1"/>
                <w:color w:val="00558C"/>
              </w:rPr>
              <w:t>Certain Relationships and Related Transactions</w:t>
            </w:r>
          </w:p>
        </w:tc>
        <w:tc>
          <w:tcPr>
            <w:tcW w:w="2200" w:type="dxa"/>
            <w:vAlign w:val="bottom"/>
          </w:tcPr>
          <w:p>
            <w:pPr>
              <w:jc w:val="right"/>
              <w:spacing w:after="0"/>
              <w:rPr>
                <w:sz w:val="20"/>
                <w:szCs w:val="20"/>
                <w:color w:val="auto"/>
              </w:rPr>
            </w:pPr>
            <w:r>
              <w:rPr>
                <w:rFonts w:ascii="Arial" w:cs="Arial" w:eastAsia="Arial" w:hAnsi="Arial"/>
                <w:sz w:val="14"/>
                <w:szCs w:val="14"/>
                <w:color w:val="00558C"/>
              </w:rPr>
              <w:t>66</w:t>
            </w:r>
          </w:p>
        </w:tc>
      </w:tr>
    </w:tbl>
    <w:p>
      <w:pPr>
        <w:jc w:val="right"/>
        <w:spacing w:after="0"/>
        <w:rPr>
          <w:sz w:val="20"/>
          <w:szCs w:val="20"/>
          <w:color w:val="auto"/>
        </w:rPr>
        <w:sectPr>
          <w:pgSz w:w="11900" w:h="16838" w:orient="portrait"/>
          <w:cols w:equalWidth="0" w:num="1">
            <w:col w:w="9080"/>
          </w:cols>
          <w:pgMar w:left="1400" w:top="665" w:right="1419" w:bottom="0" w:gutter="0" w:footer="0" w:header="0"/>
        </w:sect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37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437245"/>
                    </a:xfrm>
                    <a:prstGeom prst="rect">
                      <a:avLst/>
                    </a:prstGeom>
                    <a:noFill/>
                  </pic:spPr>
                </pic:pic>
              </a:graphicData>
            </a:graphic>
          </wp:anchor>
        </w:drawing>
      </w:r>
    </w:p>
    <w:p>
      <w:pPr>
        <w:spacing w:after="0" w:line="115" w:lineRule="exact"/>
        <w:rPr>
          <w:sz w:val="20"/>
          <w:szCs w:val="20"/>
          <w:color w:val="auto"/>
        </w:rPr>
      </w:pPr>
    </w:p>
    <w:p>
      <w:pPr>
        <w:ind w:left="140" w:right="740"/>
        <w:spacing w:after="0" w:line="285" w:lineRule="auto"/>
        <w:rPr>
          <w:sz w:val="20"/>
          <w:szCs w:val="20"/>
          <w:color w:val="auto"/>
        </w:rPr>
      </w:pPr>
      <w:r>
        <w:rPr>
          <w:rFonts w:ascii="Arial" w:cs="Arial" w:eastAsia="Arial" w:hAnsi="Arial"/>
          <w:sz w:val="27"/>
          <w:szCs w:val="27"/>
          <w:color w:val="00558C"/>
        </w:rPr>
        <w:t>Proposal Three - Ratification of Appointment of Independent Registered Public Accounting Firm</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558C"/>
        </w:rPr>
        <w:t>Audit and Non-Audit Fees</w:t>
      </w:r>
    </w:p>
    <w:p>
      <w:pPr>
        <w:spacing w:after="0" w:line="194" w:lineRule="exact"/>
        <w:rPr>
          <w:sz w:val="20"/>
          <w:szCs w:val="20"/>
          <w:color w:val="auto"/>
        </w:rPr>
      </w:pPr>
    </w:p>
    <w:p>
      <w:pPr>
        <w:ind w:left="140" w:right="2360"/>
        <w:spacing w:after="0" w:line="349" w:lineRule="auto"/>
        <w:rPr>
          <w:sz w:val="20"/>
          <w:szCs w:val="20"/>
          <w:color w:val="auto"/>
        </w:rPr>
      </w:pPr>
      <w:r>
        <w:rPr>
          <w:rFonts w:ascii="Arial" w:cs="Arial" w:eastAsia="Arial" w:hAnsi="Arial"/>
          <w:sz w:val="16"/>
          <w:szCs w:val="16"/>
          <w:b w:val="1"/>
          <w:bCs w:val="1"/>
          <w:color w:val="00558C"/>
        </w:rPr>
        <w:t>Policy on Audit Committee Preapproval of Audit and Non-Audit Services of Independent Registered Public Accounting Firm</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558C"/>
        </w:rPr>
        <w:t>Report of the Audit Committee</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27"/>
          <w:szCs w:val="27"/>
          <w:color w:val="00558C"/>
        </w:rPr>
        <w:t>Submission of Stockholder Proposals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27"/>
          <w:szCs w:val="27"/>
          <w:color w:val="00558C"/>
        </w:rPr>
        <w:t>Other Matters</w:t>
      </w:r>
    </w:p>
    <w:p>
      <w:pPr>
        <w:spacing w:after="0" w:line="176"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27"/>
          <w:szCs w:val="27"/>
          <w:color w:val="00558C"/>
        </w:rPr>
        <w:t>Appendix A</w:t>
        <w:tab/>
        <w:t>-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3933190</wp:posOffset>
            </wp:positionV>
            <wp:extent cx="6810375" cy="1996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1996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68</w:t>
      </w:r>
    </w:p>
    <w:p>
      <w:pPr>
        <w:spacing w:after="0" w:line="200" w:lineRule="exact"/>
        <w:rPr>
          <w:sz w:val="20"/>
          <w:szCs w:val="20"/>
          <w:color w:val="auto"/>
        </w:rPr>
      </w:pP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69</w:t>
      </w:r>
    </w:p>
    <w:p>
      <w:pPr>
        <w:spacing w:after="0" w:line="33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70</w:t>
      </w:r>
    </w:p>
    <w:p>
      <w:pPr>
        <w:spacing w:after="0" w:line="33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70</w:t>
      </w:r>
    </w:p>
    <w:p>
      <w:pPr>
        <w:spacing w:after="0" w:line="25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71</w:t>
      </w:r>
    </w:p>
    <w:p>
      <w:pPr>
        <w:spacing w:after="0" w:line="32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72</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00558C"/>
        </w:rPr>
        <w:t>A-1</w:t>
      </w:r>
    </w:p>
    <w:p>
      <w:pPr>
        <w:spacing w:after="0" w:line="236" w:lineRule="exact"/>
        <w:rPr>
          <w:sz w:val="20"/>
          <w:szCs w:val="20"/>
          <w:color w:val="auto"/>
        </w:rPr>
      </w:pPr>
    </w:p>
    <w:p>
      <w:pPr>
        <w:sectPr>
          <w:pgSz w:w="11900" w:h="16838" w:orient="portrait"/>
          <w:cols w:equalWidth="0" w:num="2">
            <w:col w:w="8080" w:space="720"/>
            <w:col w:w="280"/>
          </w:cols>
          <w:pgMar w:left="1400" w:top="665"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665"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54"/>
          <w:szCs w:val="54"/>
          <w:color w:val="00558C"/>
        </w:rPr>
        <w:t>Company Overview</w:t>
      </w:r>
    </w:p>
    <w:p>
      <w:pPr>
        <w:sectPr>
          <w:pgSz w:w="11900" w:h="16838" w:orient="portrait"/>
          <w:cols w:equalWidth="0" w:num="1">
            <w:col w:w="9080"/>
          </w:cols>
          <w:pgMar w:left="1400" w:top="665" w:right="1419" w:bottom="0" w:gutter="0" w:footer="0" w:header="0"/>
          <w:type w:val="continuous"/>
        </w:sectPr>
      </w:pPr>
    </w:p>
    <w:bookmarkStart w:id="7" w:name="page8"/>
    <w:bookmarkEnd w:id="7"/>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7167245</wp:posOffset>
            </wp:positionH>
            <wp:positionV relativeFrom="page">
              <wp:posOffset>88900</wp:posOffset>
            </wp:positionV>
            <wp:extent cx="12700" cy="6859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859905"/>
                    </a:xfrm>
                    <a:prstGeom prst="rect">
                      <a:avLst/>
                    </a:prstGeom>
                    <a:noFill/>
                  </pic:spPr>
                </pic:pic>
              </a:graphicData>
            </a:graphic>
          </wp:anchor>
        </w:drawing>
        <w:drawing>
          <wp:anchor simplePos="0" relativeHeight="251657728" behindDoc="1" locked="0" layoutInCell="0" allowOverlap="1">
            <wp:simplePos x="0" y="0"/>
            <wp:positionH relativeFrom="page">
              <wp:posOffset>368935</wp:posOffset>
            </wp:positionH>
            <wp:positionV relativeFrom="page">
              <wp:posOffset>88900</wp:posOffset>
            </wp:positionV>
            <wp:extent cx="12700" cy="6859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8599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22"/>
          <w:szCs w:val="22"/>
          <w:b w:val="1"/>
          <w:bCs w:val="1"/>
          <w:color w:val="00558C"/>
        </w:rPr>
        <w:t>About Huron</w:t>
      </w:r>
    </w:p>
    <w:p>
      <w:pPr>
        <w:spacing w:after="0" w:line="139" w:lineRule="exact"/>
        <w:rPr>
          <w:sz w:val="20"/>
          <w:szCs w:val="20"/>
          <w:color w:val="auto"/>
        </w:rPr>
      </w:pPr>
    </w:p>
    <w:p>
      <w:pPr>
        <w:ind w:left="820" w:right="880"/>
        <w:spacing w:after="0" w:line="300" w:lineRule="auto"/>
        <w:rPr>
          <w:sz w:val="20"/>
          <w:szCs w:val="20"/>
          <w:color w:val="auto"/>
        </w:rPr>
      </w:pPr>
      <w:r>
        <w:rPr>
          <w:rFonts w:ascii="Arial" w:cs="Arial" w:eastAsia="Arial" w:hAnsi="Arial"/>
          <w:sz w:val="16"/>
          <w:szCs w:val="16"/>
          <w:color w:val="auto"/>
        </w:rPr>
        <w:t>Huron is a global professional services firm that partners with clients to put possible into practice by creating sound strategies, optimizing operations, accelerating digital transformation, and empowering organizations to own their future. By embracing diverse perspectives, encouraging new ideas and challenging the status quo, we create sustainable results for the organizations we serve.</w:t>
      </w:r>
    </w:p>
    <w:p>
      <w:pPr>
        <w:spacing w:after="0" w:line="10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137795</wp:posOffset>
            </wp:positionV>
            <wp:extent cx="59690" cy="3206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3206115"/>
                    </a:xfrm>
                    <a:prstGeom prst="rect">
                      <a:avLst/>
                    </a:prstGeom>
                    <a:noFill/>
                  </pic:spPr>
                </pic:pic>
              </a:graphicData>
            </a:graphic>
          </wp:anchor>
        </w:drawing>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2260" w:type="dxa"/>
            <w:vAlign w:val="bottom"/>
            <w:tcBorders>
              <w:right w:val="single" w:sz="8" w:color="F2F3F2"/>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r>
      <w:tr>
        <w:trPr>
          <w:trHeight w:val="810"/>
        </w:trPr>
        <w:tc>
          <w:tcPr>
            <w:tcW w:w="100" w:type="dxa"/>
            <w:vAlign w:val="bottom"/>
          </w:tcPr>
          <w:p>
            <w:pPr>
              <w:spacing w:after="0"/>
              <w:rPr>
                <w:sz w:val="24"/>
                <w:szCs w:val="24"/>
                <w:color w:val="auto"/>
              </w:rPr>
            </w:pPr>
          </w:p>
        </w:tc>
        <w:tc>
          <w:tcPr>
            <w:tcW w:w="2060" w:type="dxa"/>
            <w:vAlign w:val="bottom"/>
            <w:shd w:val="clear" w:color="auto" w:fill="F2F3F2"/>
          </w:tcPr>
          <w:p>
            <w:pPr>
              <w:spacing w:after="0"/>
              <w:rPr>
                <w:sz w:val="24"/>
                <w:szCs w:val="24"/>
                <w:color w:val="auto"/>
              </w:rPr>
            </w:pPr>
          </w:p>
        </w:tc>
        <w:tc>
          <w:tcPr>
            <w:tcW w:w="120" w:type="dxa"/>
            <w:vAlign w:val="bottom"/>
            <w:tcBorders>
              <w:right w:val="single" w:sz="8" w:color="F2F3F2"/>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spacing w:after="0"/>
              <w:rPr>
                <w:sz w:val="24"/>
                <w:szCs w:val="24"/>
                <w:color w:val="auto"/>
              </w:rPr>
            </w:pPr>
          </w:p>
        </w:tc>
        <w:tc>
          <w:tcPr>
            <w:tcW w:w="120" w:type="dxa"/>
            <w:vAlign w:val="bottom"/>
            <w:tcBorders>
              <w:right w:val="single" w:sz="8" w:color="F2F3F2"/>
            </w:tcBorders>
            <w:shd w:val="clear" w:color="auto" w:fill="F2F3F2"/>
          </w:tcPr>
          <w:p>
            <w:pPr>
              <w:spacing w:after="0"/>
              <w:rPr>
                <w:sz w:val="24"/>
                <w:szCs w:val="24"/>
                <w:color w:val="auto"/>
              </w:rPr>
            </w:pPr>
          </w:p>
        </w:tc>
        <w:tc>
          <w:tcPr>
            <w:tcW w:w="2260" w:type="dxa"/>
            <w:vAlign w:val="bottom"/>
            <w:tcBorders>
              <w:right w:val="single" w:sz="8" w:color="F2F3F2"/>
            </w:tcBorders>
            <w:shd w:val="clear" w:color="auto" w:fill="F2F3F2"/>
          </w:tcPr>
          <w:p>
            <w:pPr>
              <w:spacing w:after="0"/>
              <w:rPr>
                <w:sz w:val="24"/>
                <w:szCs w:val="24"/>
                <w:color w:val="auto"/>
              </w:rPr>
            </w:pPr>
          </w:p>
        </w:tc>
        <w:tc>
          <w:tcPr>
            <w:tcW w:w="2280" w:type="dxa"/>
            <w:vAlign w:val="bottom"/>
            <w:shd w:val="clear" w:color="auto" w:fill="F2F3F2"/>
          </w:tcPr>
          <w:p>
            <w:pPr>
              <w:spacing w:after="0"/>
              <w:rPr>
                <w:sz w:val="24"/>
                <w:szCs w:val="24"/>
                <w:color w:val="auto"/>
              </w:rPr>
            </w:pPr>
          </w:p>
        </w:tc>
      </w:tr>
      <w:tr>
        <w:trPr>
          <w:trHeight w:val="95"/>
        </w:trPr>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Borders>
              <w:right w:val="single" w:sz="8" w:color="F2F3F2"/>
            </w:tcBorders>
            <w:shd w:val="clear" w:color="auto" w:fill="F2F3F2"/>
          </w:tcPr>
          <w:p>
            <w:pPr>
              <w:spacing w:after="0"/>
              <w:rPr>
                <w:sz w:val="8"/>
                <w:szCs w:val="8"/>
                <w:color w:val="auto"/>
              </w:rPr>
            </w:pPr>
          </w:p>
        </w:tc>
        <w:tc>
          <w:tcPr>
            <w:tcW w:w="80" w:type="dxa"/>
            <w:vAlign w:val="bottom"/>
            <w:shd w:val="clear" w:color="auto" w:fill="F2F3F2"/>
          </w:tcPr>
          <w:p>
            <w:pPr>
              <w:spacing w:after="0"/>
              <w:rPr>
                <w:sz w:val="8"/>
                <w:szCs w:val="8"/>
                <w:color w:val="auto"/>
              </w:rPr>
            </w:pPr>
          </w:p>
        </w:tc>
        <w:tc>
          <w:tcPr>
            <w:tcW w:w="2060" w:type="dxa"/>
            <w:vAlign w:val="bottom"/>
            <w:shd w:val="clear" w:color="auto" w:fill="F2F3F2"/>
          </w:tcPr>
          <w:p>
            <w:pPr>
              <w:spacing w:after="0"/>
              <w:rPr>
                <w:sz w:val="8"/>
                <w:szCs w:val="8"/>
                <w:color w:val="auto"/>
              </w:rPr>
            </w:pPr>
          </w:p>
        </w:tc>
        <w:tc>
          <w:tcPr>
            <w:tcW w:w="120" w:type="dxa"/>
            <w:vAlign w:val="bottom"/>
            <w:tcBorders>
              <w:right w:val="single" w:sz="8" w:color="F2F3F2"/>
            </w:tcBorders>
            <w:shd w:val="clear" w:color="auto" w:fill="F2F3F2"/>
          </w:tcPr>
          <w:p>
            <w:pPr>
              <w:spacing w:after="0"/>
              <w:rPr>
                <w:sz w:val="8"/>
                <w:szCs w:val="8"/>
                <w:color w:val="auto"/>
              </w:rPr>
            </w:pPr>
          </w:p>
        </w:tc>
        <w:tc>
          <w:tcPr>
            <w:tcW w:w="2260" w:type="dxa"/>
            <w:vAlign w:val="bottom"/>
            <w:tcBorders>
              <w:right w:val="single" w:sz="8" w:color="F2F3F2"/>
            </w:tcBorders>
            <w:shd w:val="clear" w:color="auto" w:fill="F2F3F2"/>
          </w:tcPr>
          <w:p>
            <w:pPr>
              <w:spacing w:after="0"/>
              <w:rPr>
                <w:sz w:val="8"/>
                <w:szCs w:val="8"/>
                <w:color w:val="auto"/>
              </w:rPr>
            </w:pPr>
          </w:p>
        </w:tc>
        <w:tc>
          <w:tcPr>
            <w:tcW w:w="2280" w:type="dxa"/>
            <w:vAlign w:val="bottom"/>
            <w:shd w:val="clear" w:color="auto" w:fill="F2F3F2"/>
          </w:tcPr>
          <w:p>
            <w:pPr>
              <w:spacing w:after="0"/>
              <w:rPr>
                <w:sz w:val="8"/>
                <w:szCs w:val="8"/>
                <w:color w:val="auto"/>
              </w:rPr>
            </w:pPr>
          </w:p>
        </w:tc>
      </w:tr>
      <w:tr>
        <w:trPr>
          <w:trHeight w:val="255"/>
        </w:trPr>
        <w:tc>
          <w:tcPr>
            <w:tcW w:w="100" w:type="dxa"/>
            <w:vAlign w:val="bottom"/>
          </w:tcPr>
          <w:p>
            <w:pPr>
              <w:spacing w:after="0"/>
              <w:rPr>
                <w:sz w:val="22"/>
                <w:szCs w:val="22"/>
                <w:color w:val="auto"/>
              </w:rPr>
            </w:pPr>
          </w:p>
        </w:tc>
        <w:tc>
          <w:tcPr>
            <w:tcW w:w="2180" w:type="dxa"/>
            <w:vAlign w:val="bottom"/>
            <w:tcBorders>
              <w:right w:val="single" w:sz="8" w:color="B2B3B6"/>
            </w:tcBorders>
            <w:gridSpan w:val="2"/>
          </w:tcPr>
          <w:p>
            <w:pPr>
              <w:ind w:left="40"/>
              <w:spacing w:after="0"/>
              <w:rPr>
                <w:sz w:val="20"/>
                <w:szCs w:val="20"/>
                <w:color w:val="auto"/>
              </w:rPr>
            </w:pPr>
            <w:r>
              <w:rPr>
                <w:rFonts w:ascii="Arial" w:cs="Arial" w:eastAsia="Arial" w:hAnsi="Arial"/>
                <w:sz w:val="18"/>
                <w:szCs w:val="18"/>
                <w:b w:val="1"/>
                <w:bCs w:val="1"/>
                <w:color w:val="auto"/>
              </w:rPr>
              <w:t>Integrity</w:t>
            </w:r>
          </w:p>
        </w:tc>
        <w:tc>
          <w:tcPr>
            <w:tcW w:w="80" w:type="dxa"/>
            <w:vAlign w:val="bottom"/>
            <w:shd w:val="clear" w:color="auto" w:fill="F2F3F2"/>
          </w:tcPr>
          <w:p>
            <w:pPr>
              <w:spacing w:after="0"/>
              <w:rPr>
                <w:sz w:val="22"/>
                <w:szCs w:val="22"/>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Collaboration</w:t>
            </w:r>
          </w:p>
        </w:tc>
        <w:tc>
          <w:tcPr>
            <w:tcW w:w="120" w:type="dxa"/>
            <w:vAlign w:val="bottom"/>
            <w:tcBorders>
              <w:right w:val="single" w:sz="8" w:color="B2B3B6"/>
            </w:tcBorders>
            <w:shd w:val="clear" w:color="auto" w:fill="F2F3F2"/>
          </w:tcPr>
          <w:p>
            <w:pPr>
              <w:spacing w:after="0"/>
              <w:rPr>
                <w:sz w:val="22"/>
                <w:szCs w:val="22"/>
                <w:color w:val="auto"/>
              </w:rPr>
            </w:pP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8"/>
                <w:szCs w:val="18"/>
                <w:b w:val="1"/>
                <w:bCs w:val="1"/>
                <w:color w:val="auto"/>
              </w:rPr>
              <w:t>Impact</w:t>
            </w:r>
          </w:p>
        </w:tc>
        <w:tc>
          <w:tcPr>
            <w:tcW w:w="2280" w:type="dxa"/>
            <w:vAlign w:val="bottom"/>
            <w:shd w:val="clear" w:color="auto" w:fill="F2F3F2"/>
          </w:tcPr>
          <w:p>
            <w:pPr>
              <w:ind w:left="120"/>
              <w:spacing w:after="0"/>
              <w:rPr>
                <w:sz w:val="20"/>
                <w:szCs w:val="20"/>
                <w:color w:val="auto"/>
              </w:rPr>
            </w:pPr>
            <w:r>
              <w:rPr>
                <w:rFonts w:ascii="Arial" w:cs="Arial" w:eastAsia="Arial" w:hAnsi="Arial"/>
                <w:sz w:val="18"/>
                <w:szCs w:val="18"/>
                <w:b w:val="1"/>
                <w:bCs w:val="1"/>
                <w:color w:val="auto"/>
              </w:rPr>
              <w:t>Intellectual Curiosity</w:t>
            </w:r>
          </w:p>
        </w:tc>
      </w:tr>
      <w:tr>
        <w:trPr>
          <w:trHeight w:val="249"/>
        </w:trPr>
        <w:tc>
          <w:tcPr>
            <w:tcW w:w="100" w:type="dxa"/>
            <w:vAlign w:val="bottom"/>
          </w:tcPr>
          <w:p>
            <w:pPr>
              <w:spacing w:after="0"/>
              <w:rPr>
                <w:sz w:val="21"/>
                <w:szCs w:val="21"/>
                <w:color w:val="auto"/>
              </w:rPr>
            </w:pPr>
          </w:p>
        </w:tc>
        <w:tc>
          <w:tcPr>
            <w:tcW w:w="2180" w:type="dxa"/>
            <w:vAlign w:val="bottom"/>
            <w:tcBorders>
              <w:right w:val="single" w:sz="8" w:color="B2B3B6"/>
            </w:tcBorders>
            <w:gridSpan w:val="2"/>
          </w:tcPr>
          <w:p>
            <w:pPr>
              <w:ind w:left="40"/>
              <w:spacing w:after="0"/>
              <w:rPr>
                <w:sz w:val="20"/>
                <w:szCs w:val="20"/>
                <w:color w:val="auto"/>
              </w:rPr>
            </w:pPr>
            <w:r>
              <w:rPr>
                <w:rFonts w:ascii="Arial" w:cs="Arial" w:eastAsia="Arial" w:hAnsi="Arial"/>
                <w:sz w:val="14"/>
                <w:szCs w:val="14"/>
                <w:color w:val="auto"/>
              </w:rPr>
              <w:t>We value authenticity and</w:t>
            </w:r>
          </w:p>
        </w:tc>
        <w:tc>
          <w:tcPr>
            <w:tcW w:w="80" w:type="dxa"/>
            <w:vAlign w:val="bottom"/>
            <w:shd w:val="clear" w:color="auto" w:fill="F2F3F2"/>
          </w:tcPr>
          <w:p>
            <w:pPr>
              <w:spacing w:after="0"/>
              <w:rPr>
                <w:sz w:val="21"/>
                <w:szCs w:val="21"/>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We commit to working with</w:t>
            </w:r>
          </w:p>
        </w:tc>
        <w:tc>
          <w:tcPr>
            <w:tcW w:w="120" w:type="dxa"/>
            <w:vAlign w:val="bottom"/>
            <w:tcBorders>
              <w:right w:val="single" w:sz="8" w:color="B2B3B6"/>
            </w:tcBorders>
            <w:shd w:val="clear" w:color="auto" w:fill="F2F3F2"/>
          </w:tcPr>
          <w:p>
            <w:pPr>
              <w:spacing w:after="0"/>
              <w:rPr>
                <w:sz w:val="21"/>
                <w:szCs w:val="21"/>
                <w:color w:val="auto"/>
              </w:rPr>
            </w:pP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We are passionate about</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As lifelong learners, we explore</w:t>
            </w:r>
          </w:p>
        </w:tc>
      </w:tr>
      <w:tr>
        <w:trPr>
          <w:trHeight w:val="176"/>
        </w:trPr>
        <w:tc>
          <w:tcPr>
            <w:tcW w:w="100" w:type="dxa"/>
            <w:vAlign w:val="bottom"/>
          </w:tcPr>
          <w:p>
            <w:pPr>
              <w:spacing w:after="0"/>
              <w:rPr>
                <w:sz w:val="15"/>
                <w:szCs w:val="15"/>
                <w:color w:val="auto"/>
              </w:rPr>
            </w:pPr>
          </w:p>
        </w:tc>
        <w:tc>
          <w:tcPr>
            <w:tcW w:w="2180" w:type="dxa"/>
            <w:vAlign w:val="bottom"/>
            <w:tcBorders>
              <w:right w:val="single" w:sz="8" w:color="B2B3B6"/>
            </w:tcBorders>
            <w:gridSpan w:val="2"/>
          </w:tcPr>
          <w:p>
            <w:pPr>
              <w:ind w:left="40"/>
              <w:spacing w:after="0"/>
              <w:rPr>
                <w:sz w:val="20"/>
                <w:szCs w:val="20"/>
                <w:color w:val="auto"/>
              </w:rPr>
            </w:pPr>
            <w:r>
              <w:rPr>
                <w:rFonts w:ascii="Arial" w:cs="Arial" w:eastAsia="Arial" w:hAnsi="Arial"/>
                <w:sz w:val="14"/>
                <w:szCs w:val="14"/>
                <w:color w:val="auto"/>
              </w:rPr>
              <w:t>honesty. We do the right thing</w:t>
            </w: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respect and transparency and</w:t>
            </w:r>
          </w:p>
        </w:tc>
        <w:tc>
          <w:tcPr>
            <w:tcW w:w="120" w:type="dxa"/>
            <w:vAlign w:val="bottom"/>
            <w:tcBorders>
              <w:right w:val="single" w:sz="8" w:color="B2B3B6"/>
            </w:tcBorders>
            <w:shd w:val="clear" w:color="auto" w:fill="F2F3F2"/>
          </w:tcPr>
          <w:p>
            <w:pPr>
              <w:spacing w:after="0"/>
              <w:rPr>
                <w:sz w:val="15"/>
                <w:szCs w:val="15"/>
                <w:color w:val="auto"/>
              </w:rPr>
            </w:pP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making a difference and take</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and encourage new ideas, and</w:t>
            </w:r>
          </w:p>
        </w:tc>
      </w:tr>
      <w:tr>
        <w:trPr>
          <w:trHeight w:val="162"/>
        </w:trPr>
        <w:tc>
          <w:tcPr>
            <w:tcW w:w="100" w:type="dxa"/>
            <w:vAlign w:val="bottom"/>
          </w:tcPr>
          <w:p>
            <w:pPr>
              <w:spacing w:after="0"/>
              <w:rPr>
                <w:sz w:val="14"/>
                <w:szCs w:val="14"/>
                <w:color w:val="auto"/>
              </w:rPr>
            </w:pPr>
          </w:p>
        </w:tc>
        <w:tc>
          <w:tcPr>
            <w:tcW w:w="2180" w:type="dxa"/>
            <w:vAlign w:val="bottom"/>
            <w:tcBorders>
              <w:right w:val="single" w:sz="8" w:color="B2B3B6"/>
            </w:tcBorders>
            <w:gridSpan w:val="2"/>
          </w:tcPr>
          <w:p>
            <w:pPr>
              <w:ind w:left="40"/>
              <w:spacing w:after="0"/>
              <w:rPr>
                <w:sz w:val="20"/>
                <w:szCs w:val="20"/>
                <w:color w:val="auto"/>
              </w:rPr>
            </w:pPr>
            <w:r>
              <w:rPr>
                <w:rFonts w:ascii="Arial" w:cs="Arial" w:eastAsia="Arial" w:hAnsi="Arial"/>
                <w:sz w:val="14"/>
                <w:szCs w:val="14"/>
                <w:color w:val="auto"/>
              </w:rPr>
              <w:t>regardless of the</w:t>
            </w:r>
          </w:p>
        </w:tc>
        <w:tc>
          <w:tcPr>
            <w:tcW w:w="80" w:type="dxa"/>
            <w:vAlign w:val="bottom"/>
            <w:shd w:val="clear" w:color="auto" w:fill="F2F3F2"/>
          </w:tcPr>
          <w:p>
            <w:pPr>
              <w:spacing w:after="0"/>
              <w:rPr>
                <w:sz w:val="14"/>
                <w:szCs w:val="1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recognize we are better</w:t>
            </w:r>
          </w:p>
        </w:tc>
        <w:tc>
          <w:tcPr>
            <w:tcW w:w="120" w:type="dxa"/>
            <w:vAlign w:val="bottom"/>
            <w:tcBorders>
              <w:right w:val="single" w:sz="8" w:color="B2B3B6"/>
            </w:tcBorders>
            <w:shd w:val="clear" w:color="auto" w:fill="F2F3F2"/>
          </w:tcPr>
          <w:p>
            <w:pPr>
              <w:spacing w:after="0"/>
              <w:rPr>
                <w:sz w:val="14"/>
                <w:szCs w:val="14"/>
                <w:color w:val="auto"/>
              </w:rPr>
            </w:pP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initiative to have a lasting</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challenge the status quo.</w:t>
            </w:r>
          </w:p>
        </w:tc>
      </w:tr>
      <w:tr>
        <w:trPr>
          <w:trHeight w:val="176"/>
        </w:trPr>
        <w:tc>
          <w:tcPr>
            <w:tcW w:w="100" w:type="dxa"/>
            <w:vAlign w:val="bottom"/>
          </w:tcPr>
          <w:p>
            <w:pPr>
              <w:spacing w:after="0"/>
              <w:rPr>
                <w:sz w:val="15"/>
                <w:szCs w:val="15"/>
                <w:color w:val="auto"/>
              </w:rPr>
            </w:pPr>
          </w:p>
        </w:tc>
        <w:tc>
          <w:tcPr>
            <w:tcW w:w="2180" w:type="dxa"/>
            <w:vAlign w:val="bottom"/>
            <w:tcBorders>
              <w:right w:val="single" w:sz="8" w:color="B2B3B6"/>
            </w:tcBorders>
            <w:gridSpan w:val="2"/>
          </w:tcPr>
          <w:p>
            <w:pPr>
              <w:ind w:left="40"/>
              <w:spacing w:after="0"/>
              <w:rPr>
                <w:sz w:val="20"/>
                <w:szCs w:val="20"/>
                <w:color w:val="auto"/>
              </w:rPr>
            </w:pPr>
            <w:r>
              <w:rPr>
                <w:rFonts w:ascii="Arial" w:cs="Arial" w:eastAsia="Arial" w:hAnsi="Arial"/>
                <w:sz w:val="14"/>
                <w:szCs w:val="14"/>
                <w:color w:val="auto"/>
              </w:rPr>
              <w:t>consequences.</w:t>
            </w: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together than apart.</w:t>
            </w:r>
          </w:p>
        </w:tc>
        <w:tc>
          <w:tcPr>
            <w:tcW w:w="120" w:type="dxa"/>
            <w:vAlign w:val="bottom"/>
            <w:tcBorders>
              <w:right w:val="single" w:sz="8" w:color="B2B3B6"/>
            </w:tcBorders>
            <w:shd w:val="clear" w:color="auto" w:fill="F2F3F2"/>
          </w:tcPr>
          <w:p>
            <w:pPr>
              <w:spacing w:after="0"/>
              <w:rPr>
                <w:sz w:val="15"/>
                <w:szCs w:val="15"/>
                <w:color w:val="auto"/>
              </w:rPr>
            </w:pP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impact on the organizations</w:t>
            </w:r>
          </w:p>
        </w:tc>
        <w:tc>
          <w:tcPr>
            <w:tcW w:w="2280" w:type="dxa"/>
            <w:vAlign w:val="bottom"/>
            <w:shd w:val="clear" w:color="auto" w:fill="F2F3F2"/>
          </w:tcPr>
          <w:p>
            <w:pPr>
              <w:spacing w:after="0"/>
              <w:rPr>
                <w:sz w:val="15"/>
                <w:szCs w:val="15"/>
                <w:color w:val="auto"/>
              </w:rPr>
            </w:pPr>
          </w:p>
        </w:tc>
      </w:tr>
      <w:tr>
        <w:trPr>
          <w:trHeight w:val="192"/>
        </w:trPr>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right w:val="single" w:sz="8" w:color="B2B3B6"/>
            </w:tcBorders>
          </w:tcPr>
          <w:p>
            <w:pPr>
              <w:spacing w:after="0"/>
              <w:rPr>
                <w:sz w:val="16"/>
                <w:szCs w:val="16"/>
                <w:color w:val="auto"/>
              </w:rPr>
            </w:pPr>
          </w:p>
        </w:tc>
        <w:tc>
          <w:tcPr>
            <w:tcW w:w="80" w:type="dxa"/>
            <w:vAlign w:val="bottom"/>
            <w:tcBorders>
              <w:bottom w:val="single" w:sz="8" w:color="F2F3F2"/>
            </w:tcBorders>
            <w:shd w:val="clear" w:color="auto" w:fill="F2F3F2"/>
          </w:tcPr>
          <w:p>
            <w:pPr>
              <w:spacing w:after="0"/>
              <w:rPr>
                <w:sz w:val="16"/>
                <w:szCs w:val="16"/>
                <w:color w:val="auto"/>
              </w:rPr>
            </w:pPr>
          </w:p>
        </w:tc>
        <w:tc>
          <w:tcPr>
            <w:tcW w:w="2060" w:type="dxa"/>
            <w:vAlign w:val="bottom"/>
            <w:tcBorders>
              <w:bottom w:val="single" w:sz="8" w:color="F2F3F2"/>
            </w:tcBorders>
            <w:shd w:val="clear" w:color="auto" w:fill="F2F3F2"/>
          </w:tcPr>
          <w:p>
            <w:pPr>
              <w:spacing w:after="0"/>
              <w:rPr>
                <w:sz w:val="16"/>
                <w:szCs w:val="16"/>
                <w:color w:val="auto"/>
              </w:rPr>
            </w:pPr>
          </w:p>
        </w:tc>
        <w:tc>
          <w:tcPr>
            <w:tcW w:w="120" w:type="dxa"/>
            <w:vAlign w:val="bottom"/>
            <w:tcBorders>
              <w:bottom w:val="single" w:sz="8" w:color="F2F3F2"/>
              <w:right w:val="single" w:sz="8" w:color="B2B3B6"/>
            </w:tcBorders>
            <w:shd w:val="clear" w:color="auto" w:fill="F2F3F2"/>
          </w:tcPr>
          <w:p>
            <w:pPr>
              <w:spacing w:after="0"/>
              <w:rPr>
                <w:sz w:val="16"/>
                <w:szCs w:val="16"/>
                <w:color w:val="auto"/>
              </w:rPr>
            </w:pPr>
          </w:p>
        </w:tc>
        <w:tc>
          <w:tcPr>
            <w:tcW w:w="2260" w:type="dxa"/>
            <w:vAlign w:val="bottom"/>
            <w:tcBorders>
              <w:bottom w:val="single" w:sz="8" w:color="F2F3F2"/>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and communities we serve.</w:t>
            </w:r>
          </w:p>
        </w:tc>
        <w:tc>
          <w:tcPr>
            <w:tcW w:w="2280" w:type="dxa"/>
            <w:vAlign w:val="bottom"/>
            <w:tcBorders>
              <w:bottom w:val="single" w:sz="8" w:color="F2F3F2"/>
            </w:tcBorders>
            <w:shd w:val="clear" w:color="auto" w:fill="F2F3F2"/>
          </w:tcPr>
          <w:p>
            <w:pPr>
              <w:spacing w:after="0"/>
              <w:rPr>
                <w:sz w:val="16"/>
                <w:szCs w:val="16"/>
                <w:color w:val="auto"/>
              </w:rPr>
            </w:pPr>
          </w:p>
        </w:tc>
      </w:tr>
      <w:tr>
        <w:trPr>
          <w:trHeight w:val="148"/>
        </w:trPr>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shd w:val="clear" w:color="auto" w:fill="F2F3F2"/>
          </w:tcPr>
          <w:p>
            <w:pPr>
              <w:spacing w:after="0"/>
              <w:rPr>
                <w:sz w:val="12"/>
                <w:szCs w:val="12"/>
                <w:color w:val="auto"/>
              </w:rPr>
            </w:pPr>
          </w:p>
        </w:tc>
        <w:tc>
          <w:tcPr>
            <w:tcW w:w="120" w:type="dxa"/>
            <w:vAlign w:val="bottom"/>
            <w:tcBorders>
              <w:right w:val="single" w:sz="8" w:color="F2F3F2"/>
            </w:tcBorders>
            <w:shd w:val="clear" w:color="auto" w:fill="F2F3F2"/>
          </w:tcPr>
          <w:p>
            <w:pPr>
              <w:spacing w:after="0"/>
              <w:rPr>
                <w:sz w:val="12"/>
                <w:szCs w:val="12"/>
                <w:color w:val="auto"/>
              </w:rPr>
            </w:pPr>
          </w:p>
        </w:tc>
        <w:tc>
          <w:tcPr>
            <w:tcW w:w="2260" w:type="dxa"/>
            <w:vAlign w:val="bottom"/>
            <w:tcBorders>
              <w:right w:val="single" w:sz="8" w:color="F2F3F2"/>
            </w:tcBorders>
            <w:shd w:val="clear" w:color="auto" w:fill="F2F3F2"/>
          </w:tcPr>
          <w:p>
            <w:pPr>
              <w:spacing w:after="0"/>
              <w:rPr>
                <w:sz w:val="12"/>
                <w:szCs w:val="12"/>
                <w:color w:val="auto"/>
              </w:rPr>
            </w:pPr>
          </w:p>
        </w:tc>
        <w:tc>
          <w:tcPr>
            <w:tcW w:w="2280" w:type="dxa"/>
            <w:vAlign w:val="bottom"/>
            <w:shd w:val="clear" w:color="auto" w:fill="F2F3F2"/>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right w:val="single" w:sz="8" w:color="F2F3F2"/>
            </w:tcBorders>
            <w:shd w:val="clear" w:color="auto" w:fill="F2F3F2"/>
          </w:tcPr>
          <w:p>
            <w:pPr>
              <w:spacing w:after="0"/>
              <w:rPr>
                <w:sz w:val="12"/>
                <w:szCs w:val="12"/>
                <w:color w:val="auto"/>
              </w:rPr>
            </w:pPr>
          </w:p>
        </w:tc>
        <w:tc>
          <w:tcPr>
            <w:tcW w:w="2260" w:type="dxa"/>
            <w:vAlign w:val="bottom"/>
            <w:tcBorders>
              <w:right w:val="single" w:sz="8" w:color="F2F3F2"/>
            </w:tcBorders>
            <w:shd w:val="clear" w:color="auto" w:fill="F2F3F2"/>
          </w:tcPr>
          <w:p>
            <w:pPr>
              <w:spacing w:after="0"/>
              <w:rPr>
                <w:sz w:val="12"/>
                <w:szCs w:val="12"/>
                <w:color w:val="auto"/>
              </w:rPr>
            </w:pPr>
          </w:p>
        </w:tc>
        <w:tc>
          <w:tcPr>
            <w:tcW w:w="2280" w:type="dxa"/>
            <w:vAlign w:val="bottom"/>
            <w:shd w:val="clear" w:color="auto" w:fill="F2F3F2"/>
          </w:tcPr>
          <w:p>
            <w:pPr>
              <w:spacing w:after="0"/>
              <w:rPr>
                <w:sz w:val="12"/>
                <w:szCs w:val="12"/>
                <w:color w:val="auto"/>
              </w:rPr>
            </w:pPr>
          </w:p>
        </w:tc>
      </w:tr>
      <w:tr>
        <w:trPr>
          <w:trHeight w:val="810"/>
        </w:trPr>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F2F3F2"/>
            </w:tcBorders>
          </w:tcPr>
          <w:p>
            <w:pPr>
              <w:spacing w:after="0"/>
              <w:rPr>
                <w:sz w:val="24"/>
                <w:szCs w:val="24"/>
                <w:color w:val="auto"/>
              </w:rPr>
            </w:pPr>
          </w:p>
        </w:tc>
        <w:tc>
          <w:tcPr>
            <w:tcW w:w="2260" w:type="dxa"/>
            <w:vAlign w:val="bottom"/>
            <w:tcBorders>
              <w:right w:val="single" w:sz="8" w:color="F2F3F2"/>
            </w:tcBorders>
            <w:shd w:val="clear" w:color="auto" w:fill="F2F3F2"/>
          </w:tcPr>
          <w:p>
            <w:pPr>
              <w:spacing w:after="0"/>
              <w:rPr>
                <w:sz w:val="24"/>
                <w:szCs w:val="24"/>
                <w:color w:val="auto"/>
              </w:rPr>
            </w:pPr>
          </w:p>
        </w:tc>
        <w:tc>
          <w:tcPr>
            <w:tcW w:w="2280" w:type="dxa"/>
            <w:vAlign w:val="bottom"/>
            <w:shd w:val="clear" w:color="auto" w:fill="F2F3F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-2056765</wp:posOffset>
            </wp:positionV>
            <wp:extent cx="5640705" cy="3094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0705" cy="30943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Inclusion</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Excellence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Humility</w:t>
            </w:r>
          </w:p>
        </w:tc>
        <w:tc>
          <w:tcPr>
            <w:tcW w:w="1080" w:type="dxa"/>
            <w:vAlign w:val="bottom"/>
            <w:shd w:val="clear" w:color="auto" w:fill="F2F3F2"/>
          </w:tcPr>
          <w:p>
            <w:pPr>
              <w:spacing w:after="0"/>
              <w:rPr>
                <w:sz w:val="24"/>
                <w:szCs w:val="24"/>
                <w:color w:val="auto"/>
              </w:rPr>
            </w:pPr>
          </w:p>
        </w:tc>
        <w:tc>
          <w:tcPr>
            <w:tcW w:w="120" w:type="dxa"/>
            <w:vAlign w:val="bottom"/>
            <w:tcBorders>
              <w:right w:val="single" w:sz="8" w:color="F2F3F2"/>
            </w:tcBorders>
            <w:shd w:val="clear" w:color="auto" w:fill="F2F3F2"/>
          </w:tcPr>
          <w:p>
            <w:pPr>
              <w:spacing w:after="0"/>
              <w:rPr>
                <w:sz w:val="24"/>
                <w:szCs w:val="24"/>
                <w:color w:val="auto"/>
              </w:rPr>
            </w:pPr>
          </w:p>
        </w:tc>
        <w:tc>
          <w:tcPr>
            <w:tcW w:w="2280" w:type="dxa"/>
            <w:vAlign w:val="bottom"/>
            <w:shd w:val="clear" w:color="auto" w:fill="F2F3F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color w:val="auto"/>
              </w:rPr>
              <w:t>We embrace different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color w:val="auto"/>
              </w:rPr>
              <w:t>We strive to excel and</w:t>
            </w:r>
          </w:p>
        </w:tc>
        <w:tc>
          <w:tcPr>
            <w:tcW w:w="206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While confident in our abilities,</w:t>
            </w:r>
          </w:p>
        </w:tc>
        <w:tc>
          <w:tcPr>
            <w:tcW w:w="120" w:type="dxa"/>
            <w:vAlign w:val="bottom"/>
            <w:tcBorders>
              <w:right w:val="single" w:sz="8" w:color="F2F3F2"/>
            </w:tcBorders>
            <w:shd w:val="clear" w:color="auto" w:fill="F2F3F2"/>
          </w:tcPr>
          <w:p>
            <w:pPr>
              <w:spacing w:after="0"/>
              <w:rPr>
                <w:sz w:val="21"/>
                <w:szCs w:val="21"/>
                <w:color w:val="auto"/>
              </w:rPr>
            </w:pPr>
          </w:p>
        </w:tc>
        <w:tc>
          <w:tcPr>
            <w:tcW w:w="2280" w:type="dxa"/>
            <w:vAlign w:val="bottom"/>
            <w:shd w:val="clear" w:color="auto" w:fill="F2F3F2"/>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tcPr>
          <w:p>
            <w:pPr>
              <w:ind w:left="40"/>
              <w:spacing w:after="0"/>
              <w:rPr>
                <w:sz w:val="20"/>
                <w:szCs w:val="20"/>
                <w:color w:val="auto"/>
              </w:rPr>
            </w:pPr>
            <w:r>
              <w:rPr>
                <w:rFonts w:ascii="Arial" w:cs="Arial" w:eastAsia="Arial" w:hAnsi="Arial"/>
                <w:sz w:val="14"/>
                <w:szCs w:val="14"/>
                <w:color w:val="auto"/>
              </w:rPr>
              <w:t>perspectives and draw on the</w:t>
            </w:r>
          </w:p>
        </w:tc>
        <w:tc>
          <w:tcPr>
            <w:tcW w:w="120" w:type="dxa"/>
            <w:vAlign w:val="bottom"/>
          </w:tcPr>
          <w:p>
            <w:pPr>
              <w:spacing w:after="0"/>
              <w:rPr>
                <w:sz w:val="15"/>
                <w:szCs w:val="15"/>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color w:val="auto"/>
              </w:rPr>
              <w:t>continually exceed the</w:t>
            </w:r>
          </w:p>
        </w:tc>
        <w:tc>
          <w:tcPr>
            <w:tcW w:w="206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we realize that our current</w:t>
            </w:r>
          </w:p>
        </w:tc>
        <w:tc>
          <w:tcPr>
            <w:tcW w:w="120" w:type="dxa"/>
            <w:vAlign w:val="bottom"/>
            <w:tcBorders>
              <w:right w:val="single" w:sz="8" w:color="F2F3F2"/>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color w:val="auto"/>
              </w:rPr>
              <w:t>strength of our diversity.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color w:val="auto"/>
              </w:rPr>
              <w:t>expectations of our clients and</w:t>
            </w:r>
          </w:p>
        </w:tc>
        <w:tc>
          <w:tcPr>
            <w:tcW w:w="206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knowledge is but a fraction of</w:t>
            </w:r>
          </w:p>
        </w:tc>
        <w:tc>
          <w:tcPr>
            <w:tcW w:w="120" w:type="dxa"/>
            <w:vAlign w:val="bottom"/>
            <w:tcBorders>
              <w:right w:val="single" w:sz="8" w:color="F2F3F2"/>
            </w:tcBorders>
            <w:shd w:val="clear" w:color="auto" w:fill="F2F3F2"/>
          </w:tcPr>
          <w:p>
            <w:pPr>
              <w:spacing w:after="0"/>
              <w:rPr>
                <w:sz w:val="14"/>
                <w:szCs w:val="14"/>
                <w:color w:val="auto"/>
              </w:rPr>
            </w:pPr>
          </w:p>
        </w:tc>
        <w:tc>
          <w:tcPr>
            <w:tcW w:w="2280" w:type="dxa"/>
            <w:vAlign w:val="bottom"/>
            <w:shd w:val="clear" w:color="auto" w:fill="F2F3F2"/>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color w:val="auto"/>
              </w:rPr>
              <w:t>our people, holding each other</w:t>
            </w:r>
          </w:p>
        </w:tc>
        <w:tc>
          <w:tcPr>
            <w:tcW w:w="206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what we have yet to learn,</w:t>
            </w:r>
          </w:p>
        </w:tc>
        <w:tc>
          <w:tcPr>
            <w:tcW w:w="120" w:type="dxa"/>
            <w:vAlign w:val="bottom"/>
            <w:tcBorders>
              <w:right w:val="single" w:sz="8" w:color="F2F3F2"/>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color w:val="auto"/>
              </w:rPr>
              <w:t>accountable for our actions</w:t>
            </w:r>
          </w:p>
        </w:tc>
        <w:tc>
          <w:tcPr>
            <w:tcW w:w="206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discover and create.</w:t>
            </w:r>
          </w:p>
        </w:tc>
        <w:tc>
          <w:tcPr>
            <w:tcW w:w="120" w:type="dxa"/>
            <w:vAlign w:val="bottom"/>
            <w:tcBorders>
              <w:right w:val="single" w:sz="8" w:color="F2F3F2"/>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and outcomes.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shd w:val="clear" w:color="auto" w:fill="F2F3F2"/>
          </w:tcPr>
          <w:p>
            <w:pPr>
              <w:spacing w:after="0"/>
              <w:rPr>
                <w:sz w:val="14"/>
                <w:szCs w:val="14"/>
                <w:color w:val="auto"/>
              </w:rPr>
            </w:pPr>
          </w:p>
        </w:tc>
        <w:tc>
          <w:tcPr>
            <w:tcW w:w="1080" w:type="dxa"/>
            <w:vAlign w:val="bottom"/>
            <w:shd w:val="clear" w:color="auto" w:fill="F2F3F2"/>
          </w:tcPr>
          <w:p>
            <w:pPr>
              <w:spacing w:after="0"/>
              <w:rPr>
                <w:sz w:val="14"/>
                <w:szCs w:val="14"/>
                <w:color w:val="auto"/>
              </w:rPr>
            </w:pPr>
          </w:p>
        </w:tc>
        <w:tc>
          <w:tcPr>
            <w:tcW w:w="120" w:type="dxa"/>
            <w:vAlign w:val="bottom"/>
            <w:tcBorders>
              <w:right w:val="single" w:sz="8" w:color="F2F3F2"/>
            </w:tcBorders>
            <w:shd w:val="clear" w:color="auto" w:fill="F2F3F2"/>
          </w:tcPr>
          <w:p>
            <w:pPr>
              <w:spacing w:after="0"/>
              <w:rPr>
                <w:sz w:val="14"/>
                <w:szCs w:val="14"/>
                <w:color w:val="auto"/>
              </w:rPr>
            </w:pPr>
          </w:p>
        </w:tc>
        <w:tc>
          <w:tcPr>
            <w:tcW w:w="2280" w:type="dxa"/>
            <w:vAlign w:val="bottom"/>
            <w:shd w:val="clear" w:color="auto" w:fill="F2F3F2"/>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1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Our Business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shd w:val="clear" w:color="auto" w:fill="F2F3F2"/>
          </w:tcPr>
          <w:p>
            <w:pPr>
              <w:spacing w:after="0"/>
              <w:rPr>
                <w:sz w:val="15"/>
                <w:szCs w:val="15"/>
                <w:color w:val="auto"/>
              </w:rPr>
            </w:pPr>
          </w:p>
        </w:tc>
        <w:tc>
          <w:tcPr>
            <w:tcW w:w="108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0"/>
        </w:trPr>
        <w:tc>
          <w:tcPr>
            <w:tcW w:w="820" w:type="dxa"/>
            <w:vAlign w:val="bottom"/>
          </w:tcPr>
          <w:p>
            <w:pPr>
              <w:spacing w:after="0"/>
              <w:rPr>
                <w:sz w:val="24"/>
                <w:szCs w:val="24"/>
                <w:color w:val="auto"/>
              </w:rPr>
            </w:pPr>
          </w:p>
        </w:tc>
        <w:tc>
          <w:tcPr>
            <w:tcW w:w="18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920" w:type="dxa"/>
            <w:vAlign w:val="bottom"/>
            <w:gridSpan w:val="2"/>
          </w:tcPr>
          <w:p>
            <w:pPr>
              <w:spacing w:after="0"/>
              <w:rPr>
                <w:sz w:val="8"/>
                <w:szCs w:val="8"/>
                <w:color w:val="auto"/>
              </w:rPr>
            </w:pPr>
          </w:p>
        </w:tc>
        <w:tc>
          <w:tcPr>
            <w:tcW w:w="170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20" w:type="dxa"/>
            <w:vAlign w:val="bottom"/>
            <w:vMerge w:val="restart"/>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700" w:type="dxa"/>
            <w:vAlign w:val="bottom"/>
            <w:gridSpan w:val="2"/>
            <w:vMerge w:val="restart"/>
            <w:shd w:val="clear" w:color="auto" w:fill="F2F3F2"/>
          </w:tcPr>
          <w:p>
            <w:pPr>
              <w:ind w:left="500"/>
              <w:spacing w:after="0"/>
              <w:rPr>
                <w:sz w:val="20"/>
                <w:szCs w:val="20"/>
                <w:color w:val="auto"/>
              </w:rPr>
            </w:pPr>
            <w:r>
              <w:rPr>
                <w:rFonts w:ascii="Arial" w:cs="Arial" w:eastAsia="Arial" w:hAnsi="Arial"/>
                <w:sz w:val="32"/>
                <w:szCs w:val="32"/>
                <w:color w:val="6AAA37"/>
              </w:rPr>
              <w:t>2,000+</w:t>
            </w:r>
          </w:p>
        </w:tc>
        <w:tc>
          <w:tcPr>
            <w:tcW w:w="3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460" w:type="dxa"/>
            <w:vAlign w:val="bottom"/>
            <w:shd w:val="clear" w:color="auto" w:fill="F2F3F2"/>
          </w:tcPr>
          <w:p>
            <w:pPr>
              <w:spacing w:after="0"/>
              <w:rPr>
                <w:sz w:val="15"/>
                <w:szCs w:val="15"/>
                <w:color w:val="auto"/>
              </w:rPr>
            </w:pPr>
          </w:p>
        </w:tc>
        <w:tc>
          <w:tcPr>
            <w:tcW w:w="1780" w:type="dxa"/>
            <w:vAlign w:val="bottom"/>
            <w:gridSpan w:val="2"/>
            <w:vMerge w:val="restart"/>
            <w:shd w:val="clear" w:color="auto" w:fill="F2F3F2"/>
          </w:tcPr>
          <w:p>
            <w:pPr>
              <w:jc w:val="center"/>
              <w:ind w:right="517"/>
              <w:spacing w:after="0"/>
              <w:rPr>
                <w:sz w:val="20"/>
                <w:szCs w:val="20"/>
                <w:color w:val="auto"/>
              </w:rPr>
            </w:pPr>
            <w:r>
              <w:rPr>
                <w:rFonts w:ascii="Arial" w:cs="Arial" w:eastAsia="Arial" w:hAnsi="Arial"/>
                <w:sz w:val="32"/>
                <w:szCs w:val="32"/>
                <w:color w:val="6AAA37"/>
              </w:rPr>
              <w:t>8,600+</w:t>
            </w:r>
          </w:p>
        </w:tc>
        <w:tc>
          <w:tcPr>
            <w:tcW w:w="100" w:type="dxa"/>
            <w:vAlign w:val="bottom"/>
            <w:tcBorders>
              <w:left w:val="single" w:sz="8" w:color="F2F3F2"/>
            </w:tcBorders>
            <w:shd w:val="clear" w:color="auto" w:fill="F2F3F2"/>
          </w:tcPr>
          <w:p>
            <w:pPr>
              <w:spacing w:after="0"/>
              <w:rPr>
                <w:sz w:val="15"/>
                <w:szCs w:val="15"/>
                <w:color w:val="auto"/>
              </w:rPr>
            </w:pPr>
          </w:p>
        </w:tc>
        <w:tc>
          <w:tcPr>
            <w:tcW w:w="2060" w:type="dxa"/>
            <w:vAlign w:val="bottom"/>
            <w:gridSpan w:val="2"/>
            <w:vMerge w:val="restart"/>
            <w:shd w:val="clear" w:color="auto" w:fill="F2F3F2"/>
          </w:tcPr>
          <w:p>
            <w:pPr>
              <w:ind w:left="820"/>
              <w:spacing w:after="0"/>
              <w:rPr>
                <w:sz w:val="20"/>
                <w:szCs w:val="20"/>
                <w:color w:val="auto"/>
              </w:rPr>
            </w:pPr>
            <w:r>
              <w:rPr>
                <w:rFonts w:ascii="Arial" w:cs="Arial" w:eastAsia="Arial" w:hAnsi="Arial"/>
                <w:sz w:val="32"/>
                <w:szCs w:val="32"/>
                <w:color w:val="6AAA37"/>
              </w:rPr>
              <w:t>83</w:t>
            </w:r>
          </w:p>
        </w:tc>
        <w:tc>
          <w:tcPr>
            <w:tcW w:w="120" w:type="dxa"/>
            <w:vAlign w:val="bottom"/>
            <w:tcBorders>
              <w:right w:val="single" w:sz="8" w:color="F2F3F2"/>
            </w:tcBorders>
            <w:shd w:val="clear" w:color="auto" w:fill="F2F3F2"/>
          </w:tcPr>
          <w:p>
            <w:pPr>
              <w:spacing w:after="0"/>
              <w:rPr>
                <w:sz w:val="15"/>
                <w:szCs w:val="15"/>
                <w:color w:val="auto"/>
              </w:rPr>
            </w:pPr>
          </w:p>
        </w:tc>
        <w:tc>
          <w:tcPr>
            <w:tcW w:w="2280" w:type="dxa"/>
            <w:vAlign w:val="bottom"/>
            <w:vMerge w:val="restart"/>
            <w:shd w:val="clear" w:color="auto" w:fill="F2F3F2"/>
          </w:tcPr>
          <w:p>
            <w:pPr>
              <w:jc w:val="right"/>
              <w:ind w:right="472"/>
              <w:spacing w:after="0"/>
              <w:rPr>
                <w:sz w:val="20"/>
                <w:szCs w:val="20"/>
                <w:color w:val="auto"/>
              </w:rPr>
            </w:pPr>
            <w:r>
              <w:rPr>
                <w:rFonts w:ascii="Arial" w:cs="Arial" w:eastAsia="Arial" w:hAnsi="Arial"/>
                <w:sz w:val="32"/>
                <w:szCs w:val="32"/>
                <w:color w:val="6AAA37"/>
              </w:rPr>
              <w:t>16,500+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820" w:type="dxa"/>
            <w:vAlign w:val="bottom"/>
            <w:vMerge w:val="continue"/>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1700" w:type="dxa"/>
            <w:vAlign w:val="bottom"/>
            <w:gridSpan w:val="2"/>
            <w:vMerge w:val="continue"/>
            <w:shd w:val="clear" w:color="auto" w:fill="F2F3F2"/>
          </w:tcPr>
          <w:p>
            <w:pPr>
              <w:spacing w:after="0"/>
              <w:rPr>
                <w:sz w:val="24"/>
                <w:szCs w:val="24"/>
                <w:color w:val="auto"/>
              </w:rPr>
            </w:pPr>
          </w:p>
        </w:tc>
        <w:tc>
          <w:tcPr>
            <w:tcW w:w="3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1780" w:type="dxa"/>
            <w:vAlign w:val="bottom"/>
            <w:gridSpan w:val="2"/>
            <w:vMerge w:val="continue"/>
            <w:shd w:val="clear" w:color="auto" w:fill="F2F3F2"/>
          </w:tcPr>
          <w:p>
            <w:pPr>
              <w:spacing w:after="0"/>
              <w:rPr>
                <w:sz w:val="24"/>
                <w:szCs w:val="24"/>
                <w:color w:val="auto"/>
              </w:rPr>
            </w:pPr>
          </w:p>
        </w:tc>
        <w:tc>
          <w:tcPr>
            <w:tcW w:w="100" w:type="dxa"/>
            <w:vAlign w:val="bottom"/>
            <w:tcBorders>
              <w:left w:val="single" w:sz="8" w:color="B2B3B6"/>
            </w:tcBorders>
            <w:shd w:val="clear" w:color="auto" w:fill="F2F3F2"/>
          </w:tcPr>
          <w:p>
            <w:pPr>
              <w:spacing w:after="0"/>
              <w:rPr>
                <w:sz w:val="24"/>
                <w:szCs w:val="24"/>
                <w:color w:val="auto"/>
              </w:rPr>
            </w:pPr>
          </w:p>
        </w:tc>
        <w:tc>
          <w:tcPr>
            <w:tcW w:w="2060" w:type="dxa"/>
            <w:vAlign w:val="bottom"/>
            <w:gridSpan w:val="2"/>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2280" w:type="dxa"/>
            <w:vAlign w:val="bottom"/>
            <w:vMerge w:val="continue"/>
            <w:shd w:val="clear" w:color="auto" w:fill="F2F3F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20" w:type="dxa"/>
            <w:vAlign w:val="bottom"/>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1700" w:type="dxa"/>
            <w:vAlign w:val="bottom"/>
            <w:gridSpan w:val="2"/>
            <w:shd w:val="clear" w:color="auto" w:fill="F2F3F2"/>
          </w:tcPr>
          <w:p>
            <w:pPr>
              <w:ind w:left="360"/>
              <w:spacing w:after="0"/>
              <w:rPr>
                <w:sz w:val="20"/>
                <w:szCs w:val="20"/>
                <w:color w:val="auto"/>
              </w:rPr>
            </w:pPr>
            <w:r>
              <w:rPr>
                <w:rFonts w:ascii="Arial" w:cs="Arial" w:eastAsia="Arial" w:hAnsi="Arial"/>
                <w:sz w:val="18"/>
                <w:szCs w:val="18"/>
                <w:b w:val="1"/>
                <w:bCs w:val="1"/>
                <w:color w:val="auto"/>
              </w:rPr>
              <w:t>Clients Served</w:t>
            </w:r>
          </w:p>
        </w:tc>
        <w:tc>
          <w:tcPr>
            <w:tcW w:w="3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1780" w:type="dxa"/>
            <w:vAlign w:val="bottom"/>
            <w:gridSpan w:val="2"/>
            <w:shd w:val="clear" w:color="auto" w:fill="F2F3F2"/>
          </w:tcPr>
          <w:p>
            <w:pPr>
              <w:jc w:val="center"/>
              <w:ind w:right="517"/>
              <w:spacing w:after="0"/>
              <w:rPr>
                <w:sz w:val="20"/>
                <w:szCs w:val="20"/>
                <w:color w:val="auto"/>
              </w:rPr>
            </w:pPr>
            <w:r>
              <w:rPr>
                <w:rFonts w:ascii="Arial" w:cs="Arial" w:eastAsia="Arial" w:hAnsi="Arial"/>
                <w:sz w:val="18"/>
                <w:szCs w:val="18"/>
                <w:b w:val="1"/>
                <w:bCs w:val="1"/>
                <w:color w:val="auto"/>
                <w:w w:val="99"/>
              </w:rPr>
              <w:t>Full-Time</w:t>
            </w:r>
          </w:p>
        </w:tc>
        <w:tc>
          <w:tcPr>
            <w:tcW w:w="100" w:type="dxa"/>
            <w:vAlign w:val="bottom"/>
            <w:tcBorders>
              <w:left w:val="single" w:sz="8" w:color="B2B3B6"/>
            </w:tcBorders>
            <w:shd w:val="clear" w:color="auto" w:fill="F2F3F2"/>
          </w:tcPr>
          <w:p>
            <w:pPr>
              <w:spacing w:after="0"/>
              <w:rPr>
                <w:sz w:val="24"/>
                <w:szCs w:val="24"/>
                <w:color w:val="auto"/>
              </w:rPr>
            </w:pPr>
          </w:p>
        </w:tc>
        <w:tc>
          <w:tcPr>
            <w:tcW w:w="2060" w:type="dxa"/>
            <w:vAlign w:val="bottom"/>
            <w:gridSpan w:val="2"/>
            <w:shd w:val="clear" w:color="auto" w:fill="F2F3F2"/>
          </w:tcPr>
          <w:p>
            <w:pPr>
              <w:ind w:left="560"/>
              <w:spacing w:after="0"/>
              <w:rPr>
                <w:sz w:val="20"/>
                <w:szCs w:val="20"/>
                <w:color w:val="auto"/>
              </w:rPr>
            </w:pPr>
            <w:r>
              <w:rPr>
                <w:rFonts w:ascii="Arial" w:cs="Arial" w:eastAsia="Arial" w:hAnsi="Arial"/>
                <w:sz w:val="18"/>
                <w:szCs w:val="18"/>
                <w:b w:val="1"/>
                <w:bCs w:val="1"/>
                <w:color w:val="auto"/>
              </w:rPr>
              <w:t>Employee</w:t>
            </w:r>
          </w:p>
        </w:tc>
        <w:tc>
          <w:tcPr>
            <w:tcW w:w="120" w:type="dxa"/>
            <w:vAlign w:val="bottom"/>
            <w:tcBorders>
              <w:right w:val="single" w:sz="8" w:color="B2B3B6"/>
            </w:tcBorders>
            <w:shd w:val="clear" w:color="auto" w:fill="F2F3F2"/>
          </w:tcPr>
          <w:p>
            <w:pPr>
              <w:spacing w:after="0"/>
              <w:rPr>
                <w:sz w:val="24"/>
                <w:szCs w:val="24"/>
                <w:color w:val="auto"/>
              </w:rPr>
            </w:pPr>
          </w:p>
        </w:tc>
        <w:tc>
          <w:tcPr>
            <w:tcW w:w="2280" w:type="dxa"/>
            <w:vAlign w:val="bottom"/>
            <w:shd w:val="clear" w:color="auto" w:fill="F2F3F2"/>
          </w:tcPr>
          <w:p>
            <w:pPr>
              <w:jc w:val="center"/>
              <w:ind w:right="152"/>
              <w:spacing w:after="0"/>
              <w:rPr>
                <w:sz w:val="20"/>
                <w:szCs w:val="20"/>
                <w:color w:val="auto"/>
              </w:rPr>
            </w:pPr>
            <w:r>
              <w:rPr>
                <w:rFonts w:ascii="Arial" w:cs="Arial" w:eastAsia="Arial" w:hAnsi="Arial"/>
                <w:sz w:val="18"/>
                <w:szCs w:val="18"/>
                <w:b w:val="1"/>
                <w:bCs w:val="1"/>
                <w:color w:val="auto"/>
                <w:w w:val="98"/>
              </w:rPr>
              <w:t>Hours Volunteered in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100" w:type="dxa"/>
            <w:vAlign w:val="bottom"/>
            <w:shd w:val="clear" w:color="auto" w:fill="F2F3F2"/>
          </w:tcPr>
          <w:p>
            <w:pPr>
              <w:spacing w:after="0"/>
              <w:rPr>
                <w:sz w:val="21"/>
                <w:szCs w:val="21"/>
                <w:color w:val="auto"/>
              </w:rPr>
            </w:pPr>
          </w:p>
        </w:tc>
        <w:tc>
          <w:tcPr>
            <w:tcW w:w="900" w:type="dxa"/>
            <w:vAlign w:val="bottom"/>
            <w:shd w:val="clear" w:color="auto" w:fill="F2F3F2"/>
          </w:tcPr>
          <w:p>
            <w:pPr>
              <w:spacing w:after="0"/>
              <w:rPr>
                <w:sz w:val="21"/>
                <w:szCs w:val="21"/>
                <w:color w:val="auto"/>
              </w:rPr>
            </w:pPr>
          </w:p>
        </w:tc>
        <w:tc>
          <w:tcPr>
            <w:tcW w:w="800" w:type="dxa"/>
            <w:vAlign w:val="bottom"/>
            <w:shd w:val="clear" w:color="auto" w:fill="F2F3F2"/>
          </w:tcPr>
          <w:p>
            <w:pPr>
              <w:spacing w:after="0"/>
              <w:rPr>
                <w:sz w:val="21"/>
                <w:szCs w:val="21"/>
                <w:color w:val="auto"/>
              </w:rPr>
            </w:pPr>
          </w:p>
        </w:tc>
        <w:tc>
          <w:tcPr>
            <w:tcW w:w="360" w:type="dxa"/>
            <w:vAlign w:val="bottom"/>
            <w:shd w:val="clear" w:color="auto" w:fill="F2F3F2"/>
          </w:tcPr>
          <w:p>
            <w:pPr>
              <w:spacing w:after="0"/>
              <w:rPr>
                <w:sz w:val="21"/>
                <w:szCs w:val="21"/>
                <w:color w:val="auto"/>
              </w:rPr>
            </w:pPr>
          </w:p>
        </w:tc>
        <w:tc>
          <w:tcPr>
            <w:tcW w:w="120" w:type="dxa"/>
            <w:vAlign w:val="bottom"/>
            <w:tcBorders>
              <w:right w:val="single" w:sz="8" w:color="B2B3B6"/>
            </w:tcBorders>
            <w:shd w:val="clear" w:color="auto" w:fill="F2F3F2"/>
          </w:tcPr>
          <w:p>
            <w:pPr>
              <w:spacing w:after="0"/>
              <w:rPr>
                <w:sz w:val="21"/>
                <w:szCs w:val="21"/>
                <w:color w:val="auto"/>
              </w:rPr>
            </w:pPr>
          </w:p>
        </w:tc>
        <w:tc>
          <w:tcPr>
            <w:tcW w:w="460" w:type="dxa"/>
            <w:vAlign w:val="bottom"/>
            <w:shd w:val="clear" w:color="auto" w:fill="F2F3F2"/>
          </w:tcPr>
          <w:p>
            <w:pPr>
              <w:spacing w:after="0"/>
              <w:rPr>
                <w:sz w:val="21"/>
                <w:szCs w:val="21"/>
                <w:color w:val="auto"/>
              </w:rPr>
            </w:pPr>
          </w:p>
        </w:tc>
        <w:tc>
          <w:tcPr>
            <w:tcW w:w="1780" w:type="dxa"/>
            <w:vAlign w:val="bottom"/>
            <w:gridSpan w:val="2"/>
            <w:shd w:val="clear" w:color="auto" w:fill="F2F3F2"/>
          </w:tcPr>
          <w:p>
            <w:pPr>
              <w:jc w:val="center"/>
              <w:ind w:right="497"/>
              <w:spacing w:after="0"/>
              <w:rPr>
                <w:sz w:val="20"/>
                <w:szCs w:val="20"/>
                <w:color w:val="auto"/>
              </w:rPr>
            </w:pPr>
            <w:r>
              <w:rPr>
                <w:rFonts w:ascii="Arial" w:cs="Arial" w:eastAsia="Arial" w:hAnsi="Arial"/>
                <w:sz w:val="18"/>
                <w:szCs w:val="18"/>
                <w:b w:val="1"/>
                <w:bCs w:val="1"/>
                <w:color w:val="auto"/>
                <w:w w:val="98"/>
              </w:rPr>
              <w:t>Employees</w:t>
            </w:r>
          </w:p>
        </w:tc>
        <w:tc>
          <w:tcPr>
            <w:tcW w:w="100" w:type="dxa"/>
            <w:vAlign w:val="bottom"/>
            <w:tcBorders>
              <w:left w:val="single" w:sz="8" w:color="B2B3B6"/>
            </w:tcBorders>
            <w:shd w:val="clear" w:color="auto" w:fill="F2F3F2"/>
          </w:tcPr>
          <w:p>
            <w:pPr>
              <w:spacing w:after="0"/>
              <w:rPr>
                <w:sz w:val="21"/>
                <w:szCs w:val="21"/>
                <w:color w:val="auto"/>
              </w:rPr>
            </w:pPr>
          </w:p>
        </w:tc>
        <w:tc>
          <w:tcPr>
            <w:tcW w:w="2060" w:type="dxa"/>
            <w:vAlign w:val="bottom"/>
            <w:gridSpan w:val="2"/>
            <w:shd w:val="clear" w:color="auto" w:fill="F2F3F2"/>
          </w:tcPr>
          <w:p>
            <w:pPr>
              <w:ind w:left="120"/>
              <w:spacing w:after="0"/>
              <w:rPr>
                <w:sz w:val="20"/>
                <w:szCs w:val="20"/>
                <w:color w:val="auto"/>
              </w:rPr>
            </w:pPr>
            <w:r>
              <w:rPr>
                <w:rFonts w:ascii="Arial" w:cs="Arial" w:eastAsia="Arial" w:hAnsi="Arial"/>
                <w:sz w:val="18"/>
                <w:szCs w:val="18"/>
                <w:b w:val="1"/>
                <w:bCs w:val="1"/>
                <w:color w:val="auto"/>
              </w:rPr>
              <w:t>Engagement Score</w:t>
            </w:r>
          </w:p>
        </w:tc>
        <w:tc>
          <w:tcPr>
            <w:tcW w:w="120" w:type="dxa"/>
            <w:vAlign w:val="bottom"/>
            <w:tcBorders>
              <w:right w:val="single" w:sz="8" w:color="B2B3B6"/>
            </w:tcBorders>
            <w:shd w:val="clear" w:color="auto" w:fill="F2F3F2"/>
          </w:tcPr>
          <w:p>
            <w:pPr>
              <w:spacing w:after="0"/>
              <w:rPr>
                <w:sz w:val="21"/>
                <w:szCs w:val="21"/>
                <w:color w:val="auto"/>
              </w:rPr>
            </w:pPr>
          </w:p>
        </w:tc>
        <w:tc>
          <w:tcPr>
            <w:tcW w:w="2280" w:type="dxa"/>
            <w:vAlign w:val="bottom"/>
            <w:shd w:val="clear" w:color="auto" w:fill="F2F3F2"/>
          </w:tcPr>
          <w:p>
            <w:pPr>
              <w:jc w:val="center"/>
              <w:ind w:right="112"/>
              <w:spacing w:after="0"/>
              <w:rPr>
                <w:sz w:val="20"/>
                <w:szCs w:val="20"/>
                <w:color w:val="auto"/>
              </w:rPr>
            </w:pPr>
            <w:r>
              <w:rPr>
                <w:rFonts w:ascii="Arial" w:cs="Arial" w:eastAsia="Arial" w:hAnsi="Arial"/>
                <w:sz w:val="18"/>
                <w:szCs w:val="18"/>
                <w:b w:val="1"/>
                <w:bCs w:val="1"/>
                <w:color w:val="auto"/>
              </w:rPr>
              <w:t>Our Communities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100" w:type="dxa"/>
            <w:vAlign w:val="bottom"/>
            <w:tcBorders>
              <w:bottom w:val="single" w:sz="8" w:color="F2F3F2"/>
            </w:tcBorders>
            <w:shd w:val="clear" w:color="auto" w:fill="F2F3F2"/>
          </w:tcPr>
          <w:p>
            <w:pPr>
              <w:spacing w:after="0"/>
              <w:rPr>
                <w:sz w:val="24"/>
                <w:szCs w:val="24"/>
                <w:color w:val="auto"/>
              </w:rPr>
            </w:pPr>
          </w:p>
        </w:tc>
        <w:tc>
          <w:tcPr>
            <w:tcW w:w="2060" w:type="dxa"/>
            <w:vAlign w:val="bottom"/>
            <w:tcBorders>
              <w:bottom w:val="single" w:sz="8" w:color="F2F3F2"/>
            </w:tcBorders>
            <w:gridSpan w:val="3"/>
            <w:vMerge w:val="restart"/>
            <w:shd w:val="clear" w:color="auto" w:fill="F2F3F2"/>
          </w:tcPr>
          <w:p>
            <w:pPr>
              <w:ind w:left="40"/>
              <w:spacing w:after="0"/>
              <w:rPr>
                <w:sz w:val="20"/>
                <w:szCs w:val="20"/>
                <w:color w:val="auto"/>
              </w:rPr>
            </w:pPr>
            <w:r>
              <w:rPr>
                <w:rFonts w:ascii="Arial" w:cs="Arial" w:eastAsia="Arial" w:hAnsi="Arial"/>
                <w:sz w:val="13"/>
                <w:szCs w:val="13"/>
                <w:i w:val="1"/>
                <w:iCs w:val="1"/>
                <w:color w:val="auto"/>
                <w:w w:val="95"/>
              </w:rPr>
              <w:t>Note: Numbers presented above are</w:t>
            </w:r>
          </w:p>
        </w:tc>
        <w:tc>
          <w:tcPr>
            <w:tcW w:w="120" w:type="dxa"/>
            <w:vAlign w:val="bottom"/>
            <w:tcBorders>
              <w:bottom w:val="single" w:sz="8" w:color="F2F3F2"/>
              <w:right w:val="single" w:sz="8" w:color="B2B3B6"/>
            </w:tcBorders>
            <w:shd w:val="clear" w:color="auto" w:fill="F2F3F2"/>
          </w:tcPr>
          <w:p>
            <w:pPr>
              <w:spacing w:after="0"/>
              <w:rPr>
                <w:sz w:val="24"/>
                <w:szCs w:val="24"/>
                <w:color w:val="auto"/>
              </w:rPr>
            </w:pPr>
          </w:p>
        </w:tc>
        <w:tc>
          <w:tcPr>
            <w:tcW w:w="460" w:type="dxa"/>
            <w:vAlign w:val="bottom"/>
            <w:tcBorders>
              <w:bottom w:val="single" w:sz="8" w:color="F2F3F2"/>
            </w:tcBorders>
            <w:shd w:val="clear" w:color="auto" w:fill="F2F3F2"/>
          </w:tcPr>
          <w:p>
            <w:pPr>
              <w:spacing w:after="0"/>
              <w:rPr>
                <w:sz w:val="24"/>
                <w:szCs w:val="24"/>
                <w:color w:val="auto"/>
              </w:rPr>
            </w:pPr>
          </w:p>
        </w:tc>
        <w:tc>
          <w:tcPr>
            <w:tcW w:w="940" w:type="dxa"/>
            <w:vAlign w:val="bottom"/>
            <w:tcBorders>
              <w:bottom w:val="single" w:sz="8" w:color="F2F3F2"/>
            </w:tcBorders>
            <w:shd w:val="clear" w:color="auto" w:fill="F2F3F2"/>
          </w:tcPr>
          <w:p>
            <w:pPr>
              <w:spacing w:after="0"/>
              <w:rPr>
                <w:sz w:val="24"/>
                <w:szCs w:val="24"/>
                <w:color w:val="auto"/>
              </w:rPr>
            </w:pPr>
          </w:p>
        </w:tc>
        <w:tc>
          <w:tcPr>
            <w:tcW w:w="840" w:type="dxa"/>
            <w:vAlign w:val="bottom"/>
            <w:tcBorders>
              <w:bottom w:val="single" w:sz="8" w:color="F2F3F2"/>
            </w:tcBorders>
            <w:shd w:val="clear" w:color="auto" w:fill="F2F3F2"/>
          </w:tcPr>
          <w:p>
            <w:pPr>
              <w:spacing w:after="0"/>
              <w:rPr>
                <w:sz w:val="24"/>
                <w:szCs w:val="24"/>
                <w:color w:val="auto"/>
              </w:rPr>
            </w:pPr>
          </w:p>
        </w:tc>
        <w:tc>
          <w:tcPr>
            <w:tcW w:w="100" w:type="dxa"/>
            <w:vAlign w:val="bottom"/>
            <w:tcBorders>
              <w:left w:val="single" w:sz="8" w:color="B2B3B6"/>
              <w:bottom w:val="single" w:sz="8" w:color="F2F3F2"/>
            </w:tcBorders>
            <w:shd w:val="clear" w:color="auto" w:fill="F2F3F2"/>
          </w:tcPr>
          <w:p>
            <w:pPr>
              <w:spacing w:after="0"/>
              <w:rPr>
                <w:sz w:val="24"/>
                <w:szCs w:val="24"/>
                <w:color w:val="auto"/>
              </w:rPr>
            </w:pPr>
          </w:p>
        </w:tc>
        <w:tc>
          <w:tcPr>
            <w:tcW w:w="2060" w:type="dxa"/>
            <w:vAlign w:val="bottom"/>
            <w:tcBorders>
              <w:bottom w:val="single" w:sz="8" w:color="F2F3F2"/>
            </w:tcBorders>
            <w:gridSpan w:val="2"/>
            <w:shd w:val="clear" w:color="auto" w:fill="F2F3F2"/>
          </w:tcPr>
          <w:p>
            <w:pPr>
              <w:ind w:left="180"/>
              <w:spacing w:after="0"/>
              <w:rPr>
                <w:sz w:val="20"/>
                <w:szCs w:val="20"/>
                <w:color w:val="auto"/>
              </w:rPr>
            </w:pPr>
            <w:r>
              <w:rPr>
                <w:rFonts w:ascii="Arial" w:cs="Arial" w:eastAsia="Arial" w:hAnsi="Arial"/>
                <w:sz w:val="14"/>
                <w:szCs w:val="14"/>
                <w:color w:val="auto"/>
              </w:rPr>
              <w:t>(Global benchmark: 72)</w:t>
            </w:r>
          </w:p>
        </w:tc>
        <w:tc>
          <w:tcPr>
            <w:tcW w:w="120" w:type="dxa"/>
            <w:vAlign w:val="bottom"/>
            <w:tcBorders>
              <w:bottom w:val="single" w:sz="8" w:color="F2F3F2"/>
              <w:right w:val="single" w:sz="8" w:color="B2B3B6"/>
            </w:tcBorders>
            <w:shd w:val="clear" w:color="auto" w:fill="F2F3F2"/>
          </w:tcPr>
          <w:p>
            <w:pPr>
              <w:spacing w:after="0"/>
              <w:rPr>
                <w:sz w:val="24"/>
                <w:szCs w:val="24"/>
                <w:color w:val="auto"/>
              </w:rPr>
            </w:pPr>
          </w:p>
        </w:tc>
        <w:tc>
          <w:tcPr>
            <w:tcW w:w="2280" w:type="dxa"/>
            <w:vAlign w:val="bottom"/>
            <w:tcBorders>
              <w:bottom w:val="single" w:sz="8" w:color="F2F3F2"/>
            </w:tcBorders>
            <w:shd w:val="clear" w:color="auto" w:fill="F2F3F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100" w:type="dxa"/>
            <w:vAlign w:val="bottom"/>
            <w:shd w:val="clear" w:color="auto" w:fill="F2F3F2"/>
          </w:tcPr>
          <w:p>
            <w:pPr>
              <w:spacing w:after="0"/>
              <w:rPr>
                <w:sz w:val="14"/>
                <w:szCs w:val="14"/>
                <w:color w:val="auto"/>
              </w:rPr>
            </w:pPr>
          </w:p>
        </w:tc>
        <w:tc>
          <w:tcPr>
            <w:tcW w:w="2060" w:type="dxa"/>
            <w:vAlign w:val="bottom"/>
            <w:gridSpan w:val="3"/>
            <w:vMerge w:val="continue"/>
            <w:shd w:val="clear" w:color="auto" w:fill="F2F3F2"/>
          </w:tcPr>
          <w:p>
            <w:pPr>
              <w:spacing w:after="0"/>
              <w:rPr>
                <w:sz w:val="14"/>
                <w:szCs w:val="14"/>
                <w:color w:val="auto"/>
              </w:rPr>
            </w:pPr>
          </w:p>
        </w:tc>
        <w:tc>
          <w:tcPr>
            <w:tcW w:w="1520" w:type="dxa"/>
            <w:vAlign w:val="bottom"/>
            <w:gridSpan w:val="3"/>
            <w:shd w:val="clear" w:color="auto" w:fill="F2F3F2"/>
          </w:tcPr>
          <w:p>
            <w:pPr>
              <w:ind w:left="60"/>
              <w:spacing w:after="0"/>
              <w:rPr>
                <w:sz w:val="20"/>
                <w:szCs w:val="20"/>
                <w:color w:val="auto"/>
              </w:rPr>
            </w:pPr>
            <w:r>
              <w:rPr>
                <w:rFonts w:ascii="Arial" w:cs="Arial" w:eastAsia="Arial" w:hAnsi="Arial"/>
                <w:sz w:val="13"/>
                <w:szCs w:val="13"/>
                <w:i w:val="1"/>
                <w:iCs w:val="1"/>
                <w:color w:val="auto"/>
                <w:w w:val="98"/>
              </w:rPr>
              <w:t>as of December 31, 2025</w:t>
            </w:r>
          </w:p>
        </w:tc>
        <w:tc>
          <w:tcPr>
            <w:tcW w:w="840" w:type="dxa"/>
            <w:vAlign w:val="bottom"/>
            <w:shd w:val="clear" w:color="auto" w:fill="F2F3F2"/>
          </w:tcPr>
          <w:p>
            <w:pPr>
              <w:spacing w:after="0"/>
              <w:rPr>
                <w:sz w:val="14"/>
                <w:szCs w:val="14"/>
                <w:color w:val="auto"/>
              </w:rPr>
            </w:pPr>
          </w:p>
        </w:tc>
        <w:tc>
          <w:tcPr>
            <w:tcW w:w="100" w:type="dxa"/>
            <w:vAlign w:val="bottom"/>
            <w:tcBorders>
              <w:left w:val="single" w:sz="8" w:color="F2F3F2"/>
            </w:tcBorders>
            <w:shd w:val="clear" w:color="auto" w:fill="F2F3F2"/>
          </w:tcPr>
          <w:p>
            <w:pPr>
              <w:spacing w:after="0"/>
              <w:rPr>
                <w:sz w:val="14"/>
                <w:szCs w:val="14"/>
                <w:color w:val="auto"/>
              </w:rPr>
            </w:pPr>
          </w:p>
        </w:tc>
        <w:tc>
          <w:tcPr>
            <w:tcW w:w="980" w:type="dxa"/>
            <w:vAlign w:val="bottom"/>
            <w:shd w:val="clear" w:color="auto" w:fill="F2F3F2"/>
          </w:tcPr>
          <w:p>
            <w:pPr>
              <w:spacing w:after="0"/>
              <w:rPr>
                <w:sz w:val="14"/>
                <w:szCs w:val="14"/>
                <w:color w:val="auto"/>
              </w:rPr>
            </w:pPr>
          </w:p>
        </w:tc>
        <w:tc>
          <w:tcPr>
            <w:tcW w:w="1080" w:type="dxa"/>
            <w:vAlign w:val="bottom"/>
            <w:shd w:val="clear" w:color="auto" w:fill="F2F3F2"/>
          </w:tcPr>
          <w:p>
            <w:pPr>
              <w:spacing w:after="0"/>
              <w:rPr>
                <w:sz w:val="14"/>
                <w:szCs w:val="14"/>
                <w:color w:val="auto"/>
              </w:rPr>
            </w:pPr>
          </w:p>
        </w:tc>
        <w:tc>
          <w:tcPr>
            <w:tcW w:w="120" w:type="dxa"/>
            <w:vAlign w:val="bottom"/>
            <w:tcBorders>
              <w:right w:val="single" w:sz="8" w:color="F2F3F2"/>
            </w:tcBorders>
            <w:shd w:val="clear" w:color="auto" w:fill="F2F3F2"/>
          </w:tcPr>
          <w:p>
            <w:pPr>
              <w:spacing w:after="0"/>
              <w:rPr>
                <w:sz w:val="14"/>
                <w:szCs w:val="14"/>
                <w:color w:val="auto"/>
              </w:rPr>
            </w:pPr>
          </w:p>
        </w:tc>
        <w:tc>
          <w:tcPr>
            <w:tcW w:w="2280" w:type="dxa"/>
            <w:vAlign w:val="bottom"/>
            <w:shd w:val="clear" w:color="auto" w:fill="F2F3F2"/>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700" w:type="dxa"/>
            <w:vAlign w:val="bottom"/>
            <w:gridSpan w:val="2"/>
            <w:shd w:val="clear" w:color="auto" w:fill="F2F3F2"/>
          </w:tcPr>
          <w:p>
            <w:pPr>
              <w:spacing w:after="0"/>
              <w:rPr>
                <w:sz w:val="15"/>
                <w:szCs w:val="15"/>
                <w:color w:val="auto"/>
              </w:rPr>
            </w:pPr>
          </w:p>
        </w:tc>
        <w:tc>
          <w:tcPr>
            <w:tcW w:w="3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460" w:type="dxa"/>
            <w:vAlign w:val="bottom"/>
            <w:shd w:val="clear" w:color="auto" w:fill="F2F3F2"/>
          </w:tcPr>
          <w:p>
            <w:pPr>
              <w:spacing w:after="0"/>
              <w:rPr>
                <w:sz w:val="15"/>
                <w:szCs w:val="15"/>
                <w:color w:val="auto"/>
              </w:rPr>
            </w:pPr>
          </w:p>
        </w:tc>
        <w:tc>
          <w:tcPr>
            <w:tcW w:w="940" w:type="dxa"/>
            <w:vAlign w:val="bottom"/>
            <w:shd w:val="clear" w:color="auto" w:fill="F2F3F2"/>
          </w:tcPr>
          <w:p>
            <w:pPr>
              <w:spacing w:after="0"/>
              <w:rPr>
                <w:sz w:val="15"/>
                <w:szCs w:val="15"/>
                <w:color w:val="auto"/>
              </w:rPr>
            </w:pPr>
          </w:p>
        </w:tc>
        <w:tc>
          <w:tcPr>
            <w:tcW w:w="840" w:type="dxa"/>
            <w:vAlign w:val="bottom"/>
            <w:shd w:val="clear" w:color="auto" w:fill="F2F3F2"/>
          </w:tcPr>
          <w:p>
            <w:pPr>
              <w:spacing w:after="0"/>
              <w:rPr>
                <w:sz w:val="15"/>
                <w:szCs w:val="15"/>
                <w:color w:val="auto"/>
              </w:rPr>
            </w:pPr>
          </w:p>
        </w:tc>
        <w:tc>
          <w:tcPr>
            <w:tcW w:w="100" w:type="dxa"/>
            <w:vAlign w:val="bottom"/>
            <w:tcBorders>
              <w:left w:val="single" w:sz="8" w:color="F2F3F2"/>
            </w:tcBorders>
            <w:shd w:val="clear" w:color="auto" w:fill="F2F3F2"/>
          </w:tcPr>
          <w:p>
            <w:pPr>
              <w:spacing w:after="0"/>
              <w:rPr>
                <w:sz w:val="15"/>
                <w:szCs w:val="15"/>
                <w:color w:val="auto"/>
              </w:rPr>
            </w:pPr>
          </w:p>
        </w:tc>
        <w:tc>
          <w:tcPr>
            <w:tcW w:w="980" w:type="dxa"/>
            <w:vAlign w:val="bottom"/>
            <w:shd w:val="clear" w:color="auto" w:fill="F2F3F2"/>
          </w:tcPr>
          <w:p>
            <w:pPr>
              <w:spacing w:after="0"/>
              <w:rPr>
                <w:sz w:val="15"/>
                <w:szCs w:val="15"/>
                <w:color w:val="auto"/>
              </w:rPr>
            </w:pPr>
          </w:p>
        </w:tc>
        <w:tc>
          <w:tcPr>
            <w:tcW w:w="108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820" w:type="dxa"/>
            <w:vAlign w:val="bottom"/>
          </w:tcPr>
          <w:p>
            <w:pPr>
              <w:spacing w:after="0"/>
              <w:rPr>
                <w:sz w:val="24"/>
                <w:szCs w:val="24"/>
                <w:color w:val="auto"/>
              </w:rPr>
            </w:pPr>
          </w:p>
        </w:tc>
        <w:tc>
          <w:tcPr>
            <w:tcW w:w="100" w:type="dxa"/>
            <w:vAlign w:val="bottom"/>
            <w:tcBorders>
              <w:bottom w:val="single" w:sz="8" w:color="B2B3B6"/>
            </w:tcBorders>
          </w:tcPr>
          <w:p>
            <w:pPr>
              <w:spacing w:after="0"/>
              <w:rPr>
                <w:sz w:val="24"/>
                <w:szCs w:val="24"/>
                <w:color w:val="auto"/>
              </w:rPr>
            </w:pPr>
          </w:p>
        </w:tc>
        <w:tc>
          <w:tcPr>
            <w:tcW w:w="900" w:type="dxa"/>
            <w:vAlign w:val="bottom"/>
            <w:tcBorders>
              <w:bottom w:val="single" w:sz="8" w:color="B2B3B6"/>
            </w:tcBorders>
          </w:tcPr>
          <w:p>
            <w:pPr>
              <w:spacing w:after="0"/>
              <w:rPr>
                <w:sz w:val="24"/>
                <w:szCs w:val="24"/>
                <w:color w:val="auto"/>
              </w:rPr>
            </w:pPr>
          </w:p>
        </w:tc>
        <w:tc>
          <w:tcPr>
            <w:tcW w:w="800" w:type="dxa"/>
            <w:vAlign w:val="bottom"/>
            <w:tcBorders>
              <w:bottom w:val="single" w:sz="8" w:color="B2B3B6"/>
            </w:tcBorders>
          </w:tcPr>
          <w:p>
            <w:pPr>
              <w:spacing w:after="0"/>
              <w:rPr>
                <w:sz w:val="24"/>
                <w:szCs w:val="24"/>
                <w:color w:val="auto"/>
              </w:rPr>
            </w:pPr>
          </w:p>
        </w:tc>
        <w:tc>
          <w:tcPr>
            <w:tcW w:w="360" w:type="dxa"/>
            <w:vAlign w:val="bottom"/>
            <w:tcBorders>
              <w:bottom w:val="single" w:sz="8" w:color="B2B3B6"/>
            </w:tcBorders>
          </w:tcPr>
          <w:p>
            <w:pPr>
              <w:spacing w:after="0"/>
              <w:rPr>
                <w:sz w:val="24"/>
                <w:szCs w:val="24"/>
                <w:color w:val="auto"/>
              </w:rPr>
            </w:pPr>
          </w:p>
        </w:tc>
        <w:tc>
          <w:tcPr>
            <w:tcW w:w="120" w:type="dxa"/>
            <w:vAlign w:val="bottom"/>
            <w:tcBorders>
              <w:bottom w:val="single" w:sz="8" w:color="B2B3B6"/>
            </w:tcBorders>
          </w:tcPr>
          <w:p>
            <w:pPr>
              <w:spacing w:after="0"/>
              <w:rPr>
                <w:sz w:val="24"/>
                <w:szCs w:val="24"/>
                <w:color w:val="auto"/>
              </w:rPr>
            </w:pPr>
          </w:p>
        </w:tc>
        <w:tc>
          <w:tcPr>
            <w:tcW w:w="460" w:type="dxa"/>
            <w:vAlign w:val="bottom"/>
            <w:tcBorders>
              <w:bottom w:val="single" w:sz="8" w:color="B2B3B6"/>
            </w:tcBorders>
          </w:tcPr>
          <w:p>
            <w:pPr>
              <w:spacing w:after="0"/>
              <w:rPr>
                <w:sz w:val="24"/>
                <w:szCs w:val="24"/>
                <w:color w:val="auto"/>
              </w:rPr>
            </w:pPr>
          </w:p>
        </w:tc>
        <w:tc>
          <w:tcPr>
            <w:tcW w:w="940" w:type="dxa"/>
            <w:vAlign w:val="bottom"/>
            <w:tcBorders>
              <w:bottom w:val="single" w:sz="8" w:color="B2B3B6"/>
            </w:tcBorders>
          </w:tcPr>
          <w:p>
            <w:pPr>
              <w:spacing w:after="0"/>
              <w:rPr>
                <w:sz w:val="24"/>
                <w:szCs w:val="24"/>
                <w:color w:val="auto"/>
              </w:rPr>
            </w:pPr>
          </w:p>
        </w:tc>
        <w:tc>
          <w:tcPr>
            <w:tcW w:w="840" w:type="dxa"/>
            <w:vAlign w:val="bottom"/>
            <w:tcBorders>
              <w:bottom w:val="single" w:sz="8" w:color="B2B3B6"/>
            </w:tcBorders>
          </w:tcPr>
          <w:p>
            <w:pPr>
              <w:spacing w:after="0"/>
              <w:rPr>
                <w:sz w:val="24"/>
                <w:szCs w:val="24"/>
                <w:color w:val="auto"/>
              </w:rPr>
            </w:pPr>
          </w:p>
        </w:tc>
        <w:tc>
          <w:tcPr>
            <w:tcW w:w="100" w:type="dxa"/>
            <w:vAlign w:val="bottom"/>
            <w:tcBorders>
              <w:bottom w:val="single" w:sz="8" w:color="B2B3B6"/>
            </w:tcBorders>
          </w:tcPr>
          <w:p>
            <w:pPr>
              <w:spacing w:after="0"/>
              <w:rPr>
                <w:sz w:val="24"/>
                <w:szCs w:val="24"/>
                <w:color w:val="auto"/>
              </w:rPr>
            </w:pPr>
          </w:p>
        </w:tc>
        <w:tc>
          <w:tcPr>
            <w:tcW w:w="980" w:type="dxa"/>
            <w:vAlign w:val="bottom"/>
            <w:tcBorders>
              <w:bottom w:val="single" w:sz="8" w:color="B2B3B6"/>
            </w:tcBorders>
          </w:tcPr>
          <w:p>
            <w:pPr>
              <w:spacing w:after="0"/>
              <w:rPr>
                <w:sz w:val="24"/>
                <w:szCs w:val="24"/>
                <w:color w:val="auto"/>
              </w:rPr>
            </w:pPr>
          </w:p>
        </w:tc>
        <w:tc>
          <w:tcPr>
            <w:tcW w:w="1080" w:type="dxa"/>
            <w:vAlign w:val="bottom"/>
            <w:tcBorders>
              <w:bottom w:val="single" w:sz="8" w:color="B2B3B6"/>
            </w:tcBorders>
          </w:tcPr>
          <w:p>
            <w:pPr>
              <w:spacing w:after="0"/>
              <w:rPr>
                <w:sz w:val="24"/>
                <w:szCs w:val="24"/>
                <w:color w:val="auto"/>
              </w:rPr>
            </w:pPr>
          </w:p>
        </w:tc>
        <w:tc>
          <w:tcPr>
            <w:tcW w:w="120" w:type="dxa"/>
            <w:vAlign w:val="bottom"/>
            <w:tcBorders>
              <w:bottom w:val="single" w:sz="8" w:color="B2B3B6"/>
            </w:tcBorders>
          </w:tcPr>
          <w:p>
            <w:pPr>
              <w:spacing w:after="0"/>
              <w:rPr>
                <w:sz w:val="24"/>
                <w:szCs w:val="24"/>
                <w:color w:val="auto"/>
              </w:rPr>
            </w:pPr>
          </w:p>
        </w:tc>
        <w:tc>
          <w:tcPr>
            <w:tcW w:w="2280" w:type="dxa"/>
            <w:vAlign w:val="bottom"/>
            <w:tcBorders>
              <w:bottom w:val="single" w:sz="8" w:color="B2B3B6"/>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800" w:type="dxa"/>
            <w:vAlign w:val="bottom"/>
            <w:gridSpan w:val="3"/>
          </w:tcPr>
          <w:p>
            <w:pPr>
              <w:ind w:left="60"/>
              <w:spacing w:after="0"/>
              <w:rPr>
                <w:sz w:val="20"/>
                <w:szCs w:val="20"/>
                <w:color w:val="auto"/>
              </w:rPr>
            </w:pPr>
            <w:r>
              <w:rPr>
                <w:rFonts w:ascii="Arial" w:cs="Arial" w:eastAsia="Arial" w:hAnsi="Arial"/>
                <w:sz w:val="13"/>
                <w:szCs w:val="13"/>
                <w:color w:val="auto"/>
              </w:rPr>
              <w:t>Huron Consulting Group Inc.</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00558C"/>
              </w:rPr>
              <w:t>i</w:t>
            </w: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2"/>
          </w:tcPr>
          <w:p>
            <w:pPr>
              <w:ind w:left="980"/>
              <w:spacing w:after="0"/>
              <w:rPr>
                <w:sz w:val="20"/>
                <w:szCs w:val="20"/>
                <w:color w:val="auto"/>
              </w:rPr>
            </w:pPr>
            <w:r>
              <w:rPr>
                <w:rFonts w:ascii="Arial" w:cs="Arial" w:eastAsia="Arial" w:hAnsi="Arial"/>
                <w:sz w:val="13"/>
                <w:szCs w:val="13"/>
                <w:color w:val="auto"/>
              </w:rPr>
              <w:t>2026 Proxy Statement</w:t>
            </w:r>
          </w:p>
        </w:tc>
        <w:tc>
          <w:tcPr>
            <w:tcW w:w="0" w:type="dxa"/>
            <w:vAlign w:val="bottom"/>
          </w:tcPr>
          <w:p>
            <w:pPr>
              <w:spacing w:after="0"/>
              <w:rPr>
                <w:sz w:val="1"/>
                <w:szCs w:val="1"/>
                <w:color w:val="auto"/>
              </w:rPr>
            </w:pPr>
          </w:p>
        </w:tc>
      </w:tr>
      <w:tr>
        <w:trPr>
          <w:trHeight w:val="362"/>
        </w:trPr>
        <w:tc>
          <w:tcPr>
            <w:tcW w:w="82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90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tcPr>
          <w:p>
            <w:pPr>
              <w:spacing w:after="0"/>
              <w:rPr>
                <w:sz w:val="24"/>
                <w:szCs w:val="24"/>
                <w:color w:val="auto"/>
              </w:rPr>
            </w:pPr>
          </w:p>
        </w:tc>
        <w:tc>
          <w:tcPr>
            <w:tcW w:w="480" w:type="dxa"/>
            <w:vAlign w:val="bottom"/>
            <w:tcBorders>
              <w:bottom w:val="single" w:sz="8" w:color="CCCCCC"/>
            </w:tcBorders>
            <w:gridSpan w:val="2"/>
          </w:tcPr>
          <w:p>
            <w:pPr>
              <w:spacing w:after="0"/>
              <w:rPr>
                <w:sz w:val="24"/>
                <w:szCs w:val="24"/>
                <w:color w:val="auto"/>
              </w:rPr>
            </w:pPr>
          </w:p>
        </w:tc>
        <w:tc>
          <w:tcPr>
            <w:tcW w:w="460" w:type="dxa"/>
            <w:vAlign w:val="bottom"/>
            <w:tcBorders>
              <w:bottom w:val="single" w:sz="8" w:color="CCCCCC"/>
            </w:tcBorders>
          </w:tcPr>
          <w:p>
            <w:pPr>
              <w:spacing w:after="0"/>
              <w:rPr>
                <w:sz w:val="24"/>
                <w:szCs w:val="24"/>
                <w:color w:val="auto"/>
              </w:rPr>
            </w:pPr>
          </w:p>
        </w:tc>
        <w:tc>
          <w:tcPr>
            <w:tcW w:w="94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980" w:type="dxa"/>
            <w:vAlign w:val="bottom"/>
            <w:tcBorders>
              <w:bottom w:val="single" w:sz="8" w:color="CCCCCC"/>
            </w:tcBorders>
          </w:tcPr>
          <w:p>
            <w:pPr>
              <w:spacing w:after="0"/>
              <w:rPr>
                <w:sz w:val="24"/>
                <w:szCs w:val="24"/>
                <w:color w:val="auto"/>
              </w:rPr>
            </w:pPr>
          </w:p>
        </w:tc>
        <w:tc>
          <w:tcPr>
            <w:tcW w:w="108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228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2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gridSpan w:val="2"/>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940" w:type="dxa"/>
            <w:vAlign w:val="bottom"/>
            <w:tcBorders>
              <w:bottom w:val="single" w:sz="8" w:color="CCCCCC"/>
            </w:tcBorders>
            <w:gridSpan w:val="3"/>
          </w:tcPr>
          <w:p>
            <w:pPr>
              <w:spacing w:after="0"/>
              <w:rPr>
                <w:sz w:val="11"/>
                <w:szCs w:val="11"/>
                <w:color w:val="auto"/>
              </w:rPr>
            </w:pPr>
          </w:p>
        </w:tc>
        <w:tc>
          <w:tcPr>
            <w:tcW w:w="940" w:type="dxa"/>
            <w:vAlign w:val="bottom"/>
            <w:tcBorders>
              <w:bottom w:val="single" w:sz="8" w:color="CCCCCC"/>
            </w:tcBorders>
          </w:tcPr>
          <w:p>
            <w:pPr>
              <w:spacing w:after="0"/>
              <w:rPr>
                <w:sz w:val="11"/>
                <w:szCs w:val="11"/>
                <w:color w:val="auto"/>
              </w:rPr>
            </w:pPr>
          </w:p>
        </w:tc>
        <w:tc>
          <w:tcPr>
            <w:tcW w:w="940" w:type="dxa"/>
            <w:vAlign w:val="bottom"/>
            <w:tcBorders>
              <w:bottom w:val="single" w:sz="8" w:color="CCCCCC"/>
            </w:tcBorders>
            <w:gridSpan w:val="2"/>
          </w:tcPr>
          <w:p>
            <w:pPr>
              <w:spacing w:after="0"/>
              <w:rPr>
                <w:sz w:val="11"/>
                <w:szCs w:val="11"/>
                <w:color w:val="auto"/>
              </w:rPr>
            </w:pPr>
          </w:p>
        </w:tc>
        <w:tc>
          <w:tcPr>
            <w:tcW w:w="980" w:type="dxa"/>
            <w:vAlign w:val="bottom"/>
            <w:tcBorders>
              <w:bottom w:val="single" w:sz="8" w:color="CCCCCC"/>
            </w:tcBorders>
          </w:tcPr>
          <w:p>
            <w:pPr>
              <w:spacing w:after="0"/>
              <w:rPr>
                <w:sz w:val="11"/>
                <w:szCs w:val="11"/>
                <w:color w:val="auto"/>
              </w:rPr>
            </w:pPr>
          </w:p>
        </w:tc>
        <w:tc>
          <w:tcPr>
            <w:tcW w:w="1080" w:type="dxa"/>
            <w:vAlign w:val="bottom"/>
            <w:tcBorders>
              <w:bottom w:val="single" w:sz="8" w:color="CCCCCC"/>
            </w:tcBorders>
          </w:tcPr>
          <w:p>
            <w:pPr>
              <w:spacing w:after="0"/>
              <w:rPr>
                <w:sz w:val="11"/>
                <w:szCs w:val="11"/>
                <w:color w:val="auto"/>
              </w:rPr>
            </w:pPr>
          </w:p>
        </w:tc>
        <w:tc>
          <w:tcPr>
            <w:tcW w:w="120" w:type="dxa"/>
            <w:vAlign w:val="bottom"/>
            <w:tcBorders>
              <w:bottom w:val="single" w:sz="8" w:color="CCCCCC"/>
            </w:tcBorders>
          </w:tcPr>
          <w:p>
            <w:pPr>
              <w:spacing w:after="0"/>
              <w:rPr>
                <w:sz w:val="11"/>
                <w:szCs w:val="11"/>
                <w:color w:val="auto"/>
              </w:rPr>
            </w:pPr>
          </w:p>
        </w:tc>
        <w:tc>
          <w:tcPr>
            <w:tcW w:w="3100" w:type="dxa"/>
            <w:vAlign w:val="bottom"/>
            <w:tcBorders>
              <w:bottom w:val="single" w:sz="8" w:color="CCCCC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505"/>
        </w:trPr>
        <w:tc>
          <w:tcPr>
            <w:tcW w:w="82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B2B3B6"/>
              </w:rPr>
              <w:t>General</w:t>
            </w:r>
          </w:p>
        </w:tc>
        <w:tc>
          <w:tcPr>
            <w:tcW w:w="800" w:type="dxa"/>
            <w:vAlign w:val="bottom"/>
          </w:tcPr>
          <w:p>
            <w:pPr>
              <w:ind w:left="60"/>
              <w:spacing w:after="0"/>
              <w:rPr>
                <w:sz w:val="20"/>
                <w:szCs w:val="20"/>
                <w:color w:val="auto"/>
              </w:rPr>
            </w:pPr>
            <w:r>
              <w:rPr>
                <w:rFonts w:ascii="Arial" w:cs="Arial" w:eastAsia="Arial" w:hAnsi="Arial"/>
                <w:sz w:val="13"/>
                <w:szCs w:val="13"/>
                <w:b w:val="1"/>
                <w:bCs w:val="1"/>
                <w:color w:val="B2B3B6"/>
              </w:rPr>
              <w:t>Proposal</w:t>
            </w:r>
          </w:p>
        </w:tc>
        <w:tc>
          <w:tcPr>
            <w:tcW w:w="940" w:type="dxa"/>
            <w:vAlign w:val="bottom"/>
            <w:gridSpan w:val="3"/>
          </w:tcPr>
          <w:p>
            <w:pPr>
              <w:ind w:left="100"/>
              <w:spacing w:after="0"/>
              <w:rPr>
                <w:sz w:val="20"/>
                <w:szCs w:val="20"/>
                <w:color w:val="auto"/>
              </w:rPr>
            </w:pPr>
            <w:r>
              <w:rPr>
                <w:rFonts w:ascii="Arial" w:cs="Arial" w:eastAsia="Arial" w:hAnsi="Arial"/>
                <w:sz w:val="13"/>
                <w:szCs w:val="13"/>
                <w:b w:val="1"/>
                <w:bCs w:val="1"/>
                <w:color w:val="B2B3B6"/>
              </w:rPr>
              <w:t>Corporate</w:t>
            </w:r>
          </w:p>
        </w:tc>
        <w:tc>
          <w:tcPr>
            <w:tcW w:w="9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B2B3B6"/>
              </w:rPr>
              <w:t>Executive</w:t>
            </w:r>
          </w:p>
        </w:tc>
        <w:tc>
          <w:tcPr>
            <w:tcW w:w="980" w:type="dxa"/>
            <w:vAlign w:val="bottom"/>
          </w:tcPr>
          <w:p>
            <w:pPr>
              <w:ind w:left="300"/>
              <w:spacing w:after="0"/>
              <w:rPr>
                <w:sz w:val="20"/>
                <w:szCs w:val="20"/>
                <w:color w:val="auto"/>
              </w:rPr>
            </w:pPr>
            <w:r>
              <w:rPr>
                <w:rFonts w:ascii="Arial" w:cs="Arial" w:eastAsia="Arial" w:hAnsi="Arial"/>
                <w:sz w:val="13"/>
                <w:szCs w:val="13"/>
                <w:b w:val="1"/>
                <w:bCs w:val="1"/>
                <w:color w:val="B2B3B6"/>
              </w:rPr>
              <w:t>Proposal</w:t>
            </w:r>
          </w:p>
        </w:tc>
        <w:tc>
          <w:tcPr>
            <w:tcW w:w="108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12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B2B3B6"/>
              </w:rPr>
              <w:t>Information</w:t>
            </w:r>
          </w:p>
        </w:tc>
        <w:tc>
          <w:tcPr>
            <w:tcW w:w="800" w:type="dxa"/>
            <w:vAlign w:val="bottom"/>
          </w:tcPr>
          <w:p>
            <w:pPr>
              <w:ind w:left="60"/>
              <w:spacing w:after="0"/>
              <w:rPr>
                <w:sz w:val="20"/>
                <w:szCs w:val="20"/>
                <w:color w:val="auto"/>
              </w:rPr>
            </w:pPr>
            <w:r>
              <w:rPr>
                <w:rFonts w:ascii="Arial" w:cs="Arial" w:eastAsia="Arial" w:hAnsi="Arial"/>
                <w:sz w:val="13"/>
                <w:szCs w:val="13"/>
                <w:b w:val="1"/>
                <w:bCs w:val="1"/>
                <w:color w:val="B2B3B6"/>
              </w:rPr>
              <w:t>One</w:t>
            </w:r>
          </w:p>
        </w:tc>
        <w:tc>
          <w:tcPr>
            <w:tcW w:w="940" w:type="dxa"/>
            <w:vAlign w:val="bottom"/>
            <w:gridSpan w:val="3"/>
          </w:tcPr>
          <w:p>
            <w:pPr>
              <w:ind w:left="100"/>
              <w:spacing w:after="0"/>
              <w:rPr>
                <w:sz w:val="20"/>
                <w:szCs w:val="20"/>
                <w:color w:val="auto"/>
              </w:rPr>
            </w:pPr>
            <w:r>
              <w:rPr>
                <w:rFonts w:ascii="Arial" w:cs="Arial" w:eastAsia="Arial" w:hAnsi="Arial"/>
                <w:sz w:val="13"/>
                <w:szCs w:val="13"/>
                <w:b w:val="1"/>
                <w:bCs w:val="1"/>
                <w:color w:val="B2B3B6"/>
              </w:rPr>
              <w:t>Governance</w:t>
            </w:r>
          </w:p>
        </w:tc>
        <w:tc>
          <w:tcPr>
            <w:tcW w:w="940" w:type="dxa"/>
            <w:vAlign w:val="bottom"/>
          </w:tcPr>
          <w:p>
            <w:pPr>
              <w:ind w:left="160"/>
              <w:spacing w:after="0"/>
              <w:rPr>
                <w:sz w:val="20"/>
                <w:szCs w:val="20"/>
                <w:color w:val="auto"/>
              </w:rPr>
            </w:pPr>
            <w:r>
              <w:rPr>
                <w:rFonts w:ascii="Arial" w:cs="Arial" w:eastAsia="Arial" w:hAnsi="Arial"/>
                <w:sz w:val="13"/>
                <w:szCs w:val="13"/>
                <w:b w:val="1"/>
                <w:bCs w:val="1"/>
                <w:color w:val="B2B3B6"/>
              </w:rPr>
              <w:t>Two</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B2B3B6"/>
                <w:w w:val="97"/>
              </w:rPr>
              <w:t>Compensation</w:t>
            </w:r>
          </w:p>
        </w:tc>
        <w:tc>
          <w:tcPr>
            <w:tcW w:w="980" w:type="dxa"/>
            <w:vAlign w:val="bottom"/>
          </w:tcPr>
          <w:p>
            <w:pPr>
              <w:ind w:left="300"/>
              <w:spacing w:after="0"/>
              <w:rPr>
                <w:sz w:val="20"/>
                <w:szCs w:val="20"/>
                <w:color w:val="auto"/>
              </w:rPr>
            </w:pPr>
            <w:r>
              <w:rPr>
                <w:rFonts w:ascii="Arial" w:cs="Arial" w:eastAsia="Arial" w:hAnsi="Arial"/>
                <w:sz w:val="13"/>
                <w:szCs w:val="13"/>
                <w:b w:val="1"/>
                <w:bCs w:val="1"/>
                <w:color w:val="B2B3B6"/>
              </w:rPr>
              <w:t>Three</w:t>
            </w:r>
          </w:p>
        </w:tc>
        <w:tc>
          <w:tcPr>
            <w:tcW w:w="108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12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3"/>
                <w:szCs w:val="13"/>
                <w:b w:val="1"/>
                <w:bCs w:val="1"/>
                <w:color w:val="B2B3B6"/>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6798945</wp:posOffset>
            </wp:positionH>
            <wp:positionV relativeFrom="paragraph">
              <wp:posOffset>-441960</wp:posOffset>
            </wp:positionV>
            <wp:extent cx="12700" cy="3573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35737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-441960</wp:posOffset>
            </wp:positionV>
            <wp:extent cx="12700" cy="3573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573780"/>
                    </a:xfrm>
                    <a:prstGeom prst="rect">
                      <a:avLst/>
                    </a:prstGeom>
                    <a:noFill/>
                  </pic:spPr>
                </pic:pic>
              </a:graphicData>
            </a:graphic>
          </wp:anchor>
        </w:drawing>
      </w:r>
    </w:p>
    <w:p>
      <w:pPr>
        <w:spacing w:after="0" w:line="36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00558C"/>
        </w:rPr>
        <w:t>Our strategy for driving increased stockholder value</w:t>
      </w:r>
    </w:p>
    <w:p>
      <w:pPr>
        <w:spacing w:after="0" w:line="139" w:lineRule="exact"/>
        <w:rPr>
          <w:sz w:val="20"/>
          <w:szCs w:val="20"/>
          <w:color w:val="auto"/>
        </w:rPr>
      </w:pPr>
    </w:p>
    <w:p>
      <w:pPr>
        <w:ind w:left="820" w:right="840"/>
        <w:spacing w:after="0" w:line="296" w:lineRule="auto"/>
        <w:rPr>
          <w:sz w:val="20"/>
          <w:szCs w:val="20"/>
          <w:color w:val="auto"/>
        </w:rPr>
      </w:pPr>
      <w:r>
        <w:rPr>
          <w:rFonts w:ascii="Arial" w:cs="Arial" w:eastAsia="Arial" w:hAnsi="Arial"/>
          <w:sz w:val="16"/>
          <w:szCs w:val="16"/>
          <w:color w:val="auto"/>
        </w:rPr>
        <w:t>At our 2025 investor day, we outlined our refreshed strategy to achieve further revenue growth and margin expansion. We continue to believe there is significant value creation potential for our stockholders as we diligently execute our strategy, driven by meaningful growth opportunities across all three operating segments and continued margin expansion. We have demonstrated the power of our strategy, coupled with disciplined execution, as we have achieved total shareholder return of 138% from December 31, 2022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138430</wp:posOffset>
            </wp:positionV>
            <wp:extent cx="24003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531495"/>
                    </a:xfrm>
                    <a:prstGeom prst="rect">
                      <a:avLst/>
                    </a:prstGeom>
                    <a:noFill/>
                  </pic:spPr>
                </pic:pic>
              </a:graphicData>
            </a:graphic>
          </wp:anchor>
        </w:drawing>
      </w:r>
    </w:p>
    <w:p>
      <w:pPr>
        <w:sectPr>
          <w:pgSz w:w="11900" w:h="16902" w:orient="portrait"/>
          <w:cols w:equalWidth="0" w:num="1">
            <w:col w:w="10720"/>
          </w:cols>
          <w:pgMar w:left="580" w:top="314" w:right="5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00"/>
        <w:spacing w:after="0"/>
        <w:rPr>
          <w:sz w:val="20"/>
          <w:szCs w:val="20"/>
          <w:color w:val="auto"/>
        </w:rPr>
      </w:pPr>
      <w:r>
        <w:rPr>
          <w:rFonts w:ascii="Arial" w:cs="Arial" w:eastAsia="Arial" w:hAnsi="Arial"/>
          <w:sz w:val="50"/>
          <w:szCs w:val="50"/>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-376555</wp:posOffset>
            </wp:positionV>
            <wp:extent cx="240030" cy="1054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 cy="1054100"/>
                    </a:xfrm>
                    <a:prstGeom prst="rect">
                      <a:avLst/>
                    </a:prstGeom>
                    <a:noFill/>
                  </pic:spPr>
                </pic:pic>
              </a:graphicData>
            </a:graphic>
          </wp:anchor>
        </w:drawing>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50"/>
          <w:szCs w:val="50"/>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154305</wp:posOffset>
            </wp:positionV>
            <wp:extent cx="231140" cy="184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140" cy="184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Arial" w:cs="Arial" w:eastAsia="Arial" w:hAnsi="Arial"/>
                <w:sz w:val="14"/>
                <w:szCs w:val="14"/>
                <w:b w:val="1"/>
                <w:bCs w:val="1"/>
                <w:color w:val="auto"/>
              </w:rPr>
              <w:t>2025+ Focus</w:t>
            </w:r>
          </w:p>
        </w:tc>
      </w:tr>
      <w:tr>
        <w:trPr>
          <w:trHeight w:val="198"/>
        </w:trPr>
        <w:tc>
          <w:tcPr>
            <w:tcW w:w="4240" w:type="dxa"/>
            <w:vAlign w:val="bottom"/>
          </w:tcPr>
          <w:p>
            <w:pPr>
              <w:spacing w:after="0"/>
              <w:rPr>
                <w:sz w:val="20"/>
                <w:szCs w:val="20"/>
                <w:color w:val="auto"/>
              </w:rPr>
            </w:pPr>
            <w:r>
              <w:rPr>
                <w:rFonts w:ascii="Arial" w:cs="Arial" w:eastAsia="Arial" w:hAnsi="Arial"/>
                <w:sz w:val="16"/>
                <w:szCs w:val="16"/>
                <w:b w:val="1"/>
                <w:bCs w:val="1"/>
                <w:color w:val="auto"/>
              </w:rPr>
              <w:t>Leading Market Positions In Two Critical Industries</w:t>
            </w:r>
          </w:p>
        </w:tc>
        <w:tc>
          <w:tcPr>
            <w:tcW w:w="1900" w:type="dxa"/>
            <w:vAlign w:val="bottom"/>
          </w:tcPr>
          <w:p>
            <w:pPr>
              <w:ind w:left="300"/>
              <w:spacing w:after="0"/>
              <w:rPr>
                <w:sz w:val="20"/>
                <w:szCs w:val="20"/>
                <w:color w:val="auto"/>
              </w:rPr>
            </w:pPr>
            <w:r>
              <w:rPr>
                <w:rFonts w:ascii="Arial" w:cs="Arial" w:eastAsia="Arial" w:hAnsi="Arial"/>
                <w:sz w:val="14"/>
                <w:szCs w:val="14"/>
                <w:color w:val="auto"/>
              </w:rPr>
              <w:t>Sustaining accelerated</w:t>
            </w:r>
          </w:p>
        </w:tc>
      </w:tr>
      <w:tr>
        <w:trPr>
          <w:trHeight w:val="85"/>
        </w:trPr>
        <w:tc>
          <w:tcPr>
            <w:tcW w:w="4240" w:type="dxa"/>
            <w:vAlign w:val="bottom"/>
          </w:tcPr>
          <w:p>
            <w:pPr>
              <w:spacing w:after="0"/>
              <w:rPr>
                <w:sz w:val="7"/>
                <w:szCs w:val="7"/>
                <w:color w:val="auto"/>
              </w:rPr>
            </w:pPr>
          </w:p>
        </w:tc>
        <w:tc>
          <w:tcPr>
            <w:tcW w:w="1900" w:type="dxa"/>
            <w:vAlign w:val="bottom"/>
          </w:tcPr>
          <w:p>
            <w:pPr>
              <w:ind w:left="300"/>
              <w:spacing w:after="0" w:line="85" w:lineRule="exact"/>
              <w:rPr>
                <w:sz w:val="20"/>
                <w:szCs w:val="20"/>
                <w:color w:val="auto"/>
              </w:rPr>
            </w:pPr>
            <w:r>
              <w:rPr>
                <w:rFonts w:ascii="Arial" w:cs="Arial" w:eastAsia="Arial" w:hAnsi="Arial"/>
                <w:sz w:val="9"/>
                <w:szCs w:val="9"/>
                <w:color w:val="auto"/>
              </w:rPr>
              <w:t>growth in Healthcare and</w:t>
            </w:r>
          </w:p>
        </w:tc>
      </w:tr>
      <w:tr>
        <w:trPr>
          <w:trHeight w:val="190"/>
        </w:trPr>
        <w:tc>
          <w:tcPr>
            <w:tcW w:w="4240" w:type="dxa"/>
            <w:vAlign w:val="bottom"/>
          </w:tcPr>
          <w:p>
            <w:pPr>
              <w:spacing w:after="0"/>
              <w:rPr>
                <w:sz w:val="16"/>
                <w:szCs w:val="16"/>
                <w:color w:val="auto"/>
              </w:rPr>
            </w:pPr>
          </w:p>
        </w:tc>
        <w:tc>
          <w:tcPr>
            <w:tcW w:w="1900" w:type="dxa"/>
            <w:vAlign w:val="bottom"/>
          </w:tcPr>
          <w:p>
            <w:pPr>
              <w:ind w:left="300"/>
              <w:spacing w:after="0"/>
              <w:rPr>
                <w:sz w:val="20"/>
                <w:szCs w:val="20"/>
                <w:color w:val="auto"/>
              </w:rPr>
            </w:pPr>
            <w:r>
              <w:rPr>
                <w:rFonts w:ascii="Arial" w:cs="Arial" w:eastAsia="Arial" w:hAnsi="Arial"/>
                <w:sz w:val="14"/>
                <w:szCs w:val="14"/>
                <w:color w:val="auto"/>
              </w:rPr>
              <w:t>Education</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320" w:type="dxa"/>
            <w:vAlign w:val="bottom"/>
          </w:tcPr>
          <w:p>
            <w:pPr>
              <w:ind w:left="420"/>
              <w:spacing w:after="0"/>
              <w:rPr>
                <w:sz w:val="20"/>
                <w:szCs w:val="20"/>
                <w:color w:val="auto"/>
              </w:rPr>
            </w:pPr>
            <w:r>
              <w:rPr>
                <w:rFonts w:ascii="Arial" w:cs="Arial" w:eastAsia="Arial" w:hAnsi="Arial"/>
                <w:sz w:val="14"/>
                <w:szCs w:val="14"/>
                <w:b w:val="1"/>
                <w:bCs w:val="1"/>
                <w:color w:val="auto"/>
              </w:rPr>
              <w:t>2025+ Focus</w:t>
            </w:r>
          </w:p>
        </w:tc>
      </w:tr>
      <w:tr>
        <w:trPr>
          <w:trHeight w:val="198"/>
        </w:trPr>
        <w:tc>
          <w:tcPr>
            <w:tcW w:w="4120" w:type="dxa"/>
            <w:vAlign w:val="bottom"/>
          </w:tcPr>
          <w:p>
            <w:pPr>
              <w:spacing w:after="0"/>
              <w:rPr>
                <w:sz w:val="20"/>
                <w:szCs w:val="20"/>
                <w:color w:val="auto"/>
              </w:rPr>
            </w:pPr>
            <w:r>
              <w:rPr>
                <w:rFonts w:ascii="Arial" w:cs="Arial" w:eastAsia="Arial" w:hAnsi="Arial"/>
                <w:sz w:val="16"/>
                <w:szCs w:val="16"/>
                <w:b w:val="1"/>
                <w:bCs w:val="1"/>
                <w:color w:val="auto"/>
              </w:rPr>
              <w:t>Growing our Business in Commercial Industries</w:t>
            </w:r>
          </w:p>
        </w:tc>
        <w:tc>
          <w:tcPr>
            <w:tcW w:w="2320" w:type="dxa"/>
            <w:vAlign w:val="bottom"/>
          </w:tcPr>
          <w:p>
            <w:pPr>
              <w:ind w:left="420"/>
              <w:spacing w:after="0"/>
              <w:rPr>
                <w:sz w:val="20"/>
                <w:szCs w:val="20"/>
                <w:color w:val="auto"/>
              </w:rPr>
            </w:pPr>
            <w:r>
              <w:rPr>
                <w:rFonts w:ascii="Arial" w:cs="Arial" w:eastAsia="Arial" w:hAnsi="Arial"/>
                <w:sz w:val="14"/>
                <w:szCs w:val="14"/>
                <w:color w:val="auto"/>
              </w:rPr>
              <w:t>Expanding capabilities</w:t>
            </w:r>
          </w:p>
        </w:tc>
      </w:tr>
      <w:tr>
        <w:trPr>
          <w:trHeight w:val="85"/>
        </w:trPr>
        <w:tc>
          <w:tcPr>
            <w:tcW w:w="4120" w:type="dxa"/>
            <w:vAlign w:val="bottom"/>
          </w:tcPr>
          <w:p>
            <w:pPr>
              <w:spacing w:after="0"/>
              <w:rPr>
                <w:sz w:val="7"/>
                <w:szCs w:val="7"/>
                <w:color w:val="auto"/>
              </w:rPr>
            </w:pPr>
          </w:p>
        </w:tc>
        <w:tc>
          <w:tcPr>
            <w:tcW w:w="2320" w:type="dxa"/>
            <w:vAlign w:val="bottom"/>
          </w:tcPr>
          <w:p>
            <w:pPr>
              <w:ind w:left="420"/>
              <w:spacing w:after="0" w:line="85" w:lineRule="exact"/>
              <w:rPr>
                <w:sz w:val="20"/>
                <w:szCs w:val="20"/>
                <w:color w:val="auto"/>
              </w:rPr>
            </w:pPr>
            <w:r>
              <w:rPr>
                <w:rFonts w:ascii="Arial" w:cs="Arial" w:eastAsia="Arial" w:hAnsi="Arial"/>
                <w:sz w:val="9"/>
                <w:szCs w:val="9"/>
                <w:color w:val="auto"/>
              </w:rPr>
              <w:t>through targeted organic</w:t>
            </w:r>
          </w:p>
        </w:tc>
      </w:tr>
      <w:tr>
        <w:trPr>
          <w:trHeight w:val="190"/>
        </w:trPr>
        <w:tc>
          <w:tcPr>
            <w:tcW w:w="4120" w:type="dxa"/>
            <w:vAlign w:val="bottom"/>
          </w:tcPr>
          <w:p>
            <w:pPr>
              <w:spacing w:after="0"/>
              <w:rPr>
                <w:sz w:val="16"/>
                <w:szCs w:val="16"/>
                <w:color w:val="auto"/>
              </w:rPr>
            </w:pPr>
          </w:p>
        </w:tc>
        <w:tc>
          <w:tcPr>
            <w:tcW w:w="2320" w:type="dxa"/>
            <w:vAlign w:val="bottom"/>
          </w:tcPr>
          <w:p>
            <w:pPr>
              <w:ind w:left="420"/>
              <w:spacing w:after="0"/>
              <w:rPr>
                <w:sz w:val="20"/>
                <w:szCs w:val="20"/>
                <w:color w:val="auto"/>
              </w:rPr>
            </w:pPr>
            <w:r>
              <w:rPr>
                <w:rFonts w:ascii="Arial" w:cs="Arial" w:eastAsia="Arial" w:hAnsi="Arial"/>
                <w:sz w:val="14"/>
                <w:szCs w:val="14"/>
                <w:color w:val="auto"/>
              </w:rPr>
              <w:t>hiring and programmatic M&amp;A</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620" w:type="dxa"/>
            <w:vAlign w:val="bottom"/>
          </w:tcPr>
          <w:p>
            <w:pPr>
              <w:ind w:left="980"/>
              <w:spacing w:after="0"/>
              <w:rPr>
                <w:sz w:val="20"/>
                <w:szCs w:val="20"/>
                <w:color w:val="auto"/>
              </w:rPr>
            </w:pPr>
            <w:r>
              <w:rPr>
                <w:rFonts w:ascii="Arial" w:cs="Arial" w:eastAsia="Arial" w:hAnsi="Arial"/>
                <w:sz w:val="14"/>
                <w:szCs w:val="14"/>
                <w:b w:val="1"/>
                <w:bCs w:val="1"/>
                <w:color w:val="auto"/>
              </w:rPr>
              <w:t>2025+ Focus</w:t>
            </w:r>
          </w:p>
        </w:tc>
      </w:tr>
      <w:tr>
        <w:trPr>
          <w:trHeight w:val="198"/>
        </w:trPr>
        <w:tc>
          <w:tcPr>
            <w:tcW w:w="3560" w:type="dxa"/>
            <w:vAlign w:val="bottom"/>
          </w:tcPr>
          <w:p>
            <w:pPr>
              <w:spacing w:after="0"/>
              <w:rPr>
                <w:sz w:val="20"/>
                <w:szCs w:val="20"/>
                <w:color w:val="auto"/>
              </w:rPr>
            </w:pPr>
            <w:r>
              <w:rPr>
                <w:rFonts w:ascii="Arial" w:cs="Arial" w:eastAsia="Arial" w:hAnsi="Arial"/>
                <w:sz w:val="16"/>
                <w:szCs w:val="16"/>
                <w:b w:val="1"/>
                <w:bCs w:val="1"/>
                <w:color w:val="auto"/>
              </w:rPr>
              <w:t>Growing Global Digital Capability</w:t>
            </w:r>
          </w:p>
        </w:tc>
        <w:tc>
          <w:tcPr>
            <w:tcW w:w="2620" w:type="dxa"/>
            <w:vAlign w:val="bottom"/>
          </w:tcPr>
          <w:p>
            <w:pPr>
              <w:ind w:left="980"/>
              <w:spacing w:after="0"/>
              <w:rPr>
                <w:sz w:val="20"/>
                <w:szCs w:val="20"/>
                <w:color w:val="auto"/>
              </w:rPr>
            </w:pPr>
            <w:r>
              <w:rPr>
                <w:rFonts w:ascii="Arial" w:cs="Arial" w:eastAsia="Arial" w:hAnsi="Arial"/>
                <w:sz w:val="14"/>
                <w:szCs w:val="14"/>
                <w:color w:val="auto"/>
              </w:rPr>
              <w:t>Enhancing our portfolio to</w:t>
            </w:r>
          </w:p>
        </w:tc>
      </w:tr>
      <w:tr>
        <w:trPr>
          <w:trHeight w:val="85"/>
        </w:trPr>
        <w:tc>
          <w:tcPr>
            <w:tcW w:w="3560" w:type="dxa"/>
            <w:vAlign w:val="bottom"/>
          </w:tcPr>
          <w:p>
            <w:pPr>
              <w:spacing w:after="0"/>
              <w:rPr>
                <w:sz w:val="7"/>
                <w:szCs w:val="7"/>
                <w:color w:val="auto"/>
              </w:rPr>
            </w:pPr>
          </w:p>
        </w:tc>
        <w:tc>
          <w:tcPr>
            <w:tcW w:w="2620" w:type="dxa"/>
            <w:vAlign w:val="bottom"/>
          </w:tcPr>
          <w:p>
            <w:pPr>
              <w:ind w:left="980"/>
              <w:spacing w:after="0" w:line="85" w:lineRule="exact"/>
              <w:rPr>
                <w:sz w:val="20"/>
                <w:szCs w:val="20"/>
                <w:color w:val="auto"/>
              </w:rPr>
            </w:pPr>
            <w:r>
              <w:rPr>
                <w:rFonts w:ascii="Arial" w:cs="Arial" w:eastAsia="Arial" w:hAnsi="Arial"/>
                <w:sz w:val="9"/>
                <w:szCs w:val="9"/>
                <w:color w:val="auto"/>
              </w:rPr>
              <w:t>drive even greater client</w:t>
            </w:r>
          </w:p>
        </w:tc>
      </w:tr>
      <w:tr>
        <w:trPr>
          <w:trHeight w:val="190"/>
        </w:trPr>
        <w:tc>
          <w:tcPr>
            <w:tcW w:w="3560" w:type="dxa"/>
            <w:vAlign w:val="bottom"/>
          </w:tcPr>
          <w:p>
            <w:pPr>
              <w:spacing w:after="0"/>
              <w:rPr>
                <w:sz w:val="16"/>
                <w:szCs w:val="16"/>
                <w:color w:val="auto"/>
              </w:rPr>
            </w:pPr>
          </w:p>
        </w:tc>
        <w:tc>
          <w:tcPr>
            <w:tcW w:w="2620" w:type="dxa"/>
            <w:vAlign w:val="bottom"/>
          </w:tcPr>
          <w:p>
            <w:pPr>
              <w:ind w:left="980"/>
              <w:spacing w:after="0"/>
              <w:rPr>
                <w:sz w:val="20"/>
                <w:szCs w:val="20"/>
                <w:color w:val="auto"/>
              </w:rPr>
            </w:pPr>
            <w:r>
              <w:rPr>
                <w:rFonts w:ascii="Arial" w:cs="Arial" w:eastAsia="Arial" w:hAnsi="Arial"/>
                <w:sz w:val="14"/>
                <w:szCs w:val="14"/>
                <w:color w:val="auto"/>
              </w:rPr>
              <w:t>impact</w:t>
            </w:r>
          </w:p>
        </w:tc>
      </w:tr>
      <w:tr>
        <w:trPr>
          <w:trHeight w:val="397"/>
        </w:trPr>
        <w:tc>
          <w:tcPr>
            <w:tcW w:w="3560" w:type="dxa"/>
            <w:vAlign w:val="bottom"/>
          </w:tcPr>
          <w:p>
            <w:pPr>
              <w:spacing w:after="0"/>
              <w:rPr>
                <w:sz w:val="24"/>
                <w:szCs w:val="24"/>
                <w:color w:val="auto"/>
              </w:rPr>
            </w:pPr>
          </w:p>
        </w:tc>
        <w:tc>
          <w:tcPr>
            <w:tcW w:w="2620" w:type="dxa"/>
            <w:vAlign w:val="bottom"/>
          </w:tcPr>
          <w:p>
            <w:pPr>
              <w:ind w:left="980"/>
              <w:spacing w:after="0"/>
              <w:rPr>
                <w:sz w:val="20"/>
                <w:szCs w:val="20"/>
                <w:color w:val="auto"/>
              </w:rPr>
            </w:pPr>
            <w:r>
              <w:rPr>
                <w:rFonts w:ascii="Arial" w:cs="Arial" w:eastAsia="Arial" w:hAnsi="Arial"/>
                <w:sz w:val="14"/>
                <w:szCs w:val="14"/>
                <w:b w:val="1"/>
                <w:bCs w:val="1"/>
                <w:color w:val="auto"/>
              </w:rPr>
              <w:t>2025+ Focus</w:t>
            </w: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FFFFFF"/>
        </w:rPr>
        <w:t>Medium Term</w:t>
      </w:r>
    </w:p>
    <w:p>
      <w:pPr>
        <w:spacing w:after="0" w:line="21" w:lineRule="exact"/>
        <w:rPr>
          <w:sz w:val="20"/>
          <w:szCs w:val="20"/>
          <w:color w:val="auto"/>
        </w:rPr>
      </w:pPr>
    </w:p>
    <w:p>
      <w:pPr>
        <w:ind w:left="239"/>
        <w:spacing w:after="0"/>
        <w:rPr>
          <w:sz w:val="20"/>
          <w:szCs w:val="20"/>
          <w:color w:val="auto"/>
        </w:rPr>
      </w:pPr>
      <w:r>
        <w:rPr>
          <w:rFonts w:ascii="Arial" w:cs="Arial" w:eastAsia="Arial" w:hAnsi="Arial"/>
          <w:sz w:val="16"/>
          <w:szCs w:val="16"/>
          <w:b w:val="1"/>
          <w:bCs w:val="1"/>
          <w:color w:val="FFFFFF"/>
        </w:rPr>
        <w:t>Financial</w:t>
      </w:r>
    </w:p>
    <w:p>
      <w:pPr>
        <w:spacing w:after="0" w:line="5" w:lineRule="exact"/>
        <w:rPr>
          <w:sz w:val="20"/>
          <w:szCs w:val="20"/>
          <w:color w:val="auto"/>
        </w:rPr>
      </w:pPr>
    </w:p>
    <w:p>
      <w:pPr>
        <w:ind w:left="79"/>
        <w:spacing w:after="0"/>
        <w:rPr>
          <w:sz w:val="20"/>
          <w:szCs w:val="20"/>
          <w:color w:val="auto"/>
        </w:rPr>
      </w:pPr>
      <w:r>
        <w:rPr>
          <w:rFonts w:ascii="Arial" w:cs="Arial" w:eastAsia="Arial" w:hAnsi="Arial"/>
          <w:sz w:val="16"/>
          <w:szCs w:val="16"/>
          <w:b w:val="1"/>
          <w:bCs w:val="1"/>
          <w:color w:val="FFFFFF"/>
        </w:rPr>
        <w:t xml:space="preserve">Targets </w:t>
      </w:r>
      <w:r>
        <w:rPr>
          <w:rFonts w:ascii="Arial" w:cs="Arial" w:eastAsia="Arial" w:hAnsi="Arial"/>
          <w:sz w:val="14"/>
          <w:szCs w:val="14"/>
          <w:b w:val="1"/>
          <w:bCs w:val="1"/>
          <w:color w:val="FFFFFF"/>
        </w:rPr>
        <w:t>(2025</w:t>
      </w:r>
    </w:p>
    <w:p>
      <w:pPr>
        <w:spacing w:after="0" w:line="21" w:lineRule="exact"/>
        <w:rPr>
          <w:sz w:val="20"/>
          <w:szCs w:val="20"/>
          <w:color w:val="auto"/>
        </w:rPr>
      </w:pPr>
    </w:p>
    <w:p>
      <w:pPr>
        <w:ind w:left="119"/>
        <w:spacing w:after="0"/>
        <w:rPr>
          <w:sz w:val="20"/>
          <w:szCs w:val="20"/>
          <w:color w:val="auto"/>
        </w:rPr>
      </w:pPr>
      <w:r>
        <w:rPr>
          <w:rFonts w:ascii="Arial" w:cs="Arial" w:eastAsia="Arial" w:hAnsi="Arial"/>
          <w:sz w:val="14"/>
          <w:szCs w:val="14"/>
          <w:b w:val="1"/>
          <w:bCs w:val="1"/>
          <w:color w:val="FFFFFF"/>
        </w:rPr>
        <w:t>Investor Day)</w:t>
      </w:r>
    </w:p>
    <w:p>
      <w:pPr>
        <w:spacing w:after="0" w:line="200" w:lineRule="exact"/>
        <w:rPr>
          <w:sz w:val="20"/>
          <w:szCs w:val="20"/>
          <w:color w:val="auto"/>
        </w:rPr>
      </w:pPr>
    </w:p>
    <w:p>
      <w:pPr>
        <w:spacing w:after="0" w:line="219" w:lineRule="exact"/>
        <w:rPr>
          <w:sz w:val="20"/>
          <w:szCs w:val="20"/>
          <w:color w:val="auto"/>
        </w:rPr>
      </w:pPr>
    </w:p>
    <w:p>
      <w:pPr>
        <w:ind w:left="159" w:right="1060" w:hanging="159"/>
        <w:spacing w:after="0" w:line="228" w:lineRule="auto"/>
        <w:tabs>
          <w:tab w:leader="none" w:pos="159" w:val="left"/>
        </w:tabs>
        <w:numPr>
          <w:ilvl w:val="0"/>
          <w:numId w:val="9"/>
        </w:numPr>
        <w:rPr>
          <w:rFonts w:ascii="Arial" w:cs="Arial" w:eastAsia="Arial" w:hAnsi="Arial"/>
          <w:sz w:val="14"/>
          <w:szCs w:val="14"/>
          <w:b w:val="1"/>
          <w:bCs w:val="1"/>
          <w:color w:val="6AAA37"/>
        </w:rPr>
      </w:pPr>
      <w:r>
        <w:rPr>
          <w:rFonts w:ascii="Arial" w:cs="Arial" w:eastAsia="Arial" w:hAnsi="Arial"/>
          <w:sz w:val="14"/>
          <w:szCs w:val="14"/>
          <w:color w:val="auto"/>
        </w:rPr>
        <w:t>Low double-digit annual revenues before reimbursable expenses (RBR) growth</w:t>
      </w:r>
    </w:p>
    <w:p>
      <w:pPr>
        <w:spacing w:after="0" w:line="108" w:lineRule="exact"/>
        <w:rPr>
          <w:rFonts w:ascii="Arial" w:cs="Arial" w:eastAsia="Arial" w:hAnsi="Arial"/>
          <w:sz w:val="14"/>
          <w:szCs w:val="14"/>
          <w:b w:val="1"/>
          <w:bCs w:val="1"/>
          <w:color w:val="6AAA37"/>
        </w:rPr>
      </w:pPr>
    </w:p>
    <w:p>
      <w:pPr>
        <w:ind w:left="159" w:right="1040" w:hanging="159"/>
        <w:spacing w:after="0" w:line="243" w:lineRule="auto"/>
        <w:tabs>
          <w:tab w:leader="none" w:pos="159" w:val="left"/>
        </w:tabs>
        <w:numPr>
          <w:ilvl w:val="0"/>
          <w:numId w:val="9"/>
        </w:numPr>
        <w:rPr>
          <w:rFonts w:ascii="Arial" w:cs="Arial" w:eastAsia="Arial" w:hAnsi="Arial"/>
          <w:sz w:val="14"/>
          <w:szCs w:val="14"/>
          <w:b w:val="1"/>
          <w:bCs w:val="1"/>
          <w:color w:val="6AAA37"/>
        </w:rPr>
      </w:pPr>
      <w:r>
        <w:rPr>
          <w:rFonts w:ascii="Arial" w:cs="Arial" w:eastAsia="Arial" w:hAnsi="Arial"/>
          <w:sz w:val="14"/>
          <w:szCs w:val="14"/>
          <w:color w:val="auto"/>
        </w:rPr>
        <w:t>Expand adjusted EBITDA margin to 15-17% by</w:t>
      </w:r>
    </w:p>
    <w:p>
      <w:pPr>
        <w:sectPr>
          <w:pgSz w:w="11900" w:h="16902" w:orient="portrait"/>
          <w:cols w:equalWidth="0" w:num="3">
            <w:col w:w="1180" w:space="360"/>
            <w:col w:w="6440" w:space="461"/>
            <w:col w:w="2279"/>
          </w:cols>
          <w:pgMar w:left="580" w:top="314" w:right="599" w:bottom="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135"/>
        </w:trPr>
        <w:tc>
          <w:tcPr>
            <w:tcW w:w="400" w:type="dxa"/>
            <w:vAlign w:val="bottom"/>
            <w:tcBorders>
              <w:top w:val="single" w:sz="8" w:color="B2B3B6"/>
              <w:left w:val="single" w:sz="8" w:color="B2B3B6"/>
              <w:right w:val="single" w:sz="8" w:color="B2B3B6"/>
            </w:tcBorders>
            <w:gridSpan w:val="2"/>
            <w:vMerge w:val="restart"/>
          </w:tcPr>
          <w:p>
            <w:pPr>
              <w:jc w:val="right"/>
              <w:spacing w:after="0" w:line="444" w:lineRule="exact"/>
              <w:rPr>
                <w:sz w:val="20"/>
                <w:szCs w:val="20"/>
                <w:color w:val="auto"/>
              </w:rPr>
            </w:pPr>
            <w:r>
              <w:rPr>
                <w:rFonts w:ascii="Arial" w:cs="Arial" w:eastAsia="Arial" w:hAnsi="Arial"/>
                <w:sz w:val="50"/>
                <w:szCs w:val="50"/>
                <w:color w:val="FFFFFF"/>
              </w:rPr>
              <w:t>4</w:t>
            </w:r>
          </w:p>
        </w:tc>
        <w:tc>
          <w:tcPr>
            <w:tcW w:w="180" w:type="dxa"/>
            <w:vAlign w:val="bottom"/>
          </w:tcPr>
          <w:p>
            <w:pPr>
              <w:spacing w:after="0"/>
              <w:rPr>
                <w:sz w:val="11"/>
                <w:szCs w:val="11"/>
                <w:color w:val="auto"/>
              </w:rPr>
            </w:pPr>
          </w:p>
        </w:tc>
        <w:tc>
          <w:tcPr>
            <w:tcW w:w="4620" w:type="dxa"/>
            <w:vAlign w:val="bottom"/>
            <w:gridSpan w:val="5"/>
          </w:tcPr>
          <w:p>
            <w:pPr>
              <w:ind w:left="140"/>
              <w:spacing w:after="0" w:line="135" w:lineRule="exact"/>
              <w:rPr>
                <w:sz w:val="20"/>
                <w:szCs w:val="20"/>
                <w:color w:val="auto"/>
              </w:rPr>
            </w:pPr>
            <w:r>
              <w:rPr>
                <w:rFonts w:ascii="Arial" w:cs="Arial" w:eastAsia="Arial" w:hAnsi="Arial"/>
                <w:sz w:val="15"/>
                <w:szCs w:val="15"/>
                <w:b w:val="1"/>
                <w:bCs w:val="1"/>
                <w:color w:val="auto"/>
              </w:rPr>
              <w:t>Solid Foundation for Margin Expansion and</w:t>
            </w:r>
          </w:p>
        </w:tc>
        <w:tc>
          <w:tcPr>
            <w:tcW w:w="2140" w:type="dxa"/>
            <w:vAlign w:val="bottom"/>
            <w:gridSpan w:val="5"/>
          </w:tcPr>
          <w:p>
            <w:pPr>
              <w:ind w:left="60"/>
              <w:spacing w:after="0" w:line="135" w:lineRule="exact"/>
              <w:rPr>
                <w:sz w:val="20"/>
                <w:szCs w:val="20"/>
                <w:color w:val="auto"/>
              </w:rPr>
            </w:pPr>
            <w:r>
              <w:rPr>
                <w:rFonts w:ascii="Arial" w:cs="Arial" w:eastAsia="Arial" w:hAnsi="Arial"/>
                <w:sz w:val="14"/>
                <w:szCs w:val="14"/>
                <w:color w:val="auto"/>
              </w:rPr>
              <w:t>Expanding margins while</w:t>
            </w:r>
          </w:p>
        </w:tc>
        <w:tc>
          <w:tcPr>
            <w:tcW w:w="80" w:type="dxa"/>
            <w:vAlign w:val="bottom"/>
          </w:tcPr>
          <w:p>
            <w:pPr>
              <w:spacing w:after="0"/>
              <w:rPr>
                <w:sz w:val="11"/>
                <w:szCs w:val="11"/>
                <w:color w:val="auto"/>
              </w:rPr>
            </w:pPr>
          </w:p>
        </w:tc>
        <w:tc>
          <w:tcPr>
            <w:tcW w:w="140" w:type="dxa"/>
            <w:vAlign w:val="bottom"/>
            <w:tcBorders>
              <w:top w:val="single" w:sz="8" w:color="B2B3B6"/>
              <w:left w:val="single" w:sz="8" w:color="B2B3B6"/>
            </w:tcBorders>
            <w:shd w:val="clear" w:color="auto" w:fill="00558C"/>
          </w:tcPr>
          <w:p>
            <w:pPr>
              <w:spacing w:after="0"/>
              <w:rPr>
                <w:sz w:val="11"/>
                <w:szCs w:val="11"/>
                <w:color w:val="auto"/>
              </w:rPr>
            </w:pPr>
          </w:p>
        </w:tc>
        <w:tc>
          <w:tcPr>
            <w:tcW w:w="160" w:type="dxa"/>
            <w:vAlign w:val="bottom"/>
            <w:tcBorders>
              <w:top w:val="single" w:sz="8" w:color="B2B3B6"/>
            </w:tcBorders>
          </w:tcPr>
          <w:p>
            <w:pPr>
              <w:spacing w:after="0"/>
              <w:rPr>
                <w:sz w:val="11"/>
                <w:szCs w:val="11"/>
                <w:color w:val="auto"/>
              </w:rPr>
            </w:pPr>
          </w:p>
        </w:tc>
        <w:tc>
          <w:tcPr>
            <w:tcW w:w="1200" w:type="dxa"/>
            <w:vAlign w:val="bottom"/>
            <w:tcBorders>
              <w:top w:val="single" w:sz="8" w:color="B2B3B6"/>
            </w:tcBorders>
          </w:tcPr>
          <w:p>
            <w:pPr>
              <w:ind w:left="60"/>
              <w:spacing w:after="0" w:line="135" w:lineRule="exact"/>
              <w:rPr>
                <w:sz w:val="20"/>
                <w:szCs w:val="20"/>
                <w:color w:val="auto"/>
              </w:rPr>
            </w:pPr>
            <w:r>
              <w:rPr>
                <w:rFonts w:ascii="Arial" w:cs="Arial" w:eastAsia="Arial" w:hAnsi="Arial"/>
                <w:sz w:val="14"/>
                <w:szCs w:val="14"/>
                <w:color w:val="auto"/>
              </w:rPr>
              <w:t>2029</w:t>
            </w:r>
          </w:p>
        </w:tc>
        <w:tc>
          <w:tcPr>
            <w:tcW w:w="160" w:type="dxa"/>
            <w:vAlign w:val="bottom"/>
            <w:tcBorders>
              <w:top w:val="single" w:sz="8" w:color="B2B3B6"/>
              <w:right w:val="single" w:sz="8" w:color="B2B3B6"/>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0" w:type="dxa"/>
            <w:vAlign w:val="bottom"/>
            <w:tcBorders>
              <w:left w:val="single" w:sz="8" w:color="B2B3B6"/>
              <w:right w:val="single" w:sz="8" w:color="B2B3B6"/>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480" w:type="dxa"/>
            <w:vAlign w:val="bottom"/>
            <w:gridSpan w:val="2"/>
          </w:tcPr>
          <w:p>
            <w:pPr>
              <w:ind w:left="140"/>
              <w:spacing w:after="0" w:line="95" w:lineRule="exact"/>
              <w:rPr>
                <w:sz w:val="20"/>
                <w:szCs w:val="20"/>
                <w:color w:val="auto"/>
              </w:rPr>
            </w:pPr>
            <w:r>
              <w:rPr>
                <w:rFonts w:ascii="Arial" w:cs="Arial" w:eastAsia="Arial" w:hAnsi="Arial"/>
                <w:sz w:val="10"/>
                <w:szCs w:val="10"/>
                <w:b w:val="1"/>
                <w:bCs w:val="1"/>
                <w:color w:val="auto"/>
              </w:rPr>
              <w:t>Organic Reinvestment</w:t>
            </w:r>
          </w:p>
        </w:tc>
        <w:tc>
          <w:tcPr>
            <w:tcW w:w="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gridSpan w:val="4"/>
          </w:tcPr>
          <w:p>
            <w:pPr>
              <w:ind w:left="60"/>
              <w:spacing w:after="0" w:line="95" w:lineRule="exact"/>
              <w:rPr>
                <w:sz w:val="20"/>
                <w:szCs w:val="20"/>
                <w:color w:val="auto"/>
              </w:rPr>
            </w:pPr>
            <w:r>
              <w:rPr>
                <w:rFonts w:ascii="Arial" w:cs="Arial" w:eastAsia="Arial" w:hAnsi="Arial"/>
                <w:sz w:val="10"/>
                <w:szCs w:val="10"/>
                <w:color w:val="auto"/>
              </w:rPr>
              <w:t>driving greater reinvestment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left w:val="single" w:sz="8" w:color="B2B3B6"/>
            </w:tcBorders>
            <w:shd w:val="clear" w:color="auto" w:fill="00558C"/>
          </w:tcPr>
          <w:p>
            <w:pPr>
              <w:spacing w:after="0"/>
              <w:rPr>
                <w:sz w:val="8"/>
                <w:szCs w:val="8"/>
                <w:color w:val="auto"/>
              </w:rPr>
            </w:pPr>
          </w:p>
        </w:tc>
        <w:tc>
          <w:tcPr>
            <w:tcW w:w="160" w:type="dxa"/>
            <w:vAlign w:val="bottom"/>
            <w:vMerge w:val="restart"/>
          </w:tcPr>
          <w:p>
            <w:pPr>
              <w:ind w:left="60"/>
              <w:spacing w:after="0"/>
              <w:rPr>
                <w:sz w:val="20"/>
                <w:szCs w:val="20"/>
                <w:color w:val="auto"/>
              </w:rPr>
            </w:pPr>
            <w:r>
              <w:rPr>
                <w:rFonts w:ascii="Arial" w:cs="Arial" w:eastAsia="Arial" w:hAnsi="Arial"/>
                <w:sz w:val="14"/>
                <w:szCs w:val="14"/>
                <w:b w:val="1"/>
                <w:bCs w:val="1"/>
                <w:color w:val="6AAA37"/>
              </w:rPr>
              <w:t>•</w:t>
            </w: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Convert 75% of</w:t>
            </w:r>
          </w:p>
        </w:tc>
        <w:tc>
          <w:tcPr>
            <w:tcW w:w="160" w:type="dxa"/>
            <w:vAlign w:val="bottom"/>
            <w:tcBorders>
              <w:right w:val="single" w:sz="8" w:color="B2B3B6"/>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0" w:type="dxa"/>
            <w:vAlign w:val="bottom"/>
            <w:tcBorders>
              <w:left w:val="single" w:sz="8" w:color="B2B3B6"/>
              <w:right w:val="single" w:sz="8" w:color="B2B3B6"/>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gridSpan w:val="4"/>
            <w:vMerge w:val="restart"/>
          </w:tcPr>
          <w:p>
            <w:pPr>
              <w:ind w:left="60"/>
              <w:spacing w:after="0"/>
              <w:rPr>
                <w:sz w:val="20"/>
                <w:szCs w:val="20"/>
                <w:color w:val="auto"/>
              </w:rPr>
            </w:pPr>
            <w:r>
              <w:rPr>
                <w:rFonts w:ascii="Arial" w:cs="Arial" w:eastAsia="Arial" w:hAnsi="Arial"/>
                <w:sz w:val="14"/>
                <w:szCs w:val="14"/>
                <w:color w:val="auto"/>
              </w:rPr>
              <w:t>to fuel organic growth</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left w:val="single" w:sz="8" w:color="B2B3B6"/>
            </w:tcBorders>
            <w:shd w:val="clear" w:color="auto" w:fill="00558C"/>
          </w:tcPr>
          <w:p>
            <w:pPr>
              <w:spacing w:after="0"/>
              <w:rPr>
                <w:sz w:val="6"/>
                <w:szCs w:val="6"/>
                <w:color w:val="auto"/>
              </w:rPr>
            </w:pPr>
          </w:p>
        </w:tc>
        <w:tc>
          <w:tcPr>
            <w:tcW w:w="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60" w:type="dxa"/>
            <w:vAlign w:val="bottom"/>
            <w:tcBorders>
              <w:right w:val="single" w:sz="8" w:color="B2B3B6"/>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00" w:type="dxa"/>
            <w:vAlign w:val="bottom"/>
            <w:tcBorders>
              <w:left w:val="single" w:sz="8" w:color="B2B3B6"/>
              <w:right w:val="single" w:sz="8" w:color="B2B3B6"/>
            </w:tcBorders>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left w:val="single" w:sz="8" w:color="B2B3B6"/>
            </w:tcBorders>
            <w:shd w:val="clear" w:color="auto" w:fill="00558C"/>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ind w:left="60"/>
              <w:spacing w:after="0" w:line="145" w:lineRule="exact"/>
              <w:rPr>
                <w:sz w:val="20"/>
                <w:szCs w:val="20"/>
                <w:color w:val="auto"/>
              </w:rPr>
            </w:pPr>
            <w:r>
              <w:rPr>
                <w:rFonts w:ascii="Arial" w:cs="Arial" w:eastAsia="Arial" w:hAnsi="Arial"/>
                <w:sz w:val="14"/>
                <w:szCs w:val="14"/>
                <w:color w:val="auto"/>
              </w:rPr>
              <w:t>annual adjusted</w:t>
            </w:r>
          </w:p>
        </w:tc>
        <w:tc>
          <w:tcPr>
            <w:tcW w:w="160" w:type="dxa"/>
            <w:vAlign w:val="bottom"/>
            <w:tcBorders>
              <w:right w:val="single" w:sz="8" w:color="B2B3B6"/>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400" w:type="dxa"/>
            <w:vAlign w:val="bottom"/>
            <w:tcBorders>
              <w:left w:val="single" w:sz="8" w:color="B2B3B6"/>
              <w:right w:val="single" w:sz="8" w:color="B2B3B6"/>
            </w:tcBorders>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left w:val="single" w:sz="8" w:color="B2B3B6"/>
            </w:tcBorders>
            <w:shd w:val="clear" w:color="auto" w:fill="00558C"/>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60" w:type="dxa"/>
            <w:vAlign w:val="bottom"/>
            <w:tcBorders>
              <w:right w:val="single" w:sz="8" w:color="B2B3B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 w:type="dxa"/>
            <w:vAlign w:val="bottom"/>
            <w:tcBorders>
              <w:left w:val="single" w:sz="8" w:color="B2B3B6"/>
              <w:right w:val="single" w:sz="8" w:color="B2B3B6"/>
            </w:tcBorders>
            <w:gridSpan w:val="2"/>
            <w:vMerge w:val="restart"/>
          </w:tcPr>
          <w:p>
            <w:pPr>
              <w:jc w:val="right"/>
              <w:spacing w:after="0" w:line="314" w:lineRule="exact"/>
              <w:rPr>
                <w:sz w:val="20"/>
                <w:szCs w:val="20"/>
                <w:color w:val="auto"/>
              </w:rPr>
            </w:pPr>
            <w:r>
              <w:rPr>
                <w:rFonts w:ascii="Arial" w:cs="Arial" w:eastAsia="Arial" w:hAnsi="Arial"/>
                <w:sz w:val="36"/>
                <w:szCs w:val="36"/>
                <w:color w:val="FFFFFF"/>
              </w:rPr>
              <w:t>1</w:t>
            </w:r>
          </w:p>
        </w:tc>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left w:val="single" w:sz="8" w:color="B2B3B6"/>
            </w:tcBorders>
            <w:shd w:val="clear" w:color="auto" w:fill="00558C"/>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ind w:left="60"/>
              <w:spacing w:after="0" w:line="139" w:lineRule="exact"/>
              <w:rPr>
                <w:sz w:val="20"/>
                <w:szCs w:val="20"/>
                <w:color w:val="auto"/>
              </w:rPr>
            </w:pPr>
            <w:r>
              <w:rPr>
                <w:rFonts w:ascii="Arial" w:cs="Arial" w:eastAsia="Arial" w:hAnsi="Arial"/>
                <w:sz w:val="14"/>
                <w:szCs w:val="14"/>
                <w:color w:val="auto"/>
              </w:rPr>
              <w:t>EBITDA to free</w:t>
            </w:r>
          </w:p>
        </w:tc>
        <w:tc>
          <w:tcPr>
            <w:tcW w:w="160" w:type="dxa"/>
            <w:vAlign w:val="bottom"/>
            <w:tcBorders>
              <w:right w:val="single" w:sz="8" w:color="B2B3B6"/>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 w:type="dxa"/>
            <w:vAlign w:val="bottom"/>
            <w:tcBorders>
              <w:left w:val="single" w:sz="8" w:color="B2B3B6"/>
              <w:right w:val="single" w:sz="8" w:color="B2B3B6"/>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2025+ Focus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left w:val="single" w:sz="8" w:color="B2B3B6"/>
            </w:tcBorders>
            <w:shd w:val="clear" w:color="auto" w:fill="00558C"/>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cash flow</w:t>
            </w:r>
          </w:p>
        </w:tc>
        <w:tc>
          <w:tcPr>
            <w:tcW w:w="160" w:type="dxa"/>
            <w:vAlign w:val="bottom"/>
            <w:tcBorders>
              <w:right w:val="single" w:sz="8" w:color="B2B3B6"/>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B2B3B6"/>
              <w:bottom w:val="single" w:sz="8" w:color="B2B3B6"/>
            </w:tcBorders>
          </w:tcPr>
          <w:p>
            <w:pPr>
              <w:spacing w:after="0"/>
              <w:rPr>
                <w:sz w:val="16"/>
                <w:szCs w:val="16"/>
                <w:color w:val="auto"/>
              </w:rPr>
            </w:pPr>
          </w:p>
        </w:tc>
        <w:tc>
          <w:tcPr>
            <w:tcW w:w="300" w:type="dxa"/>
            <w:vAlign w:val="bottom"/>
            <w:tcBorders>
              <w:bottom w:val="single" w:sz="8" w:color="B2B3B6"/>
              <w:right w:val="single" w:sz="8" w:color="B2B3B6"/>
            </w:tcBorders>
          </w:tcPr>
          <w:p>
            <w:pPr>
              <w:spacing w:after="0"/>
              <w:rPr>
                <w:sz w:val="16"/>
                <w:szCs w:val="16"/>
                <w:color w:val="auto"/>
              </w:rPr>
            </w:pPr>
          </w:p>
        </w:tc>
        <w:tc>
          <w:tcPr>
            <w:tcW w:w="180" w:type="dxa"/>
            <w:vAlign w:val="bottom"/>
          </w:tcPr>
          <w:p>
            <w:pPr>
              <w:spacing w:after="0"/>
              <w:rPr>
                <w:sz w:val="16"/>
                <w:szCs w:val="16"/>
                <w:color w:val="auto"/>
              </w:rPr>
            </w:pPr>
          </w:p>
        </w:tc>
        <w:tc>
          <w:tcPr>
            <w:tcW w:w="4620" w:type="dxa"/>
            <w:vAlign w:val="bottom"/>
            <w:gridSpan w:val="5"/>
          </w:tcPr>
          <w:p>
            <w:pPr>
              <w:ind w:left="140"/>
              <w:spacing w:after="0"/>
              <w:rPr>
                <w:sz w:val="20"/>
                <w:szCs w:val="20"/>
                <w:color w:val="auto"/>
              </w:rPr>
            </w:pPr>
            <w:r>
              <w:rPr>
                <w:rFonts w:ascii="Arial" w:cs="Arial" w:eastAsia="Arial" w:hAnsi="Arial"/>
                <w:sz w:val="16"/>
                <w:szCs w:val="16"/>
                <w:b w:val="1"/>
                <w:bCs w:val="1"/>
                <w:color w:val="auto"/>
              </w:rPr>
              <w:t>Strong Balance Sheet and Cash Flows</w:t>
            </w:r>
          </w:p>
        </w:tc>
        <w:tc>
          <w:tcPr>
            <w:tcW w:w="2040" w:type="dxa"/>
            <w:vAlign w:val="bottom"/>
            <w:gridSpan w:val="4"/>
          </w:tcPr>
          <w:p>
            <w:pPr>
              <w:ind w:left="60"/>
              <w:spacing w:after="0"/>
              <w:rPr>
                <w:sz w:val="20"/>
                <w:szCs w:val="20"/>
                <w:color w:val="auto"/>
              </w:rPr>
            </w:pPr>
            <w:r>
              <w:rPr>
                <w:rFonts w:ascii="Arial" w:cs="Arial" w:eastAsia="Arial" w:hAnsi="Arial"/>
                <w:sz w:val="14"/>
                <w:szCs w:val="14"/>
                <w:color w:val="auto"/>
              </w:rPr>
              <w:t>Returning capital to</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left w:val="single" w:sz="8" w:color="B2B3B6"/>
              <w:bottom w:val="single" w:sz="8" w:color="00558C"/>
            </w:tcBorders>
            <w:shd w:val="clear" w:color="auto" w:fill="00558C"/>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Borders>
              <w:bottom w:val="single" w:sz="8" w:color="00558C"/>
              <w:right w:val="single" w:sz="8" w:color="B2B3B6"/>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400" w:type="dxa"/>
            <w:vAlign w:val="bottom"/>
            <w:tcBorders>
              <w:left w:val="single" w:sz="8" w:color="B2B3B6"/>
              <w:right w:val="single" w:sz="8" w:color="B2B3B6"/>
            </w:tcBorders>
            <w:gridSpan w:val="2"/>
            <w:vMerge w:val="restart"/>
          </w:tcPr>
          <w:p>
            <w:pPr>
              <w:jc w:val="right"/>
              <w:spacing w:after="0" w:line="216" w:lineRule="exact"/>
              <w:rPr>
                <w:sz w:val="20"/>
                <w:szCs w:val="20"/>
                <w:color w:val="auto"/>
              </w:rPr>
            </w:pPr>
            <w:r>
              <w:rPr>
                <w:rFonts w:ascii="Arial" w:cs="Arial" w:eastAsia="Arial" w:hAnsi="Arial"/>
                <w:sz w:val="25"/>
                <w:szCs w:val="25"/>
                <w:color w:val="FFFFFF"/>
              </w:rPr>
              <w:t>5</w:t>
            </w:r>
          </w:p>
        </w:tc>
        <w:tc>
          <w:tcPr>
            <w:tcW w:w="1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4"/>
          </w:tcPr>
          <w:p>
            <w:pPr>
              <w:ind w:left="60"/>
              <w:spacing w:after="0" w:line="68" w:lineRule="exact"/>
              <w:rPr>
                <w:sz w:val="20"/>
                <w:szCs w:val="20"/>
                <w:color w:val="auto"/>
              </w:rPr>
            </w:pPr>
            <w:r>
              <w:rPr>
                <w:rFonts w:ascii="Arial" w:cs="Arial" w:eastAsia="Arial" w:hAnsi="Arial"/>
                <w:sz w:val="7"/>
                <w:szCs w:val="7"/>
                <w:color w:val="auto"/>
              </w:rPr>
              <w:t>stockholders while executing</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left w:val="single" w:sz="8" w:color="B2B3B6"/>
              <w:bottom w:val="single" w:sz="8" w:color="00558C"/>
            </w:tcBorders>
            <w:shd w:val="clear" w:color="auto" w:fill="00558C"/>
          </w:tcPr>
          <w:p>
            <w:pPr>
              <w:spacing w:after="0"/>
              <w:rPr>
                <w:sz w:val="7"/>
                <w:szCs w:val="7"/>
                <w:color w:val="auto"/>
              </w:rPr>
            </w:pPr>
          </w:p>
        </w:tc>
        <w:tc>
          <w:tcPr>
            <w:tcW w:w="160" w:type="dxa"/>
            <w:vAlign w:val="bottom"/>
          </w:tcPr>
          <w:p>
            <w:pPr>
              <w:ind w:left="60"/>
              <w:spacing w:after="0" w:line="68" w:lineRule="exact"/>
              <w:rPr>
                <w:sz w:val="20"/>
                <w:szCs w:val="20"/>
                <w:color w:val="auto"/>
              </w:rPr>
            </w:pPr>
            <w:r>
              <w:rPr>
                <w:rFonts w:ascii="Arial" w:cs="Arial" w:eastAsia="Arial" w:hAnsi="Arial"/>
                <w:sz w:val="7"/>
                <w:szCs w:val="7"/>
                <w:b w:val="1"/>
                <w:bCs w:val="1"/>
                <w:color w:val="6AAA37"/>
              </w:rPr>
              <w:t>•</w:t>
            </w:r>
          </w:p>
        </w:tc>
        <w:tc>
          <w:tcPr>
            <w:tcW w:w="1200" w:type="dxa"/>
            <w:vAlign w:val="bottom"/>
          </w:tcPr>
          <w:p>
            <w:pPr>
              <w:ind w:left="60"/>
              <w:spacing w:after="0" w:line="68" w:lineRule="exact"/>
              <w:rPr>
                <w:sz w:val="20"/>
                <w:szCs w:val="20"/>
                <w:color w:val="auto"/>
              </w:rPr>
            </w:pPr>
            <w:r>
              <w:rPr>
                <w:rFonts w:ascii="Arial" w:cs="Arial" w:eastAsia="Arial" w:hAnsi="Arial"/>
                <w:sz w:val="7"/>
                <w:szCs w:val="7"/>
                <w:color w:val="auto"/>
              </w:rPr>
              <w:t>Double adjusted</w:t>
            </w:r>
          </w:p>
        </w:tc>
        <w:tc>
          <w:tcPr>
            <w:tcW w:w="160" w:type="dxa"/>
            <w:vAlign w:val="bottom"/>
            <w:tcBorders>
              <w:bottom w:val="single" w:sz="8" w:color="00558C"/>
              <w:right w:val="single" w:sz="8" w:color="B2B3B6"/>
            </w:tcBorders>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0" w:type="dxa"/>
            <w:vAlign w:val="bottom"/>
            <w:tcBorders>
              <w:left w:val="single" w:sz="8" w:color="B2B3B6"/>
              <w:right w:val="single" w:sz="8" w:color="B2B3B6"/>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4"/>
          </w:tcPr>
          <w:p>
            <w:pPr>
              <w:ind w:left="60"/>
              <w:spacing w:after="0" w:line="108" w:lineRule="exact"/>
              <w:rPr>
                <w:sz w:val="20"/>
                <w:szCs w:val="20"/>
                <w:color w:val="auto"/>
              </w:rPr>
            </w:pPr>
            <w:r>
              <w:rPr>
                <w:rFonts w:ascii="Arial" w:cs="Arial" w:eastAsia="Arial" w:hAnsi="Arial"/>
                <w:sz w:val="12"/>
                <w:szCs w:val="12"/>
                <w:color w:val="auto"/>
              </w:rPr>
              <w:t>programmatic M&amp;A</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ind w:left="60"/>
              <w:spacing w:after="0" w:line="108" w:lineRule="exact"/>
              <w:rPr>
                <w:sz w:val="20"/>
                <w:szCs w:val="20"/>
                <w:color w:val="auto"/>
              </w:rPr>
            </w:pPr>
            <w:r>
              <w:rPr>
                <w:rFonts w:ascii="Arial" w:cs="Arial" w:eastAsia="Arial" w:hAnsi="Arial"/>
                <w:sz w:val="12"/>
                <w:szCs w:val="12"/>
                <w:color w:val="auto"/>
              </w:rPr>
              <w:t>diluted EPS by</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B2B3B6"/>
            </w:tcBorders>
          </w:tcPr>
          <w:p>
            <w:pPr>
              <w:spacing w:after="0"/>
              <w:rPr>
                <w:sz w:val="16"/>
                <w:szCs w:val="16"/>
                <w:color w:val="auto"/>
              </w:rPr>
            </w:pPr>
          </w:p>
        </w:tc>
        <w:tc>
          <w:tcPr>
            <w:tcW w:w="300" w:type="dxa"/>
            <w:vAlign w:val="bottom"/>
            <w:tcBorders>
              <w:right w:val="single" w:sz="8" w:color="B2B3B6"/>
            </w:tcBorders>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vMerge w:val="restart"/>
          </w:tcPr>
          <w:p>
            <w:pPr>
              <w:jc w:val="right"/>
              <w:ind w:right="1503"/>
              <w:spacing w:after="0"/>
              <w:rPr>
                <w:sz w:val="20"/>
                <w:szCs w:val="20"/>
                <w:color w:val="auto"/>
              </w:rPr>
            </w:pPr>
            <w:r>
              <w:rPr>
                <w:rFonts w:ascii="Arial" w:cs="Arial" w:eastAsia="Arial" w:hAnsi="Arial"/>
                <w:sz w:val="14"/>
                <w:szCs w:val="14"/>
                <w:b w:val="1"/>
                <w:bCs w:val="1"/>
                <w:color w:val="FFFFFF"/>
              </w:rPr>
              <w:t>2,3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2029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00" w:type="dxa"/>
            <w:vAlign w:val="bottom"/>
            <w:tcBorders>
              <w:left w:val="single" w:sz="8" w:color="B2B3B6"/>
              <w:bottom w:val="single" w:sz="8" w:color="B2B3B6"/>
            </w:tcBorders>
          </w:tcPr>
          <w:p>
            <w:pPr>
              <w:spacing w:after="0"/>
              <w:rPr>
                <w:sz w:val="24"/>
                <w:szCs w:val="24"/>
                <w:color w:val="auto"/>
              </w:rPr>
            </w:pPr>
          </w:p>
        </w:tc>
        <w:tc>
          <w:tcPr>
            <w:tcW w:w="300" w:type="dxa"/>
            <w:vAlign w:val="bottom"/>
            <w:tcBorders>
              <w:bottom w:val="single" w:sz="8" w:color="B2B3B6"/>
              <w:right w:val="single" w:sz="8" w:color="B2B3B6"/>
            </w:tcBorders>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0" w:type="dxa"/>
            <w:vAlign w:val="bottom"/>
            <w:tcBorders>
              <w:left w:val="single" w:sz="8" w:color="B2B3B6"/>
              <w:right w:val="single" w:sz="8" w:color="B2B3B6"/>
            </w:tcBorders>
            <w:gridSpan w:val="2"/>
          </w:tcPr>
          <w:p>
            <w:pPr>
              <w:jc w:val="right"/>
              <w:spacing w:after="0"/>
              <w:rPr>
                <w:sz w:val="20"/>
                <w:szCs w:val="20"/>
                <w:color w:val="auto"/>
              </w:rPr>
            </w:pPr>
            <w:r>
              <w:rPr>
                <w:rFonts w:ascii="Arial" w:cs="Arial" w:eastAsia="Arial" w:hAnsi="Arial"/>
                <w:sz w:val="22"/>
                <w:szCs w:val="22"/>
                <w:b w:val="1"/>
                <w:bCs w:val="1"/>
                <w:color w:val="00558C"/>
                <w:w w:val="73"/>
              </w:rPr>
              <w:t>2025</w:t>
            </w:r>
          </w:p>
        </w:tc>
        <w:tc>
          <w:tcPr>
            <w:tcW w:w="18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22"/>
                <w:szCs w:val="22"/>
                <w:b w:val="1"/>
                <w:bCs w:val="1"/>
                <w:color w:val="00558C"/>
                <w:w w:val="98"/>
              </w:rPr>
              <w:t>Performance Highlights</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0" w:type="dxa"/>
            <w:vAlign w:val="bottom"/>
            <w:tcBorders>
              <w:left w:val="single" w:sz="8" w:color="F2F3F2"/>
            </w:tcBorders>
            <w:shd w:val="clear" w:color="auto" w:fill="F2F3F2"/>
          </w:tcPr>
          <w:p>
            <w:pPr>
              <w:spacing w:after="0"/>
              <w:rPr>
                <w:sz w:val="8"/>
                <w:szCs w:val="8"/>
                <w:color w:val="auto"/>
              </w:rPr>
            </w:pPr>
          </w:p>
        </w:tc>
        <w:tc>
          <w:tcPr>
            <w:tcW w:w="300" w:type="dxa"/>
            <w:vAlign w:val="bottom"/>
            <w:tcBorders>
              <w:right w:val="single" w:sz="8" w:color="F2F3F2"/>
            </w:tcBorders>
            <w:vMerge w:val="restart"/>
            <w:shd w:val="clear" w:color="auto" w:fill="F2F3F2"/>
          </w:tcPr>
          <w:p>
            <w:pPr>
              <w:ind w:left="40"/>
              <w:spacing w:after="0"/>
              <w:rPr>
                <w:sz w:val="20"/>
                <w:szCs w:val="20"/>
                <w:color w:val="auto"/>
              </w:rPr>
            </w:pPr>
            <w:r>
              <w:rPr>
                <w:rFonts w:ascii="Arial" w:cs="Arial" w:eastAsia="Arial" w:hAnsi="Arial"/>
                <w:sz w:val="32"/>
                <w:szCs w:val="32"/>
                <w:color w:val="6AAA37"/>
              </w:rPr>
              <w:t>$</w:t>
            </w:r>
          </w:p>
        </w:tc>
        <w:tc>
          <w:tcPr>
            <w:tcW w:w="2560" w:type="dxa"/>
            <w:vAlign w:val="bottom"/>
            <w:gridSpan w:val="2"/>
            <w:vMerge w:val="restart"/>
            <w:shd w:val="clear" w:color="auto" w:fill="F2F3F2"/>
          </w:tcPr>
          <w:p>
            <w:pPr>
              <w:spacing w:after="0"/>
              <w:rPr>
                <w:sz w:val="20"/>
                <w:szCs w:val="20"/>
                <w:color w:val="auto"/>
              </w:rPr>
            </w:pPr>
            <w:r>
              <w:rPr>
                <w:rFonts w:ascii="Arial" w:cs="Arial" w:eastAsia="Arial" w:hAnsi="Arial"/>
                <w:sz w:val="32"/>
                <w:szCs w:val="32"/>
                <w:color w:val="6AAA37"/>
              </w:rPr>
              <w:t>1.66B</w:t>
            </w:r>
          </w:p>
        </w:tc>
        <w:tc>
          <w:tcPr>
            <w:tcW w:w="100" w:type="dxa"/>
            <w:vAlign w:val="bottom"/>
            <w:tcBorders>
              <w:right w:val="single" w:sz="8" w:color="F2F3F2"/>
            </w:tcBorders>
            <w:shd w:val="clear" w:color="auto" w:fill="F2F3F2"/>
          </w:tcPr>
          <w:p>
            <w:pPr>
              <w:spacing w:after="0"/>
              <w:rPr>
                <w:sz w:val="8"/>
                <w:szCs w:val="8"/>
                <w:color w:val="auto"/>
              </w:rPr>
            </w:pPr>
          </w:p>
        </w:tc>
        <w:tc>
          <w:tcPr>
            <w:tcW w:w="2060" w:type="dxa"/>
            <w:vAlign w:val="bottom"/>
            <w:gridSpan w:val="2"/>
            <w:vMerge w:val="restart"/>
            <w:shd w:val="clear" w:color="auto" w:fill="F2F3F2"/>
          </w:tcPr>
          <w:p>
            <w:pPr>
              <w:ind w:left="120"/>
              <w:spacing w:after="0"/>
              <w:rPr>
                <w:sz w:val="20"/>
                <w:szCs w:val="20"/>
                <w:color w:val="auto"/>
              </w:rPr>
            </w:pPr>
            <w:r>
              <w:rPr>
                <w:rFonts w:ascii="Arial" w:cs="Arial" w:eastAsia="Arial" w:hAnsi="Arial"/>
                <w:sz w:val="32"/>
                <w:szCs w:val="32"/>
                <w:color w:val="6AAA37"/>
              </w:rPr>
              <w:t>6.2%</w:t>
            </w:r>
          </w:p>
        </w:tc>
        <w:tc>
          <w:tcPr>
            <w:tcW w:w="80" w:type="dxa"/>
            <w:vAlign w:val="bottom"/>
            <w:shd w:val="clear" w:color="auto" w:fill="F2F3F2"/>
          </w:tcPr>
          <w:p>
            <w:pPr>
              <w:spacing w:after="0"/>
              <w:rPr>
                <w:sz w:val="8"/>
                <w:szCs w:val="8"/>
                <w:color w:val="auto"/>
              </w:rPr>
            </w:pPr>
          </w:p>
        </w:tc>
        <w:tc>
          <w:tcPr>
            <w:tcW w:w="780" w:type="dxa"/>
            <w:vAlign w:val="bottom"/>
            <w:shd w:val="clear" w:color="auto" w:fill="F2F3F2"/>
          </w:tcPr>
          <w:p>
            <w:pPr>
              <w:spacing w:after="0"/>
              <w:rPr>
                <w:sz w:val="8"/>
                <w:szCs w:val="8"/>
                <w:color w:val="auto"/>
              </w:rPr>
            </w:pPr>
          </w:p>
        </w:tc>
        <w:tc>
          <w:tcPr>
            <w:tcW w:w="100" w:type="dxa"/>
            <w:vAlign w:val="bottom"/>
            <w:tcBorders>
              <w:right w:val="single" w:sz="8" w:color="F2F3F2"/>
            </w:tcBorders>
            <w:shd w:val="clear" w:color="auto" w:fill="F2F3F2"/>
          </w:tcPr>
          <w:p>
            <w:pPr>
              <w:spacing w:after="0"/>
              <w:rPr>
                <w:sz w:val="8"/>
                <w:szCs w:val="8"/>
                <w:color w:val="auto"/>
              </w:rPr>
            </w:pPr>
          </w:p>
        </w:tc>
        <w:tc>
          <w:tcPr>
            <w:tcW w:w="80" w:type="dxa"/>
            <w:vAlign w:val="bottom"/>
            <w:shd w:val="clear" w:color="auto" w:fill="F2F3F2"/>
          </w:tcPr>
          <w:p>
            <w:pPr>
              <w:spacing w:after="0"/>
              <w:rPr>
                <w:sz w:val="8"/>
                <w:szCs w:val="8"/>
                <w:color w:val="auto"/>
              </w:rPr>
            </w:pPr>
          </w:p>
        </w:tc>
        <w:tc>
          <w:tcPr>
            <w:tcW w:w="1080" w:type="dxa"/>
            <w:vAlign w:val="bottom"/>
            <w:vMerge w:val="restart"/>
            <w:shd w:val="clear" w:color="auto" w:fill="F2F3F2"/>
          </w:tcPr>
          <w:p>
            <w:pPr>
              <w:ind w:left="60"/>
              <w:spacing w:after="0"/>
              <w:rPr>
                <w:sz w:val="20"/>
                <w:szCs w:val="20"/>
                <w:color w:val="auto"/>
              </w:rPr>
            </w:pPr>
            <w:r>
              <w:rPr>
                <w:rFonts w:ascii="Arial" w:cs="Arial" w:eastAsia="Arial" w:hAnsi="Arial"/>
                <w:sz w:val="32"/>
                <w:szCs w:val="32"/>
                <w:color w:val="6AAA37"/>
              </w:rPr>
              <w:t>14.3%</w:t>
            </w:r>
          </w:p>
        </w:tc>
        <w:tc>
          <w:tcPr>
            <w:tcW w:w="100" w:type="dxa"/>
            <w:vAlign w:val="bottom"/>
            <w:shd w:val="clear" w:color="auto" w:fill="F2F3F2"/>
          </w:tcPr>
          <w:p>
            <w:pPr>
              <w:spacing w:after="0"/>
              <w:rPr>
                <w:sz w:val="8"/>
                <w:szCs w:val="8"/>
                <w:color w:val="auto"/>
              </w:rPr>
            </w:pPr>
          </w:p>
        </w:tc>
        <w:tc>
          <w:tcPr>
            <w:tcW w:w="80" w:type="dxa"/>
            <w:vAlign w:val="bottom"/>
            <w:shd w:val="clear" w:color="auto" w:fill="F2F3F2"/>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Borders>
              <w:right w:val="single" w:sz="8" w:color="F2F3F2"/>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00" w:type="dxa"/>
            <w:vAlign w:val="bottom"/>
            <w:tcBorders>
              <w:left w:val="single" w:sz="8" w:color="F2F3F2"/>
            </w:tcBorders>
            <w:shd w:val="clear" w:color="auto" w:fill="F2F3F2"/>
          </w:tcPr>
          <w:p>
            <w:pPr>
              <w:spacing w:after="0"/>
              <w:rPr>
                <w:sz w:val="24"/>
                <w:szCs w:val="24"/>
                <w:color w:val="auto"/>
              </w:rPr>
            </w:pPr>
          </w:p>
        </w:tc>
        <w:tc>
          <w:tcPr>
            <w:tcW w:w="300" w:type="dxa"/>
            <w:vAlign w:val="bottom"/>
            <w:tcBorders>
              <w:right w:val="single" w:sz="8" w:color="F2F3F2"/>
            </w:tcBorders>
            <w:vMerge w:val="continue"/>
            <w:shd w:val="clear" w:color="auto" w:fill="F2F3F2"/>
          </w:tcPr>
          <w:p>
            <w:pPr>
              <w:spacing w:after="0"/>
              <w:rPr>
                <w:sz w:val="24"/>
                <w:szCs w:val="24"/>
                <w:color w:val="auto"/>
              </w:rPr>
            </w:pPr>
          </w:p>
        </w:tc>
        <w:tc>
          <w:tcPr>
            <w:tcW w:w="2560" w:type="dxa"/>
            <w:vAlign w:val="bottom"/>
            <w:gridSpan w:val="2"/>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2060" w:type="dxa"/>
            <w:vAlign w:val="bottom"/>
            <w:gridSpan w:val="2"/>
            <w:vMerge w:val="continue"/>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78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080" w:type="dxa"/>
            <w:vAlign w:val="bottom"/>
            <w:vMerge w:val="continue"/>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40" w:type="dxa"/>
            <w:vAlign w:val="bottom"/>
            <w:tcBorders>
              <w:left w:val="single" w:sz="8" w:color="F2F3F2"/>
            </w:tcBorders>
            <w:shd w:val="clear" w:color="auto" w:fill="F2F3F2"/>
          </w:tcPr>
          <w:p>
            <w:pPr>
              <w:spacing w:after="0"/>
              <w:rPr>
                <w:sz w:val="24"/>
                <w:szCs w:val="24"/>
                <w:color w:val="auto"/>
              </w:rPr>
            </w:pPr>
          </w:p>
        </w:tc>
        <w:tc>
          <w:tcPr>
            <w:tcW w:w="160" w:type="dxa"/>
            <w:vAlign w:val="bottom"/>
            <w:shd w:val="clear" w:color="auto" w:fill="F2F3F2"/>
          </w:tcPr>
          <w:p>
            <w:pPr>
              <w:spacing w:after="0"/>
              <w:rPr>
                <w:sz w:val="24"/>
                <w:szCs w:val="24"/>
                <w:color w:val="auto"/>
              </w:rPr>
            </w:pPr>
          </w:p>
        </w:tc>
        <w:tc>
          <w:tcPr>
            <w:tcW w:w="1200" w:type="dxa"/>
            <w:vAlign w:val="bottom"/>
            <w:shd w:val="clear" w:color="auto" w:fill="F2F3F2"/>
          </w:tcPr>
          <w:p>
            <w:pPr>
              <w:spacing w:after="0"/>
              <w:rPr>
                <w:sz w:val="24"/>
                <w:szCs w:val="24"/>
                <w:color w:val="auto"/>
              </w:rPr>
            </w:pPr>
          </w:p>
        </w:tc>
        <w:tc>
          <w:tcPr>
            <w:tcW w:w="160" w:type="dxa"/>
            <w:vAlign w:val="bottom"/>
            <w:tcBorders>
              <w:right w:val="single" w:sz="8" w:color="F2F3F2"/>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0" w:type="dxa"/>
            <w:vAlign w:val="bottom"/>
            <w:tcBorders>
              <w:left w:val="single" w:sz="8" w:color="F2F3F2"/>
            </w:tcBorders>
            <w:shd w:val="clear" w:color="auto" w:fill="F2F3F2"/>
          </w:tcPr>
          <w:p>
            <w:pPr>
              <w:spacing w:after="0"/>
              <w:rPr>
                <w:sz w:val="24"/>
                <w:szCs w:val="24"/>
                <w:color w:val="auto"/>
              </w:rPr>
            </w:pPr>
          </w:p>
        </w:tc>
        <w:tc>
          <w:tcPr>
            <w:tcW w:w="48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12%</w:t>
            </w:r>
          </w:p>
        </w:tc>
        <w:tc>
          <w:tcPr>
            <w:tcW w:w="2380" w:type="dxa"/>
            <w:vAlign w:val="bottom"/>
            <w:shd w:val="clear" w:color="auto" w:fill="F2F3F2"/>
          </w:tcPr>
          <w:p>
            <w:pPr>
              <w:spacing w:after="0"/>
              <w:rPr>
                <w:sz w:val="20"/>
                <w:szCs w:val="20"/>
                <w:color w:val="auto"/>
              </w:rPr>
            </w:pPr>
            <w:r>
              <w:rPr>
                <w:rFonts w:ascii="Arial" w:cs="Arial" w:eastAsia="Arial" w:hAnsi="Arial"/>
                <w:sz w:val="16"/>
                <w:szCs w:val="16"/>
                <w:b w:val="1"/>
                <w:bCs w:val="1"/>
                <w:color w:val="auto"/>
              </w:rPr>
              <w:t>increase in Revenues before</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40" w:type="dxa"/>
            <w:vAlign w:val="bottom"/>
            <w:tcBorders>
              <w:right w:val="single" w:sz="8" w:color="B2B3B6"/>
            </w:tcBorders>
            <w:gridSpan w:val="4"/>
            <w:shd w:val="clear" w:color="auto" w:fill="F2F3F2"/>
          </w:tcPr>
          <w:p>
            <w:pPr>
              <w:ind w:left="40"/>
              <w:spacing w:after="0"/>
              <w:rPr>
                <w:sz w:val="20"/>
                <w:szCs w:val="20"/>
                <w:color w:val="auto"/>
              </w:rPr>
            </w:pPr>
            <w:r>
              <w:rPr>
                <w:rFonts w:ascii="Arial" w:cs="Arial" w:eastAsia="Arial" w:hAnsi="Arial"/>
                <w:sz w:val="16"/>
                <w:szCs w:val="16"/>
                <w:b w:val="1"/>
                <w:bCs w:val="1"/>
                <w:color w:val="auto"/>
              </w:rPr>
              <w:t>Net Income Margin in 2025,</w:t>
            </w:r>
          </w:p>
        </w:tc>
        <w:tc>
          <w:tcPr>
            <w:tcW w:w="80" w:type="dxa"/>
            <w:vAlign w:val="bottom"/>
            <w:shd w:val="clear" w:color="auto" w:fill="F2F3F2"/>
          </w:tcPr>
          <w:p>
            <w:pPr>
              <w:spacing w:after="0"/>
              <w:rPr>
                <w:sz w:val="24"/>
                <w:szCs w:val="24"/>
                <w:color w:val="auto"/>
              </w:rPr>
            </w:pPr>
          </w:p>
        </w:tc>
        <w:tc>
          <w:tcPr>
            <w:tcW w:w="108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auto"/>
                <w:w w:val="93"/>
              </w:rPr>
              <w:t>80 basis point</w:t>
            </w:r>
          </w:p>
        </w:tc>
        <w:tc>
          <w:tcPr>
            <w:tcW w:w="100" w:type="dxa"/>
            <w:vAlign w:val="bottom"/>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500" w:type="dxa"/>
            <w:vAlign w:val="bottom"/>
            <w:tcBorders>
              <w:left w:val="single" w:sz="8" w:color="F2F3F2"/>
            </w:tcBorders>
            <w:gridSpan w:val="3"/>
            <w:shd w:val="clear" w:color="auto" w:fill="F2F3F2"/>
          </w:tcPr>
          <w:p>
            <w:pPr>
              <w:spacing w:after="0"/>
              <w:rPr>
                <w:sz w:val="20"/>
                <w:szCs w:val="20"/>
                <w:color w:val="auto"/>
              </w:rPr>
            </w:pPr>
            <w:r>
              <w:rPr>
                <w:rFonts w:ascii="Arial" w:cs="Arial" w:eastAsia="Arial" w:hAnsi="Arial"/>
                <w:sz w:val="16"/>
                <w:szCs w:val="16"/>
                <w:b w:val="1"/>
                <w:bCs w:val="1"/>
                <w:color w:val="auto"/>
                <w:w w:val="94"/>
              </w:rPr>
              <w:t>increase in Adjusted</w:t>
            </w:r>
          </w:p>
        </w:tc>
        <w:tc>
          <w:tcPr>
            <w:tcW w:w="160" w:type="dxa"/>
            <w:vAlign w:val="bottom"/>
            <w:tcBorders>
              <w:right w:val="single" w:sz="8" w:color="F2F3F2"/>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Borders>
              <w:left w:val="single" w:sz="8" w:color="F2F3F2"/>
            </w:tcBorders>
            <w:shd w:val="clear" w:color="auto" w:fill="F2F3F2"/>
          </w:tcPr>
          <w:p>
            <w:pPr>
              <w:spacing w:after="0"/>
              <w:rPr>
                <w:sz w:val="17"/>
                <w:szCs w:val="17"/>
                <w:color w:val="auto"/>
              </w:rPr>
            </w:pPr>
          </w:p>
        </w:tc>
        <w:tc>
          <w:tcPr>
            <w:tcW w:w="2860" w:type="dxa"/>
            <w:vAlign w:val="bottom"/>
            <w:gridSpan w:val="3"/>
            <w:shd w:val="clear" w:color="auto" w:fill="F2F3F2"/>
          </w:tcPr>
          <w:p>
            <w:pPr>
              <w:ind w:left="40"/>
              <w:spacing w:after="0"/>
              <w:rPr>
                <w:sz w:val="20"/>
                <w:szCs w:val="20"/>
                <w:color w:val="auto"/>
              </w:rPr>
            </w:pPr>
            <w:r>
              <w:rPr>
                <w:rFonts w:ascii="Arial" w:cs="Arial" w:eastAsia="Arial" w:hAnsi="Arial"/>
                <w:sz w:val="16"/>
                <w:szCs w:val="16"/>
                <w:b w:val="1"/>
                <w:bCs w:val="1"/>
                <w:color w:val="auto"/>
              </w:rPr>
              <w:t xml:space="preserve">Reimbursable Expenses (RBR) </w:t>
            </w:r>
            <w:r>
              <w:rPr>
                <w:rFonts w:ascii="Arial" w:cs="Arial" w:eastAsia="Arial" w:hAnsi="Arial"/>
                <w:sz w:val="16"/>
                <w:szCs w:val="16"/>
                <w:color w:val="auto"/>
              </w:rPr>
              <w:t>from</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060" w:type="dxa"/>
            <w:vAlign w:val="bottom"/>
            <w:gridSpan w:val="2"/>
            <w:shd w:val="clear" w:color="auto" w:fill="F2F3F2"/>
          </w:tcPr>
          <w:p>
            <w:pPr>
              <w:ind w:left="40"/>
              <w:spacing w:after="0" w:line="199" w:lineRule="exact"/>
              <w:rPr>
                <w:sz w:val="20"/>
                <w:szCs w:val="20"/>
                <w:color w:val="auto"/>
              </w:rPr>
            </w:pPr>
            <w:r>
              <w:rPr>
                <w:rFonts w:ascii="Arial" w:cs="Arial" w:eastAsia="Arial" w:hAnsi="Arial"/>
                <w:sz w:val="16"/>
                <w:szCs w:val="16"/>
                <w:color w:val="auto"/>
              </w:rPr>
              <w:t>compared to 7.7% in 2024</w:t>
            </w:r>
            <w:r>
              <w:rPr>
                <w:rFonts w:ascii="Arial" w:cs="Arial" w:eastAsia="Arial" w:hAnsi="Arial"/>
                <w:sz w:val="21"/>
                <w:szCs w:val="21"/>
                <w:color w:val="auto"/>
                <w:vertAlign w:val="superscript"/>
              </w:rPr>
              <w:t>2</w:t>
            </w:r>
          </w:p>
        </w:tc>
        <w:tc>
          <w:tcPr>
            <w:tcW w:w="780" w:type="dxa"/>
            <w:vAlign w:val="bottom"/>
            <w:shd w:val="clear" w:color="auto" w:fill="F2F3F2"/>
          </w:tcPr>
          <w:p>
            <w:pPr>
              <w:spacing w:after="0"/>
              <w:rPr>
                <w:sz w:val="17"/>
                <w:szCs w:val="17"/>
                <w:color w:val="auto"/>
              </w:rPr>
            </w:pP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118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auto"/>
                <w:w w:val="94"/>
              </w:rPr>
              <w:t>EBITDA Margin</w:t>
            </w:r>
          </w:p>
        </w:tc>
        <w:tc>
          <w:tcPr>
            <w:tcW w:w="1580" w:type="dxa"/>
            <w:vAlign w:val="bottom"/>
            <w:gridSpan w:val="4"/>
            <w:shd w:val="clear" w:color="auto" w:fill="F2F3F2"/>
          </w:tcPr>
          <w:p>
            <w:pPr>
              <w:ind w:left="40"/>
              <w:spacing w:after="0" w:line="199" w:lineRule="exact"/>
              <w:rPr>
                <w:sz w:val="20"/>
                <w:szCs w:val="20"/>
                <w:color w:val="auto"/>
              </w:rPr>
            </w:pPr>
            <w:r>
              <w:rPr>
                <w:rFonts w:ascii="Arial" w:cs="Arial" w:eastAsia="Arial" w:hAnsi="Arial"/>
                <w:sz w:val="21"/>
                <w:szCs w:val="21"/>
                <w:b w:val="1"/>
                <w:bCs w:val="1"/>
                <w:color w:val="auto"/>
                <w:vertAlign w:val="superscript"/>
              </w:rPr>
              <w:t>3</w:t>
            </w:r>
            <w:r>
              <w:rPr>
                <w:rFonts w:ascii="Arial" w:cs="Arial" w:eastAsia="Arial" w:hAnsi="Arial"/>
                <w:sz w:val="16"/>
                <w:szCs w:val="16"/>
                <w:color w:val="auto"/>
              </w:rPr>
              <w:t xml:space="preserve"> from 2024</w:t>
            </w:r>
          </w:p>
        </w:tc>
        <w:tc>
          <w:tcPr>
            <w:tcW w:w="160" w:type="dxa"/>
            <w:vAlign w:val="bottom"/>
            <w:tcBorders>
              <w:right w:val="single" w:sz="8" w:color="F2F3F2"/>
            </w:tcBorders>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left w:val="single" w:sz="8" w:color="F2F3F2"/>
            </w:tcBorders>
            <w:shd w:val="clear" w:color="auto" w:fill="F2F3F2"/>
          </w:tcPr>
          <w:p>
            <w:pPr>
              <w:spacing w:after="0"/>
              <w:rPr>
                <w:sz w:val="17"/>
                <w:szCs w:val="17"/>
                <w:color w:val="auto"/>
              </w:rPr>
            </w:pPr>
          </w:p>
        </w:tc>
        <w:tc>
          <w:tcPr>
            <w:tcW w:w="2860" w:type="dxa"/>
            <w:vAlign w:val="bottom"/>
            <w:gridSpan w:val="3"/>
            <w:shd w:val="clear" w:color="auto" w:fill="F2F3F2"/>
          </w:tcPr>
          <w:p>
            <w:pPr>
              <w:ind w:left="40"/>
              <w:spacing w:after="0"/>
              <w:rPr>
                <w:sz w:val="20"/>
                <w:szCs w:val="20"/>
                <w:color w:val="auto"/>
              </w:rPr>
            </w:pPr>
            <w:r>
              <w:rPr>
                <w:rFonts w:ascii="Arial" w:cs="Arial" w:eastAsia="Arial" w:hAnsi="Arial"/>
                <w:sz w:val="16"/>
                <w:szCs w:val="16"/>
                <w:color w:val="auto"/>
              </w:rPr>
              <w:t>2024, driven by growth across all</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1980" w:type="dxa"/>
            <w:vAlign w:val="bottom"/>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780" w:type="dxa"/>
            <w:vAlign w:val="bottom"/>
            <w:shd w:val="clear" w:color="auto" w:fill="F2F3F2"/>
          </w:tcPr>
          <w:p>
            <w:pPr>
              <w:spacing w:after="0"/>
              <w:rPr>
                <w:sz w:val="17"/>
                <w:szCs w:val="17"/>
                <w:color w:val="auto"/>
              </w:rPr>
            </w:pP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1080" w:type="dxa"/>
            <w:vAlign w:val="bottom"/>
            <w:shd w:val="clear" w:color="auto" w:fill="F2F3F2"/>
          </w:tcPr>
          <w:p>
            <w:pPr>
              <w:spacing w:after="0"/>
              <w:rPr>
                <w:sz w:val="17"/>
                <w:szCs w:val="17"/>
                <w:color w:val="auto"/>
              </w:rPr>
            </w:pPr>
          </w:p>
        </w:tc>
        <w:tc>
          <w:tcPr>
            <w:tcW w:w="100" w:type="dxa"/>
            <w:vAlign w:val="bottom"/>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140" w:type="dxa"/>
            <w:vAlign w:val="bottom"/>
            <w:tcBorders>
              <w:left w:val="single" w:sz="8" w:color="F2F3F2"/>
            </w:tcBorders>
            <w:shd w:val="clear" w:color="auto" w:fill="F2F3F2"/>
          </w:tcPr>
          <w:p>
            <w:pPr>
              <w:spacing w:after="0"/>
              <w:rPr>
                <w:sz w:val="17"/>
                <w:szCs w:val="17"/>
                <w:color w:val="auto"/>
              </w:rPr>
            </w:pPr>
          </w:p>
        </w:tc>
        <w:tc>
          <w:tcPr>
            <w:tcW w:w="160" w:type="dxa"/>
            <w:vAlign w:val="bottom"/>
            <w:shd w:val="clear" w:color="auto" w:fill="F2F3F2"/>
          </w:tcPr>
          <w:p>
            <w:pPr>
              <w:spacing w:after="0"/>
              <w:rPr>
                <w:sz w:val="17"/>
                <w:szCs w:val="17"/>
                <w:color w:val="auto"/>
              </w:rPr>
            </w:pPr>
          </w:p>
        </w:tc>
        <w:tc>
          <w:tcPr>
            <w:tcW w:w="1200" w:type="dxa"/>
            <w:vAlign w:val="bottom"/>
            <w:shd w:val="clear" w:color="auto" w:fill="F2F3F2"/>
          </w:tcPr>
          <w:p>
            <w:pPr>
              <w:spacing w:after="0"/>
              <w:rPr>
                <w:sz w:val="17"/>
                <w:szCs w:val="17"/>
                <w:color w:val="auto"/>
              </w:rPr>
            </w:pPr>
          </w:p>
        </w:tc>
        <w:tc>
          <w:tcPr>
            <w:tcW w:w="160" w:type="dxa"/>
            <w:vAlign w:val="bottom"/>
            <w:tcBorders>
              <w:right w:val="single" w:sz="8" w:color="F2F3F2"/>
            </w:tcBorders>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 w:type="dxa"/>
            <w:vAlign w:val="bottom"/>
            <w:tcBorders>
              <w:left w:val="single" w:sz="8" w:color="F2F3F2"/>
            </w:tcBorders>
            <w:shd w:val="clear" w:color="auto" w:fill="F2F3F2"/>
          </w:tcPr>
          <w:p>
            <w:pPr>
              <w:spacing w:after="0"/>
              <w:rPr>
                <w:sz w:val="15"/>
                <w:szCs w:val="15"/>
                <w:color w:val="auto"/>
              </w:rPr>
            </w:pPr>
          </w:p>
        </w:tc>
        <w:tc>
          <w:tcPr>
            <w:tcW w:w="480" w:type="dxa"/>
            <w:vAlign w:val="bottom"/>
            <w:gridSpan w:val="2"/>
            <w:shd w:val="clear" w:color="auto" w:fill="F2F3F2"/>
          </w:tcPr>
          <w:p>
            <w:pPr>
              <w:ind w:left="40"/>
              <w:spacing w:after="0" w:line="176" w:lineRule="exact"/>
              <w:rPr>
                <w:sz w:val="20"/>
                <w:szCs w:val="20"/>
                <w:color w:val="auto"/>
              </w:rPr>
            </w:pPr>
            <w:r>
              <w:rPr>
                <w:rFonts w:ascii="Arial" w:cs="Arial" w:eastAsia="Arial" w:hAnsi="Arial"/>
                <w:sz w:val="16"/>
                <w:szCs w:val="16"/>
                <w:color w:val="auto"/>
              </w:rPr>
              <w:t>three</w:t>
            </w:r>
          </w:p>
        </w:tc>
        <w:tc>
          <w:tcPr>
            <w:tcW w:w="2380" w:type="dxa"/>
            <w:vAlign w:val="bottom"/>
            <w:shd w:val="clear" w:color="auto" w:fill="F2F3F2"/>
          </w:tcPr>
          <w:p>
            <w:pPr>
              <w:spacing w:after="0" w:line="176" w:lineRule="exact"/>
              <w:rPr>
                <w:sz w:val="20"/>
                <w:szCs w:val="20"/>
                <w:color w:val="auto"/>
              </w:rPr>
            </w:pPr>
            <w:r>
              <w:rPr>
                <w:rFonts w:ascii="Arial" w:cs="Arial" w:eastAsia="Arial" w:hAnsi="Arial"/>
                <w:sz w:val="16"/>
                <w:szCs w:val="16"/>
                <w:color w:val="auto"/>
              </w:rPr>
              <w:t>segments</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1980" w:type="dxa"/>
            <w:vAlign w:val="bottom"/>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780" w:type="dxa"/>
            <w:vAlign w:val="bottom"/>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1080" w:type="dxa"/>
            <w:vAlign w:val="bottom"/>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140" w:type="dxa"/>
            <w:vAlign w:val="bottom"/>
            <w:tcBorders>
              <w:left w:val="single" w:sz="8" w:color="F2F3F2"/>
            </w:tcBorders>
            <w:shd w:val="clear" w:color="auto" w:fill="F2F3F2"/>
          </w:tcPr>
          <w:p>
            <w:pPr>
              <w:spacing w:after="0"/>
              <w:rPr>
                <w:sz w:val="15"/>
                <w:szCs w:val="15"/>
                <w:color w:val="auto"/>
              </w:rPr>
            </w:pPr>
          </w:p>
        </w:tc>
        <w:tc>
          <w:tcPr>
            <w:tcW w:w="160" w:type="dxa"/>
            <w:vAlign w:val="bottom"/>
            <w:shd w:val="clear" w:color="auto" w:fill="F2F3F2"/>
          </w:tcPr>
          <w:p>
            <w:pPr>
              <w:spacing w:after="0"/>
              <w:rPr>
                <w:sz w:val="15"/>
                <w:szCs w:val="15"/>
                <w:color w:val="auto"/>
              </w:rPr>
            </w:pPr>
          </w:p>
        </w:tc>
        <w:tc>
          <w:tcPr>
            <w:tcW w:w="1200" w:type="dxa"/>
            <w:vAlign w:val="bottom"/>
            <w:shd w:val="clear" w:color="auto" w:fill="F2F3F2"/>
          </w:tcPr>
          <w:p>
            <w:pPr>
              <w:spacing w:after="0"/>
              <w:rPr>
                <w:sz w:val="15"/>
                <w:szCs w:val="15"/>
                <w:color w:val="auto"/>
              </w:rPr>
            </w:pPr>
          </w:p>
        </w:tc>
        <w:tc>
          <w:tcPr>
            <w:tcW w:w="160" w:type="dxa"/>
            <w:vAlign w:val="bottom"/>
            <w:tcBorders>
              <w:right w:val="single" w:sz="8" w:color="F2F3F2"/>
            </w:tcBorders>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 w:type="dxa"/>
            <w:vAlign w:val="bottom"/>
            <w:tcBorders>
              <w:left w:val="single" w:sz="8" w:color="F2F3F2"/>
              <w:bottom w:val="single" w:sz="8" w:color="F2F3F2"/>
            </w:tcBorders>
            <w:shd w:val="clear" w:color="auto" w:fill="F2F3F2"/>
          </w:tcPr>
          <w:p>
            <w:pPr>
              <w:spacing w:after="0"/>
              <w:rPr>
                <w:sz w:val="11"/>
                <w:szCs w:val="11"/>
                <w:color w:val="auto"/>
              </w:rPr>
            </w:pPr>
          </w:p>
        </w:tc>
        <w:tc>
          <w:tcPr>
            <w:tcW w:w="2860" w:type="dxa"/>
            <w:vAlign w:val="bottom"/>
            <w:tcBorders>
              <w:bottom w:val="single" w:sz="8" w:color="B2B3B6"/>
            </w:tcBorders>
            <w:gridSpan w:val="3"/>
            <w:shd w:val="clear" w:color="auto" w:fill="F2F3F2"/>
          </w:tcPr>
          <w:p>
            <w:pPr>
              <w:spacing w:after="0"/>
              <w:rPr>
                <w:sz w:val="11"/>
                <w:szCs w:val="11"/>
                <w:color w:val="auto"/>
              </w:rPr>
            </w:pPr>
          </w:p>
        </w:tc>
        <w:tc>
          <w:tcPr>
            <w:tcW w:w="100" w:type="dxa"/>
            <w:vAlign w:val="bottom"/>
            <w:tcBorders>
              <w:bottom w:val="single" w:sz="8" w:color="F2F3F2"/>
              <w:right w:val="single" w:sz="8" w:color="B2B3B6"/>
            </w:tcBorders>
            <w:shd w:val="clear" w:color="auto" w:fill="F2F3F2"/>
          </w:tcPr>
          <w:p>
            <w:pPr>
              <w:spacing w:after="0"/>
              <w:rPr>
                <w:sz w:val="11"/>
                <w:szCs w:val="11"/>
                <w:color w:val="auto"/>
              </w:rPr>
            </w:pPr>
          </w:p>
        </w:tc>
        <w:tc>
          <w:tcPr>
            <w:tcW w:w="80" w:type="dxa"/>
            <w:vAlign w:val="bottom"/>
            <w:tcBorders>
              <w:bottom w:val="single" w:sz="8" w:color="F2F3F2"/>
            </w:tcBorders>
            <w:shd w:val="clear" w:color="auto" w:fill="F2F3F2"/>
          </w:tcPr>
          <w:p>
            <w:pPr>
              <w:spacing w:after="0"/>
              <w:rPr>
                <w:sz w:val="11"/>
                <w:szCs w:val="11"/>
                <w:color w:val="auto"/>
              </w:rPr>
            </w:pPr>
          </w:p>
        </w:tc>
        <w:tc>
          <w:tcPr>
            <w:tcW w:w="1980" w:type="dxa"/>
            <w:vAlign w:val="bottom"/>
            <w:tcBorders>
              <w:bottom w:val="single" w:sz="8" w:color="B2B3B6"/>
            </w:tcBorders>
            <w:shd w:val="clear" w:color="auto" w:fill="F2F3F2"/>
          </w:tcPr>
          <w:p>
            <w:pPr>
              <w:spacing w:after="0"/>
              <w:rPr>
                <w:sz w:val="11"/>
                <w:szCs w:val="11"/>
                <w:color w:val="auto"/>
              </w:rPr>
            </w:pPr>
          </w:p>
        </w:tc>
        <w:tc>
          <w:tcPr>
            <w:tcW w:w="80" w:type="dxa"/>
            <w:vAlign w:val="bottom"/>
            <w:tcBorders>
              <w:bottom w:val="single" w:sz="8" w:color="B2B3B6"/>
            </w:tcBorders>
            <w:shd w:val="clear" w:color="auto" w:fill="F2F3F2"/>
          </w:tcPr>
          <w:p>
            <w:pPr>
              <w:spacing w:after="0"/>
              <w:rPr>
                <w:sz w:val="11"/>
                <w:szCs w:val="11"/>
                <w:color w:val="auto"/>
              </w:rPr>
            </w:pPr>
          </w:p>
        </w:tc>
        <w:tc>
          <w:tcPr>
            <w:tcW w:w="780" w:type="dxa"/>
            <w:vAlign w:val="bottom"/>
            <w:tcBorders>
              <w:bottom w:val="single" w:sz="8" w:color="B2B3B6"/>
            </w:tcBorders>
            <w:shd w:val="clear" w:color="auto" w:fill="F2F3F2"/>
          </w:tcPr>
          <w:p>
            <w:pPr>
              <w:spacing w:after="0"/>
              <w:rPr>
                <w:sz w:val="11"/>
                <w:szCs w:val="11"/>
                <w:color w:val="auto"/>
              </w:rPr>
            </w:pPr>
          </w:p>
        </w:tc>
        <w:tc>
          <w:tcPr>
            <w:tcW w:w="100" w:type="dxa"/>
            <w:vAlign w:val="bottom"/>
            <w:tcBorders>
              <w:bottom w:val="single" w:sz="8" w:color="F2F3F2"/>
              <w:right w:val="single" w:sz="8" w:color="B2B3B6"/>
            </w:tcBorders>
            <w:shd w:val="clear" w:color="auto" w:fill="F2F3F2"/>
          </w:tcPr>
          <w:p>
            <w:pPr>
              <w:spacing w:after="0"/>
              <w:rPr>
                <w:sz w:val="11"/>
                <w:szCs w:val="11"/>
                <w:color w:val="auto"/>
              </w:rPr>
            </w:pPr>
          </w:p>
        </w:tc>
        <w:tc>
          <w:tcPr>
            <w:tcW w:w="80" w:type="dxa"/>
            <w:vAlign w:val="bottom"/>
            <w:tcBorders>
              <w:bottom w:val="single" w:sz="8" w:color="F2F3F2"/>
            </w:tcBorders>
            <w:shd w:val="clear" w:color="auto" w:fill="F2F3F2"/>
          </w:tcPr>
          <w:p>
            <w:pPr>
              <w:spacing w:after="0"/>
              <w:rPr>
                <w:sz w:val="11"/>
                <w:szCs w:val="11"/>
                <w:color w:val="auto"/>
              </w:rPr>
            </w:pPr>
          </w:p>
        </w:tc>
        <w:tc>
          <w:tcPr>
            <w:tcW w:w="1080" w:type="dxa"/>
            <w:vAlign w:val="bottom"/>
            <w:tcBorders>
              <w:bottom w:val="single" w:sz="8" w:color="B2B3B6"/>
            </w:tcBorders>
            <w:shd w:val="clear" w:color="auto" w:fill="F2F3F2"/>
          </w:tcPr>
          <w:p>
            <w:pPr>
              <w:spacing w:after="0"/>
              <w:rPr>
                <w:sz w:val="11"/>
                <w:szCs w:val="11"/>
                <w:color w:val="auto"/>
              </w:rPr>
            </w:pPr>
          </w:p>
        </w:tc>
        <w:tc>
          <w:tcPr>
            <w:tcW w:w="100" w:type="dxa"/>
            <w:vAlign w:val="bottom"/>
            <w:tcBorders>
              <w:bottom w:val="single" w:sz="8" w:color="B2B3B6"/>
            </w:tcBorders>
            <w:shd w:val="clear" w:color="auto" w:fill="F2F3F2"/>
          </w:tcPr>
          <w:p>
            <w:pPr>
              <w:spacing w:after="0"/>
              <w:rPr>
                <w:sz w:val="11"/>
                <w:szCs w:val="11"/>
                <w:color w:val="auto"/>
              </w:rPr>
            </w:pPr>
          </w:p>
        </w:tc>
        <w:tc>
          <w:tcPr>
            <w:tcW w:w="80" w:type="dxa"/>
            <w:vAlign w:val="bottom"/>
            <w:tcBorders>
              <w:bottom w:val="single" w:sz="8" w:color="B2B3B6"/>
            </w:tcBorders>
            <w:shd w:val="clear" w:color="auto" w:fill="F2F3F2"/>
          </w:tcPr>
          <w:p>
            <w:pPr>
              <w:spacing w:after="0"/>
              <w:rPr>
                <w:sz w:val="11"/>
                <w:szCs w:val="11"/>
                <w:color w:val="auto"/>
              </w:rPr>
            </w:pPr>
          </w:p>
        </w:tc>
        <w:tc>
          <w:tcPr>
            <w:tcW w:w="140" w:type="dxa"/>
            <w:vAlign w:val="bottom"/>
            <w:tcBorders>
              <w:left w:val="single" w:sz="8" w:color="F2F3F2"/>
              <w:bottom w:val="single" w:sz="8" w:color="F2F3F2"/>
            </w:tcBorders>
            <w:shd w:val="clear" w:color="auto" w:fill="F2F3F2"/>
          </w:tcPr>
          <w:p>
            <w:pPr>
              <w:spacing w:after="0"/>
              <w:rPr>
                <w:sz w:val="11"/>
                <w:szCs w:val="11"/>
                <w:color w:val="auto"/>
              </w:rPr>
            </w:pPr>
          </w:p>
        </w:tc>
        <w:tc>
          <w:tcPr>
            <w:tcW w:w="160" w:type="dxa"/>
            <w:vAlign w:val="bottom"/>
            <w:tcBorders>
              <w:bottom w:val="single" w:sz="8" w:color="F2F3F2"/>
            </w:tcBorders>
            <w:shd w:val="clear" w:color="auto" w:fill="F2F3F2"/>
          </w:tcPr>
          <w:p>
            <w:pPr>
              <w:spacing w:after="0"/>
              <w:rPr>
                <w:sz w:val="11"/>
                <w:szCs w:val="11"/>
                <w:color w:val="auto"/>
              </w:rPr>
            </w:pPr>
          </w:p>
        </w:tc>
        <w:tc>
          <w:tcPr>
            <w:tcW w:w="1200" w:type="dxa"/>
            <w:vAlign w:val="bottom"/>
            <w:tcBorders>
              <w:bottom w:val="single" w:sz="8" w:color="F2F3F2"/>
            </w:tcBorders>
            <w:shd w:val="clear" w:color="auto" w:fill="F2F3F2"/>
          </w:tcPr>
          <w:p>
            <w:pPr>
              <w:spacing w:after="0"/>
              <w:rPr>
                <w:sz w:val="11"/>
                <w:szCs w:val="11"/>
                <w:color w:val="auto"/>
              </w:rPr>
            </w:pPr>
          </w:p>
        </w:tc>
        <w:tc>
          <w:tcPr>
            <w:tcW w:w="160" w:type="dxa"/>
            <w:vAlign w:val="bottom"/>
            <w:tcBorders>
              <w:bottom w:val="single" w:sz="8" w:color="F2F3F2"/>
              <w:right w:val="single" w:sz="8" w:color="F2F3F2"/>
            </w:tcBorders>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516"/>
        </w:trPr>
        <w:tc>
          <w:tcPr>
            <w:tcW w:w="100" w:type="dxa"/>
            <w:vAlign w:val="bottom"/>
            <w:tcBorders>
              <w:left w:val="single" w:sz="8" w:color="F2F3F2"/>
            </w:tcBorders>
            <w:shd w:val="clear" w:color="auto" w:fill="F2F3F2"/>
          </w:tcPr>
          <w:p>
            <w:pPr>
              <w:spacing w:after="0"/>
              <w:rPr>
                <w:sz w:val="24"/>
                <w:szCs w:val="24"/>
                <w:color w:val="auto"/>
              </w:rPr>
            </w:pPr>
          </w:p>
        </w:tc>
        <w:tc>
          <w:tcPr>
            <w:tcW w:w="2860" w:type="dxa"/>
            <w:vAlign w:val="bottom"/>
            <w:gridSpan w:val="3"/>
            <w:shd w:val="clear" w:color="auto" w:fill="F2F3F2"/>
          </w:tcPr>
          <w:p>
            <w:pPr>
              <w:ind w:left="40"/>
              <w:spacing w:after="0"/>
              <w:rPr>
                <w:sz w:val="20"/>
                <w:szCs w:val="20"/>
                <w:color w:val="auto"/>
              </w:rPr>
            </w:pPr>
            <w:r>
              <w:rPr>
                <w:rFonts w:ascii="Arial" w:cs="Arial" w:eastAsia="Arial" w:hAnsi="Arial"/>
                <w:sz w:val="32"/>
                <w:szCs w:val="32"/>
                <w:color w:val="6AAA37"/>
              </w:rPr>
              <w:t>$5.84</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980" w:type="dxa"/>
            <w:vAlign w:val="bottom"/>
            <w:shd w:val="clear" w:color="auto" w:fill="F2F3F2"/>
          </w:tcPr>
          <w:p>
            <w:pPr>
              <w:ind w:left="40"/>
              <w:spacing w:after="0"/>
              <w:rPr>
                <w:sz w:val="20"/>
                <w:szCs w:val="20"/>
                <w:color w:val="auto"/>
              </w:rPr>
            </w:pPr>
            <w:r>
              <w:rPr>
                <w:rFonts w:ascii="Arial" w:cs="Arial" w:eastAsia="Arial" w:hAnsi="Arial"/>
                <w:sz w:val="32"/>
                <w:szCs w:val="32"/>
                <w:color w:val="6AAA37"/>
              </w:rPr>
              <w:t>$7.83</w:t>
            </w:r>
          </w:p>
        </w:tc>
        <w:tc>
          <w:tcPr>
            <w:tcW w:w="80" w:type="dxa"/>
            <w:vAlign w:val="bottom"/>
            <w:shd w:val="clear" w:color="auto" w:fill="F2F3F2"/>
          </w:tcPr>
          <w:p>
            <w:pPr>
              <w:spacing w:after="0"/>
              <w:rPr>
                <w:sz w:val="24"/>
                <w:szCs w:val="24"/>
                <w:color w:val="auto"/>
              </w:rPr>
            </w:pPr>
          </w:p>
        </w:tc>
        <w:tc>
          <w:tcPr>
            <w:tcW w:w="78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080" w:type="dxa"/>
            <w:vAlign w:val="bottom"/>
            <w:shd w:val="clear" w:color="auto" w:fill="F2F3F2"/>
          </w:tcPr>
          <w:p>
            <w:pPr>
              <w:ind w:left="60"/>
              <w:spacing w:after="0"/>
              <w:rPr>
                <w:sz w:val="20"/>
                <w:szCs w:val="20"/>
                <w:color w:val="auto"/>
              </w:rPr>
            </w:pPr>
            <w:r>
              <w:rPr>
                <w:rFonts w:ascii="Arial" w:cs="Arial" w:eastAsia="Arial" w:hAnsi="Arial"/>
                <w:sz w:val="32"/>
                <w:szCs w:val="32"/>
                <w:color w:val="6AAA37"/>
              </w:rPr>
              <w:t>39%</w:t>
            </w:r>
          </w:p>
        </w:tc>
        <w:tc>
          <w:tcPr>
            <w:tcW w:w="100" w:type="dxa"/>
            <w:vAlign w:val="bottom"/>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40" w:type="dxa"/>
            <w:vAlign w:val="bottom"/>
            <w:tcBorders>
              <w:left w:val="single" w:sz="8" w:color="F2F3F2"/>
            </w:tcBorders>
            <w:shd w:val="clear" w:color="auto" w:fill="F2F3F2"/>
          </w:tcPr>
          <w:p>
            <w:pPr>
              <w:spacing w:after="0"/>
              <w:rPr>
                <w:sz w:val="24"/>
                <w:szCs w:val="24"/>
                <w:color w:val="auto"/>
              </w:rPr>
            </w:pPr>
          </w:p>
        </w:tc>
        <w:tc>
          <w:tcPr>
            <w:tcW w:w="160" w:type="dxa"/>
            <w:vAlign w:val="bottom"/>
            <w:shd w:val="clear" w:color="auto" w:fill="F2F3F2"/>
          </w:tcPr>
          <w:p>
            <w:pPr>
              <w:spacing w:after="0"/>
              <w:rPr>
                <w:sz w:val="24"/>
                <w:szCs w:val="24"/>
                <w:color w:val="auto"/>
              </w:rPr>
            </w:pPr>
          </w:p>
        </w:tc>
        <w:tc>
          <w:tcPr>
            <w:tcW w:w="1200" w:type="dxa"/>
            <w:vAlign w:val="bottom"/>
            <w:shd w:val="clear" w:color="auto" w:fill="F2F3F2"/>
          </w:tcPr>
          <w:p>
            <w:pPr>
              <w:spacing w:after="0"/>
              <w:rPr>
                <w:sz w:val="24"/>
                <w:szCs w:val="24"/>
                <w:color w:val="auto"/>
              </w:rPr>
            </w:pPr>
          </w:p>
        </w:tc>
        <w:tc>
          <w:tcPr>
            <w:tcW w:w="160" w:type="dxa"/>
            <w:vAlign w:val="bottom"/>
            <w:tcBorders>
              <w:right w:val="single" w:sz="8" w:color="F2F3F2"/>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F2F3F2"/>
            </w:tcBorders>
            <w:shd w:val="clear" w:color="auto" w:fill="F2F3F2"/>
          </w:tcPr>
          <w:p>
            <w:pPr>
              <w:spacing w:after="0"/>
              <w:rPr>
                <w:sz w:val="19"/>
                <w:szCs w:val="19"/>
                <w:color w:val="auto"/>
              </w:rPr>
            </w:pPr>
          </w:p>
        </w:tc>
        <w:tc>
          <w:tcPr>
            <w:tcW w:w="48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w w:val="90"/>
              </w:rPr>
              <w:t>GAAP</w:t>
            </w:r>
          </w:p>
        </w:tc>
        <w:tc>
          <w:tcPr>
            <w:tcW w:w="2380" w:type="dxa"/>
            <w:vAlign w:val="bottom"/>
            <w:shd w:val="clear" w:color="auto" w:fill="F2F3F2"/>
          </w:tcPr>
          <w:p>
            <w:pPr>
              <w:ind w:left="80"/>
              <w:spacing w:after="0"/>
              <w:rPr>
                <w:sz w:val="20"/>
                <w:szCs w:val="20"/>
                <w:color w:val="auto"/>
              </w:rPr>
            </w:pPr>
            <w:r>
              <w:rPr>
                <w:rFonts w:ascii="Arial" w:cs="Arial" w:eastAsia="Arial" w:hAnsi="Arial"/>
                <w:sz w:val="16"/>
                <w:szCs w:val="16"/>
                <w:b w:val="1"/>
                <w:bCs w:val="1"/>
                <w:color w:val="auto"/>
              </w:rPr>
              <w:t>Diluted EPS in 2025,</w:t>
            </w:r>
          </w:p>
        </w:tc>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2840" w:type="dxa"/>
            <w:vAlign w:val="bottom"/>
            <w:gridSpan w:val="3"/>
            <w:shd w:val="clear" w:color="auto" w:fill="F2F3F2"/>
          </w:tcPr>
          <w:p>
            <w:pPr>
              <w:ind w:left="40"/>
              <w:spacing w:after="0"/>
              <w:rPr>
                <w:sz w:val="20"/>
                <w:szCs w:val="20"/>
                <w:color w:val="auto"/>
              </w:rPr>
            </w:pPr>
            <w:r>
              <w:rPr>
                <w:rFonts w:ascii="Arial" w:cs="Arial" w:eastAsia="Arial" w:hAnsi="Arial"/>
                <w:sz w:val="16"/>
                <w:szCs w:val="16"/>
                <w:b w:val="1"/>
                <w:bCs w:val="1"/>
                <w:color w:val="auto"/>
              </w:rPr>
              <w:t>21% increase in Adjusted Diluted</w:t>
            </w:r>
          </w:p>
        </w:tc>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108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auto"/>
              </w:rPr>
              <w:t>2025 Total</w:t>
            </w:r>
          </w:p>
        </w:tc>
        <w:tc>
          <w:tcPr>
            <w:tcW w:w="1680" w:type="dxa"/>
            <w:vAlign w:val="bottom"/>
            <w:gridSpan w:val="5"/>
            <w:shd w:val="clear" w:color="auto" w:fill="F2F3F2"/>
          </w:tcPr>
          <w:p>
            <w:pPr>
              <w:spacing w:after="0"/>
              <w:rPr>
                <w:sz w:val="20"/>
                <w:szCs w:val="20"/>
                <w:color w:val="auto"/>
              </w:rPr>
            </w:pPr>
            <w:r>
              <w:rPr>
                <w:rFonts w:ascii="Arial" w:cs="Arial" w:eastAsia="Arial" w:hAnsi="Arial"/>
                <w:sz w:val="16"/>
                <w:szCs w:val="16"/>
                <w:b w:val="1"/>
                <w:bCs w:val="1"/>
                <w:color w:val="auto"/>
              </w:rPr>
              <w:t>Shareholder Return</w:t>
            </w:r>
          </w:p>
        </w:tc>
        <w:tc>
          <w:tcPr>
            <w:tcW w:w="160" w:type="dxa"/>
            <w:vAlign w:val="bottom"/>
            <w:tcBorders>
              <w:right w:val="single" w:sz="8" w:color="F2F3F2"/>
            </w:tcBorders>
            <w:shd w:val="clear" w:color="auto" w:fill="F2F3F2"/>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00" w:type="dxa"/>
            <w:vAlign w:val="bottom"/>
            <w:tcBorders>
              <w:left w:val="single" w:sz="8" w:color="F2F3F2"/>
            </w:tcBorders>
            <w:shd w:val="clear" w:color="auto" w:fill="F2F3F2"/>
          </w:tcPr>
          <w:p>
            <w:pPr>
              <w:spacing w:after="0"/>
              <w:rPr>
                <w:sz w:val="24"/>
                <w:szCs w:val="24"/>
                <w:color w:val="auto"/>
              </w:rPr>
            </w:pPr>
          </w:p>
        </w:tc>
        <w:tc>
          <w:tcPr>
            <w:tcW w:w="2860" w:type="dxa"/>
            <w:vAlign w:val="bottom"/>
            <w:gridSpan w:val="3"/>
            <w:shd w:val="clear" w:color="auto" w:fill="F2F3F2"/>
          </w:tcPr>
          <w:p>
            <w:pPr>
              <w:ind w:left="40"/>
              <w:spacing w:after="0"/>
              <w:rPr>
                <w:sz w:val="20"/>
                <w:szCs w:val="20"/>
                <w:color w:val="auto"/>
              </w:rPr>
            </w:pPr>
            <w:r>
              <w:rPr>
                <w:rFonts w:ascii="Arial" w:cs="Arial" w:eastAsia="Arial" w:hAnsi="Arial"/>
                <w:sz w:val="16"/>
                <w:szCs w:val="16"/>
                <w:color w:val="auto"/>
              </w:rPr>
              <w:t>compared to $6.27 2024</w:t>
            </w:r>
            <w:r>
              <w:rPr>
                <w:rFonts w:ascii="Arial" w:cs="Arial" w:eastAsia="Arial" w:hAnsi="Arial"/>
                <w:sz w:val="21"/>
                <w:szCs w:val="21"/>
                <w:color w:val="auto"/>
                <w:vertAlign w:val="superscript"/>
              </w:rPr>
              <w:t>2</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EPS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 xml:space="preserve"> </w:t>
            </w:r>
            <w:r>
              <w:rPr>
                <w:rFonts w:ascii="Arial" w:cs="Arial" w:eastAsia="Arial" w:hAnsi="Arial"/>
                <w:sz w:val="16"/>
                <w:szCs w:val="16"/>
                <w:color w:val="auto"/>
              </w:rPr>
              <w:t>from 2024</w:t>
            </w:r>
          </w:p>
        </w:tc>
        <w:tc>
          <w:tcPr>
            <w:tcW w:w="78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080" w:type="dxa"/>
            <w:vAlign w:val="bottom"/>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40" w:type="dxa"/>
            <w:vAlign w:val="bottom"/>
            <w:tcBorders>
              <w:left w:val="single" w:sz="8" w:color="F2F3F2"/>
            </w:tcBorders>
            <w:shd w:val="clear" w:color="auto" w:fill="F2F3F2"/>
          </w:tcPr>
          <w:p>
            <w:pPr>
              <w:spacing w:after="0"/>
              <w:rPr>
                <w:sz w:val="24"/>
                <w:szCs w:val="24"/>
                <w:color w:val="auto"/>
              </w:rPr>
            </w:pPr>
          </w:p>
        </w:tc>
        <w:tc>
          <w:tcPr>
            <w:tcW w:w="160" w:type="dxa"/>
            <w:vAlign w:val="bottom"/>
            <w:shd w:val="clear" w:color="auto" w:fill="F2F3F2"/>
          </w:tcPr>
          <w:p>
            <w:pPr>
              <w:spacing w:after="0"/>
              <w:rPr>
                <w:sz w:val="24"/>
                <w:szCs w:val="24"/>
                <w:color w:val="auto"/>
              </w:rPr>
            </w:pPr>
          </w:p>
        </w:tc>
        <w:tc>
          <w:tcPr>
            <w:tcW w:w="1200" w:type="dxa"/>
            <w:vAlign w:val="bottom"/>
            <w:shd w:val="clear" w:color="auto" w:fill="F2F3F2"/>
          </w:tcPr>
          <w:p>
            <w:pPr>
              <w:spacing w:after="0"/>
              <w:rPr>
                <w:sz w:val="24"/>
                <w:szCs w:val="24"/>
                <w:color w:val="auto"/>
              </w:rPr>
            </w:pPr>
          </w:p>
        </w:tc>
        <w:tc>
          <w:tcPr>
            <w:tcW w:w="160" w:type="dxa"/>
            <w:vAlign w:val="bottom"/>
            <w:tcBorders>
              <w:right w:val="single" w:sz="8" w:color="F2F3F2"/>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00" w:type="dxa"/>
            <w:vAlign w:val="bottom"/>
            <w:tcBorders>
              <w:left w:val="single" w:sz="8" w:color="F2F3F2"/>
            </w:tcBorders>
            <w:shd w:val="clear" w:color="auto" w:fill="F2F3F2"/>
          </w:tcPr>
          <w:p>
            <w:pPr>
              <w:spacing w:after="0"/>
              <w:rPr>
                <w:sz w:val="24"/>
                <w:szCs w:val="24"/>
                <w:color w:val="auto"/>
              </w:rPr>
            </w:pPr>
          </w:p>
        </w:tc>
        <w:tc>
          <w:tcPr>
            <w:tcW w:w="300" w:type="dxa"/>
            <w:vAlign w:val="bottom"/>
            <w:tcBorders>
              <w:right w:val="single" w:sz="8" w:color="F2F3F2"/>
            </w:tcBorders>
            <w:shd w:val="clear" w:color="auto" w:fill="F2F3F2"/>
          </w:tcPr>
          <w:p>
            <w:pPr>
              <w:spacing w:after="0"/>
              <w:rPr>
                <w:sz w:val="24"/>
                <w:szCs w:val="24"/>
                <w:color w:val="auto"/>
              </w:rPr>
            </w:pPr>
          </w:p>
        </w:tc>
        <w:tc>
          <w:tcPr>
            <w:tcW w:w="180" w:type="dxa"/>
            <w:vAlign w:val="bottom"/>
            <w:shd w:val="clear" w:color="auto" w:fill="F2F3F2"/>
          </w:tcPr>
          <w:p>
            <w:pPr>
              <w:spacing w:after="0"/>
              <w:rPr>
                <w:sz w:val="24"/>
                <w:szCs w:val="24"/>
                <w:color w:val="auto"/>
              </w:rPr>
            </w:pPr>
          </w:p>
        </w:tc>
        <w:tc>
          <w:tcPr>
            <w:tcW w:w="238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980" w:type="dxa"/>
            <w:vAlign w:val="bottom"/>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78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080" w:type="dxa"/>
            <w:vAlign w:val="bottom"/>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40" w:type="dxa"/>
            <w:vAlign w:val="bottom"/>
            <w:tcBorders>
              <w:left w:val="single" w:sz="8" w:color="F2F3F2"/>
            </w:tcBorders>
            <w:shd w:val="clear" w:color="auto" w:fill="F2F3F2"/>
          </w:tcPr>
          <w:p>
            <w:pPr>
              <w:spacing w:after="0"/>
              <w:rPr>
                <w:sz w:val="24"/>
                <w:szCs w:val="24"/>
                <w:color w:val="auto"/>
              </w:rPr>
            </w:pPr>
          </w:p>
        </w:tc>
        <w:tc>
          <w:tcPr>
            <w:tcW w:w="160" w:type="dxa"/>
            <w:vAlign w:val="bottom"/>
            <w:shd w:val="clear" w:color="auto" w:fill="F2F3F2"/>
          </w:tcPr>
          <w:p>
            <w:pPr>
              <w:spacing w:after="0"/>
              <w:rPr>
                <w:sz w:val="24"/>
                <w:szCs w:val="24"/>
                <w:color w:val="auto"/>
              </w:rPr>
            </w:pPr>
          </w:p>
        </w:tc>
        <w:tc>
          <w:tcPr>
            <w:tcW w:w="1200" w:type="dxa"/>
            <w:vAlign w:val="bottom"/>
            <w:shd w:val="clear" w:color="auto" w:fill="F2F3F2"/>
          </w:tcPr>
          <w:p>
            <w:pPr>
              <w:spacing w:after="0"/>
              <w:rPr>
                <w:sz w:val="24"/>
                <w:szCs w:val="24"/>
                <w:color w:val="auto"/>
              </w:rPr>
            </w:pPr>
          </w:p>
        </w:tc>
        <w:tc>
          <w:tcPr>
            <w:tcW w:w="160" w:type="dxa"/>
            <w:vAlign w:val="bottom"/>
            <w:tcBorders>
              <w:right w:val="single" w:sz="8" w:color="F2F3F2"/>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282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0375" cy="528256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558C"/>
        </w:rPr>
        <w:t>Human Capital</w:t>
      </w:r>
    </w:p>
    <w:p>
      <w:pPr>
        <w:spacing w:after="0" w:line="20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Our people are at the center of Huron’s strategy, and we are committed to providing a workplace where our talented team can thrive both personally and professionally. Huron’s success hinges on our ability to attract, engage, develop, reward, and retain highly skilled professionals. The cornerstone of our human capital strategy lies in both our mission-driven approach and an enduring belief that great leaders and engaged coaches cultivate a work environment where team members feel valued,</w:t>
      </w:r>
    </w:p>
    <w:p>
      <w:pPr>
        <w:spacing w:after="0" w:line="120" w:lineRule="exact"/>
        <w:rPr>
          <w:sz w:val="20"/>
          <w:szCs w:val="20"/>
          <w:color w:val="auto"/>
        </w:rPr>
      </w:pPr>
    </w:p>
    <w:p>
      <w:pPr>
        <w:ind w:right="340" w:firstLine="8"/>
        <w:spacing w:after="0" w:line="224" w:lineRule="auto"/>
        <w:tabs>
          <w:tab w:leader="none" w:pos="8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Results for 2025 include $7.7 million of non-cash impairment charges, net of tax, related to our convertible debt investment in a third-party. Results for 2024 include an $11.1 million litigation settlement gain, net of tax, related to a completed legal matter in which Huron was the plaintiff.</w:t>
      </w:r>
    </w:p>
    <w:p>
      <w:pPr>
        <w:spacing w:after="0" w:line="1" w:lineRule="exact"/>
        <w:rPr>
          <w:rFonts w:ascii="Arial" w:cs="Arial" w:eastAsia="Arial" w:hAnsi="Arial"/>
          <w:sz w:val="16"/>
          <w:szCs w:val="16"/>
          <w:i w:val="1"/>
          <w:iCs w:val="1"/>
          <w:color w:val="auto"/>
          <w:vertAlign w:val="superscript"/>
        </w:rPr>
      </w:pPr>
    </w:p>
    <w:p>
      <w:pPr>
        <w:ind w:right="100"/>
        <w:spacing w:after="0" w:line="223" w:lineRule="auto"/>
        <w:rPr>
          <w:rFonts w:ascii="Arial" w:cs="Arial" w:eastAsia="Arial" w:hAnsi="Arial"/>
          <w:sz w:val="16"/>
          <w:szCs w:val="16"/>
          <w:i w:val="1"/>
          <w:iCs w:val="1"/>
          <w:color w:val="auto"/>
          <w:vertAlign w:val="superscript"/>
        </w:rPr>
      </w:pPr>
      <w:r>
        <w:rPr>
          <w:rFonts w:ascii="Arial" w:cs="Arial" w:eastAsia="Arial" w:hAnsi="Arial"/>
          <w:sz w:val="16"/>
          <w:szCs w:val="16"/>
          <w:i w:val="1"/>
          <w:iCs w:val="1"/>
          <w:color w:val="auto"/>
          <w:vertAlign w:val="superscript"/>
        </w:rPr>
        <w:t>3</w:t>
      </w:r>
      <w:r>
        <w:rPr>
          <w:rFonts w:ascii="Arial" w:cs="Arial" w:eastAsia="Arial" w:hAnsi="Arial"/>
          <w:sz w:val="13"/>
          <w:szCs w:val="13"/>
          <w:i w:val="1"/>
          <w:iCs w:val="1"/>
          <w:color w:val="auto"/>
        </w:rPr>
        <w:t xml:space="preserve"> See Appendix A for the definitions of adjusted EBITDA margin and adjusted diluted earnings per share, and other non-GAAP financial measures included in this Proxy Statement, as well as their reconciliation to the most directly comparable GAAP financial measure.</w:t>
      </w:r>
    </w:p>
    <w:p>
      <w:pPr>
        <w:spacing w:after="0" w:line="200" w:lineRule="exact"/>
        <w:rPr>
          <w:sz w:val="20"/>
          <w:szCs w:val="20"/>
          <w:color w:val="auto"/>
        </w:rPr>
      </w:pPr>
    </w:p>
    <w:p>
      <w:pPr>
        <w:spacing w:after="0" w:line="242"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ii</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342900</wp:posOffset>
            </wp:positionV>
            <wp:extent cx="6810375" cy="5151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5151120"/>
                    </a:xfrm>
                    <a:prstGeom prst="rect">
                      <a:avLst/>
                    </a:prstGeom>
                    <a:noFill/>
                  </pic:spPr>
                </pic:pic>
              </a:graphicData>
            </a:graphic>
          </wp:anchor>
        </w:drawing>
      </w:r>
    </w:p>
    <w:p>
      <w:pPr>
        <w:sectPr>
          <w:pgSz w:w="11900" w:h="16838" w:orient="portrait"/>
          <w:cols w:equalWidth="0" w:num="1">
            <w:col w:w="9080"/>
          </w:cols>
          <w:pgMar w:left="1400" w:top="12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Corporate Proposal Executive Proposal Stockholder Other Governance Two Compensation Three Proposals Matters</w:t>
      </w:r>
    </w:p>
    <w:p>
      <w:pPr>
        <w:spacing w:after="0" w:line="200" w:lineRule="exact"/>
        <w:rPr>
          <w:sz w:val="20"/>
          <w:szCs w:val="20"/>
          <w:color w:val="auto"/>
        </w:rPr>
      </w:pPr>
    </w:p>
    <w:p>
      <w:pPr>
        <w:sectPr>
          <w:pgSz w:w="11900" w:h="16838" w:orient="portrait"/>
          <w:cols w:equalWidth="0" w:num="2">
            <w:col w:w="1600" w:space="300"/>
            <w:col w:w="7180"/>
          </w:cols>
          <w:pgMar w:left="1400" w:top="120" w:right="1419" w:bottom="0" w:gutter="0" w:footer="0" w:header="0"/>
          <w:type w:val="continuous"/>
        </w:sectPr>
      </w:pP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create deep connections, and see their future with Huron. Our unwavering focus extends across every aspect of the employee journey, and we are committed to fostering our collaborative culture, which we believe is one of our most meaningful sources of competitive differentiation.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Notable Workplace Accolades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shd w:val="clear" w:color="auto" w:fill="F2F3F2"/>
          </w:tcPr>
          <w:p>
            <w:pPr>
              <w:spacing w:after="0"/>
              <w:rPr>
                <w:sz w:val="12"/>
                <w:szCs w:val="12"/>
                <w:color w:val="auto"/>
              </w:rPr>
            </w:pPr>
          </w:p>
        </w:tc>
        <w:tc>
          <w:tcPr>
            <w:tcW w:w="2860" w:type="dxa"/>
            <w:vAlign w:val="bottom"/>
            <w:vMerge w:val="restart"/>
            <w:shd w:val="clear" w:color="auto" w:fill="F2F3F2"/>
          </w:tcPr>
          <w:p>
            <w:pPr>
              <w:jc w:val="center"/>
              <w:ind w:right="115"/>
              <w:spacing w:after="0"/>
              <w:rPr>
                <w:sz w:val="20"/>
                <w:szCs w:val="20"/>
                <w:color w:val="auto"/>
              </w:rPr>
            </w:pPr>
            <w:r>
              <w:rPr>
                <w:rFonts w:ascii="Arial" w:cs="Arial" w:eastAsia="Arial" w:hAnsi="Arial"/>
                <w:sz w:val="25"/>
                <w:szCs w:val="25"/>
                <w:color w:val="6AAA37"/>
              </w:rPr>
              <w:t>2025 Best Firms to</w:t>
            </w:r>
          </w:p>
        </w:tc>
        <w:tc>
          <w:tcPr>
            <w:tcW w:w="100" w:type="dxa"/>
            <w:vAlign w:val="bottom"/>
            <w:tcBorders>
              <w:right w:val="single" w:sz="8" w:color="F2F3F2"/>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vMerge w:val="restart"/>
            <w:shd w:val="clear" w:color="auto" w:fill="F2F3F2"/>
          </w:tcPr>
          <w:p>
            <w:pPr>
              <w:jc w:val="center"/>
              <w:ind w:right="151"/>
              <w:spacing w:after="0"/>
              <w:rPr>
                <w:sz w:val="20"/>
                <w:szCs w:val="20"/>
                <w:color w:val="auto"/>
              </w:rPr>
            </w:pPr>
            <w:r>
              <w:rPr>
                <w:rFonts w:ascii="Arial" w:cs="Arial" w:eastAsia="Arial" w:hAnsi="Arial"/>
                <w:sz w:val="25"/>
                <w:szCs w:val="25"/>
                <w:color w:val="6AAA37"/>
              </w:rPr>
              <w:t>Certified by Great</w:t>
            </w:r>
          </w:p>
        </w:tc>
        <w:tc>
          <w:tcPr>
            <w:tcW w:w="100" w:type="dxa"/>
            <w:vAlign w:val="bottom"/>
            <w:tcBorders>
              <w:right w:val="single" w:sz="8" w:color="F2F3F2"/>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920" w:type="dxa"/>
            <w:vAlign w:val="bottom"/>
            <w:gridSpan w:val="2"/>
            <w:vMerge w:val="restart"/>
            <w:shd w:val="clear" w:color="auto" w:fill="F2F3F2"/>
          </w:tcPr>
          <w:p>
            <w:pPr>
              <w:jc w:val="center"/>
              <w:ind w:right="280"/>
              <w:spacing w:after="0"/>
              <w:rPr>
                <w:sz w:val="20"/>
                <w:szCs w:val="20"/>
                <w:color w:val="auto"/>
              </w:rPr>
            </w:pPr>
            <w:r>
              <w:rPr>
                <w:rFonts w:ascii="Arial" w:cs="Arial" w:eastAsia="Arial" w:hAnsi="Arial"/>
                <w:sz w:val="25"/>
                <w:szCs w:val="25"/>
                <w:color w:val="6AAA37"/>
              </w:rPr>
              <w:t>America’s Best</w:t>
            </w:r>
          </w:p>
        </w:tc>
        <w:tc>
          <w:tcPr>
            <w:tcW w:w="0" w:type="dxa"/>
            <w:vAlign w:val="bottom"/>
          </w:tcPr>
          <w:p>
            <w:pPr>
              <w:spacing w:after="0"/>
              <w:rPr>
                <w:sz w:val="1"/>
                <w:szCs w:val="1"/>
                <w:color w:val="auto"/>
              </w:rPr>
            </w:pPr>
          </w:p>
        </w:tc>
      </w:tr>
      <w:tr>
        <w:trPr>
          <w:trHeight w:val="315"/>
        </w:trPr>
        <w:tc>
          <w:tcPr>
            <w:tcW w:w="100" w:type="dxa"/>
            <w:vAlign w:val="bottom"/>
            <w:shd w:val="clear" w:color="auto" w:fill="F2F3F2"/>
          </w:tcPr>
          <w:p>
            <w:pPr>
              <w:spacing w:after="0"/>
              <w:rPr>
                <w:sz w:val="24"/>
                <w:szCs w:val="24"/>
                <w:color w:val="auto"/>
              </w:rPr>
            </w:pPr>
          </w:p>
        </w:tc>
        <w:tc>
          <w:tcPr>
            <w:tcW w:w="2860" w:type="dxa"/>
            <w:vAlign w:val="bottom"/>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20" w:type="dxa"/>
            <w:vAlign w:val="bottom"/>
            <w:gridSpan w:val="2"/>
            <w:vMerge w:val="continue"/>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shd w:val="clear" w:color="auto" w:fill="F2F3F2"/>
          </w:tcPr>
          <w:p>
            <w:pPr>
              <w:spacing w:after="0"/>
              <w:rPr>
                <w:sz w:val="10"/>
                <w:szCs w:val="10"/>
                <w:color w:val="auto"/>
              </w:rPr>
            </w:pPr>
          </w:p>
        </w:tc>
        <w:tc>
          <w:tcPr>
            <w:tcW w:w="2860" w:type="dxa"/>
            <w:vAlign w:val="bottom"/>
            <w:vMerge w:val="continue"/>
            <w:shd w:val="clear" w:color="auto" w:fill="F2F3F2"/>
          </w:tcPr>
          <w:p>
            <w:pPr>
              <w:spacing w:after="0"/>
              <w:rPr>
                <w:sz w:val="10"/>
                <w:szCs w:val="10"/>
                <w:color w:val="auto"/>
              </w:rPr>
            </w:pPr>
          </w:p>
        </w:tc>
        <w:tc>
          <w:tcPr>
            <w:tcW w:w="10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840" w:type="dxa"/>
            <w:vAlign w:val="bottom"/>
            <w:vMerge w:val="restart"/>
            <w:shd w:val="clear" w:color="auto" w:fill="F2F3F2"/>
          </w:tcPr>
          <w:p>
            <w:pPr>
              <w:jc w:val="center"/>
              <w:ind w:right="111"/>
              <w:spacing w:after="0"/>
              <w:rPr>
                <w:sz w:val="20"/>
                <w:szCs w:val="20"/>
                <w:color w:val="auto"/>
              </w:rPr>
            </w:pPr>
            <w:r>
              <w:rPr>
                <w:rFonts w:ascii="Arial" w:cs="Arial" w:eastAsia="Arial" w:hAnsi="Arial"/>
                <w:sz w:val="25"/>
                <w:szCs w:val="25"/>
                <w:color w:val="6AAA37"/>
                <w:w w:val="98"/>
              </w:rPr>
              <w:t>Place To Work</w:t>
            </w:r>
          </w:p>
        </w:tc>
        <w:tc>
          <w:tcPr>
            <w:tcW w:w="10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920" w:type="dxa"/>
            <w:vAlign w:val="bottom"/>
            <w:gridSpan w:val="2"/>
            <w:vMerge w:val="continue"/>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00" w:type="dxa"/>
            <w:vAlign w:val="bottom"/>
            <w:shd w:val="clear" w:color="auto" w:fill="F2F3F2"/>
          </w:tcPr>
          <w:p>
            <w:pPr>
              <w:spacing w:after="0"/>
              <w:rPr>
                <w:sz w:val="18"/>
                <w:szCs w:val="18"/>
                <w:color w:val="auto"/>
              </w:rPr>
            </w:pPr>
          </w:p>
        </w:tc>
        <w:tc>
          <w:tcPr>
            <w:tcW w:w="2860" w:type="dxa"/>
            <w:vAlign w:val="bottom"/>
            <w:vMerge w:val="restart"/>
            <w:shd w:val="clear" w:color="auto" w:fill="F2F3F2"/>
          </w:tcPr>
          <w:p>
            <w:pPr>
              <w:jc w:val="center"/>
              <w:ind w:right="35"/>
              <w:spacing w:after="0"/>
              <w:rPr>
                <w:sz w:val="20"/>
                <w:szCs w:val="20"/>
                <w:color w:val="auto"/>
              </w:rPr>
            </w:pPr>
            <w:r>
              <w:rPr>
                <w:rFonts w:ascii="Arial" w:cs="Arial" w:eastAsia="Arial" w:hAnsi="Arial"/>
                <w:sz w:val="25"/>
                <w:szCs w:val="25"/>
                <w:color w:val="6AAA37"/>
              </w:rPr>
              <w:t>Work For</w:t>
            </w: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840" w:type="dxa"/>
            <w:vAlign w:val="bottom"/>
            <w:vMerge w:val="continue"/>
            <w:shd w:val="clear" w:color="auto" w:fill="F2F3F2"/>
          </w:tcPr>
          <w:p>
            <w:pPr>
              <w:spacing w:after="0"/>
              <w:rPr>
                <w:sz w:val="18"/>
                <w:szCs w:val="18"/>
                <w:color w:val="auto"/>
              </w:rPr>
            </w:pP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920" w:type="dxa"/>
            <w:vAlign w:val="bottom"/>
            <w:gridSpan w:val="2"/>
            <w:vMerge w:val="restart"/>
            <w:shd w:val="clear" w:color="auto" w:fill="F2F3F2"/>
          </w:tcPr>
          <w:p>
            <w:pPr>
              <w:jc w:val="center"/>
              <w:ind w:right="380"/>
              <w:spacing w:after="0"/>
              <w:rPr>
                <w:sz w:val="20"/>
                <w:szCs w:val="20"/>
                <w:color w:val="auto"/>
              </w:rPr>
            </w:pPr>
            <w:r>
              <w:rPr>
                <w:rFonts w:ascii="Arial" w:cs="Arial" w:eastAsia="Arial" w:hAnsi="Arial"/>
                <w:sz w:val="25"/>
                <w:szCs w:val="25"/>
                <w:color w:val="6AAA37"/>
              </w:rPr>
              <w:t>Midsized Companies</w:t>
            </w:r>
          </w:p>
        </w:tc>
        <w:tc>
          <w:tcPr>
            <w:tcW w:w="0" w:type="dxa"/>
            <w:vAlign w:val="bottom"/>
          </w:tcPr>
          <w:p>
            <w:pPr>
              <w:spacing w:after="0"/>
              <w:rPr>
                <w:sz w:val="1"/>
                <w:szCs w:val="1"/>
                <w:color w:val="auto"/>
              </w:rPr>
            </w:pPr>
          </w:p>
        </w:tc>
      </w:tr>
      <w:tr>
        <w:trPr>
          <w:trHeight w:val="87"/>
        </w:trPr>
        <w:tc>
          <w:tcPr>
            <w:tcW w:w="100" w:type="dxa"/>
            <w:vAlign w:val="bottom"/>
            <w:shd w:val="clear" w:color="auto" w:fill="F2F3F2"/>
          </w:tcPr>
          <w:p>
            <w:pPr>
              <w:spacing w:after="0"/>
              <w:rPr>
                <w:sz w:val="7"/>
                <w:szCs w:val="7"/>
                <w:color w:val="auto"/>
              </w:rPr>
            </w:pPr>
          </w:p>
        </w:tc>
        <w:tc>
          <w:tcPr>
            <w:tcW w:w="2860" w:type="dxa"/>
            <w:vAlign w:val="bottom"/>
            <w:vMerge w:val="continue"/>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vMerge w:val="restart"/>
            <w:shd w:val="clear" w:color="auto" w:fill="F2F3F2"/>
          </w:tcPr>
          <w:p>
            <w:pPr>
              <w:jc w:val="center"/>
              <w:spacing w:after="0"/>
              <w:rPr>
                <w:sz w:val="20"/>
                <w:szCs w:val="20"/>
                <w:color w:val="auto"/>
              </w:rPr>
            </w:pPr>
            <w:r>
              <w:rPr>
                <w:rFonts w:ascii="Arial" w:cs="Arial" w:eastAsia="Arial" w:hAnsi="Arial"/>
                <w:sz w:val="18"/>
                <w:szCs w:val="18"/>
                <w:color w:val="auto"/>
                <w:w w:val="99"/>
              </w:rPr>
              <w:t>in the U.S., Canada,</w:t>
            </w: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920" w:type="dxa"/>
            <w:vAlign w:val="bottom"/>
            <w:gridSpan w:val="2"/>
            <w:vMerge w:val="continue"/>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F2F3F2"/>
          </w:tcPr>
          <w:p>
            <w:pPr>
              <w:spacing w:after="0"/>
              <w:rPr>
                <w:sz w:val="17"/>
                <w:szCs w:val="17"/>
                <w:color w:val="auto"/>
              </w:rPr>
            </w:pPr>
          </w:p>
        </w:tc>
        <w:tc>
          <w:tcPr>
            <w:tcW w:w="2860" w:type="dxa"/>
            <w:vAlign w:val="bottom"/>
            <w:vMerge w:val="restart"/>
            <w:shd w:val="clear" w:color="auto" w:fill="F2F3F2"/>
          </w:tcPr>
          <w:p>
            <w:pPr>
              <w:ind w:left="660"/>
              <w:spacing w:after="0"/>
              <w:rPr>
                <w:sz w:val="20"/>
                <w:szCs w:val="20"/>
                <w:color w:val="auto"/>
              </w:rPr>
            </w:pPr>
            <w:r>
              <w:rPr>
                <w:rFonts w:ascii="Arial" w:cs="Arial" w:eastAsia="Arial" w:hAnsi="Arial"/>
                <w:sz w:val="16"/>
                <w:szCs w:val="16"/>
                <w:color w:val="auto"/>
              </w:rPr>
              <w:t>15 consecutive years</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40" w:type="dxa"/>
            <w:vAlign w:val="bottom"/>
            <w:vMerge w:val="continue"/>
            <w:shd w:val="clear" w:color="auto" w:fill="F2F3F2"/>
          </w:tcPr>
          <w:p>
            <w:pPr>
              <w:spacing w:after="0"/>
              <w:rPr>
                <w:sz w:val="17"/>
                <w:szCs w:val="17"/>
                <w:color w:val="auto"/>
              </w:rPr>
            </w:pPr>
          </w:p>
        </w:tc>
        <w:tc>
          <w:tcPr>
            <w:tcW w:w="100" w:type="dxa"/>
            <w:vAlign w:val="bottom"/>
            <w:tcBorders>
              <w:right w:val="single" w:sz="8" w:color="B2B3B6"/>
            </w:tcBorders>
            <w:shd w:val="clear" w:color="auto" w:fill="F2F3F2"/>
          </w:tcPr>
          <w:p>
            <w:pPr>
              <w:spacing w:after="0"/>
              <w:rPr>
                <w:sz w:val="17"/>
                <w:szCs w:val="17"/>
                <w:color w:val="auto"/>
              </w:rPr>
            </w:pPr>
          </w:p>
        </w:tc>
        <w:tc>
          <w:tcPr>
            <w:tcW w:w="2900" w:type="dxa"/>
            <w:vAlign w:val="bottom"/>
            <w:gridSpan w:val="2"/>
            <w:vMerge w:val="restart"/>
            <w:shd w:val="clear" w:color="auto" w:fill="F2F3F2"/>
          </w:tcPr>
          <w:p>
            <w:pPr>
              <w:jc w:val="right"/>
              <w:ind w:right="1031"/>
              <w:spacing w:after="0"/>
              <w:rPr>
                <w:sz w:val="20"/>
                <w:szCs w:val="20"/>
                <w:color w:val="auto"/>
              </w:rPr>
            </w:pPr>
            <w:r>
              <w:rPr>
                <w:rFonts w:ascii="Arial" w:cs="Arial" w:eastAsia="Arial" w:hAnsi="Arial"/>
                <w:sz w:val="25"/>
                <w:szCs w:val="25"/>
                <w:color w:val="6AAA37"/>
              </w:rPr>
              <w:t>2025</w:t>
            </w:r>
          </w:p>
        </w:tc>
        <w:tc>
          <w:tcPr>
            <w:tcW w:w="100" w:type="dxa"/>
            <w:vAlign w:val="bottom"/>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shd w:val="clear" w:color="auto" w:fill="F2F3F2"/>
          </w:tcPr>
          <w:p>
            <w:pPr>
              <w:spacing w:after="0"/>
              <w:rPr>
                <w:sz w:val="12"/>
                <w:szCs w:val="12"/>
                <w:color w:val="auto"/>
              </w:rPr>
            </w:pPr>
          </w:p>
        </w:tc>
        <w:tc>
          <w:tcPr>
            <w:tcW w:w="2860" w:type="dxa"/>
            <w:vAlign w:val="bottom"/>
            <w:vMerge w:val="continue"/>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vMerge w:val="restart"/>
            <w:shd w:val="clear" w:color="auto" w:fill="F2F3F2"/>
          </w:tcPr>
          <w:p>
            <w:pPr>
              <w:jc w:val="center"/>
              <w:ind w:right="131"/>
              <w:spacing w:after="0"/>
              <w:rPr>
                <w:sz w:val="20"/>
                <w:szCs w:val="20"/>
                <w:color w:val="auto"/>
              </w:rPr>
            </w:pPr>
            <w:r>
              <w:rPr>
                <w:rFonts w:ascii="Arial" w:cs="Arial" w:eastAsia="Arial" w:hAnsi="Arial"/>
                <w:sz w:val="18"/>
                <w:szCs w:val="18"/>
                <w:color w:val="auto"/>
                <w:w w:val="99"/>
              </w:rPr>
              <w:t>India, Singapore, and the U.K.</w:t>
            </w:r>
          </w:p>
        </w:tc>
        <w:tc>
          <w:tcPr>
            <w:tcW w:w="100" w:type="dxa"/>
            <w:vAlign w:val="bottom"/>
            <w:tcBorders>
              <w:right w:val="single" w:sz="8" w:color="B2B3B6"/>
            </w:tcBorders>
            <w:shd w:val="clear" w:color="auto" w:fill="F2F3F2"/>
          </w:tcPr>
          <w:p>
            <w:pPr>
              <w:spacing w:after="0"/>
              <w:rPr>
                <w:sz w:val="12"/>
                <w:szCs w:val="12"/>
                <w:color w:val="auto"/>
              </w:rPr>
            </w:pPr>
          </w:p>
        </w:tc>
        <w:tc>
          <w:tcPr>
            <w:tcW w:w="2900" w:type="dxa"/>
            <w:vAlign w:val="bottom"/>
            <w:gridSpan w:val="2"/>
            <w:vMerge w:val="continue"/>
            <w:shd w:val="clear" w:color="auto" w:fill="F2F3F2"/>
          </w:tcPr>
          <w:p>
            <w:pPr>
              <w:spacing w:after="0"/>
              <w:rPr>
                <w:sz w:val="12"/>
                <w:szCs w:val="12"/>
                <w:color w:val="auto"/>
              </w:rPr>
            </w:pPr>
          </w:p>
        </w:tc>
        <w:tc>
          <w:tcPr>
            <w:tcW w:w="10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 w:type="dxa"/>
            <w:vAlign w:val="bottom"/>
            <w:tcBorders>
              <w:bottom w:val="single" w:sz="8" w:color="F2F3F2"/>
            </w:tcBorders>
            <w:shd w:val="clear" w:color="auto" w:fill="F2F3F2"/>
          </w:tcPr>
          <w:p>
            <w:pPr>
              <w:spacing w:after="0"/>
              <w:rPr>
                <w:sz w:val="13"/>
                <w:szCs w:val="13"/>
                <w:color w:val="auto"/>
              </w:rPr>
            </w:pPr>
          </w:p>
        </w:tc>
        <w:tc>
          <w:tcPr>
            <w:tcW w:w="2860" w:type="dxa"/>
            <w:vAlign w:val="bottom"/>
            <w:tcBorders>
              <w:bottom w:val="single" w:sz="8" w:color="F2F3F2"/>
            </w:tcBorders>
            <w:shd w:val="clear" w:color="auto" w:fill="F2F3F2"/>
          </w:tcPr>
          <w:p>
            <w:pPr>
              <w:spacing w:after="0"/>
              <w:rPr>
                <w:sz w:val="13"/>
                <w:szCs w:val="13"/>
                <w:color w:val="auto"/>
              </w:rPr>
            </w:pPr>
          </w:p>
        </w:tc>
        <w:tc>
          <w:tcPr>
            <w:tcW w:w="100" w:type="dxa"/>
            <w:vAlign w:val="bottom"/>
            <w:tcBorders>
              <w:bottom w:val="single" w:sz="8" w:color="F2F3F2"/>
              <w:right w:val="single" w:sz="8" w:color="B2B3B6"/>
            </w:tcBorders>
            <w:shd w:val="clear" w:color="auto" w:fill="F2F3F2"/>
          </w:tcPr>
          <w:p>
            <w:pPr>
              <w:spacing w:after="0"/>
              <w:rPr>
                <w:sz w:val="13"/>
                <w:szCs w:val="13"/>
                <w:color w:val="auto"/>
              </w:rPr>
            </w:pPr>
          </w:p>
        </w:tc>
        <w:tc>
          <w:tcPr>
            <w:tcW w:w="80" w:type="dxa"/>
            <w:vAlign w:val="bottom"/>
            <w:tcBorders>
              <w:bottom w:val="single" w:sz="8" w:color="F2F3F2"/>
            </w:tcBorders>
            <w:shd w:val="clear" w:color="auto" w:fill="F2F3F2"/>
          </w:tcPr>
          <w:p>
            <w:pPr>
              <w:spacing w:after="0"/>
              <w:rPr>
                <w:sz w:val="13"/>
                <w:szCs w:val="13"/>
                <w:color w:val="auto"/>
              </w:rPr>
            </w:pPr>
          </w:p>
        </w:tc>
        <w:tc>
          <w:tcPr>
            <w:tcW w:w="2840" w:type="dxa"/>
            <w:vAlign w:val="bottom"/>
            <w:tcBorders>
              <w:bottom w:val="single" w:sz="8" w:color="F2F3F2"/>
            </w:tcBorders>
            <w:vMerge w:val="continue"/>
            <w:shd w:val="clear" w:color="auto" w:fill="F2F3F2"/>
          </w:tcPr>
          <w:p>
            <w:pPr>
              <w:spacing w:after="0"/>
              <w:rPr>
                <w:sz w:val="13"/>
                <w:szCs w:val="13"/>
                <w:color w:val="auto"/>
              </w:rPr>
            </w:pPr>
          </w:p>
        </w:tc>
        <w:tc>
          <w:tcPr>
            <w:tcW w:w="100" w:type="dxa"/>
            <w:vAlign w:val="bottom"/>
            <w:tcBorders>
              <w:bottom w:val="single" w:sz="8" w:color="F2F3F2"/>
              <w:right w:val="single" w:sz="8" w:color="B2B3B6"/>
            </w:tcBorders>
            <w:shd w:val="clear" w:color="auto" w:fill="F2F3F2"/>
          </w:tcPr>
          <w:p>
            <w:pPr>
              <w:spacing w:after="0"/>
              <w:rPr>
                <w:sz w:val="13"/>
                <w:szCs w:val="13"/>
                <w:color w:val="auto"/>
              </w:rPr>
            </w:pPr>
          </w:p>
        </w:tc>
        <w:tc>
          <w:tcPr>
            <w:tcW w:w="80" w:type="dxa"/>
            <w:vAlign w:val="bottom"/>
            <w:tcBorders>
              <w:bottom w:val="single" w:sz="8" w:color="F2F3F2"/>
            </w:tcBorders>
            <w:shd w:val="clear" w:color="auto" w:fill="F2F3F2"/>
          </w:tcPr>
          <w:p>
            <w:pPr>
              <w:spacing w:after="0"/>
              <w:rPr>
                <w:sz w:val="13"/>
                <w:szCs w:val="13"/>
                <w:color w:val="auto"/>
              </w:rPr>
            </w:pPr>
          </w:p>
        </w:tc>
        <w:tc>
          <w:tcPr>
            <w:tcW w:w="2820" w:type="dxa"/>
            <w:vAlign w:val="bottom"/>
            <w:tcBorders>
              <w:bottom w:val="single" w:sz="8" w:color="F2F3F2"/>
            </w:tcBorders>
            <w:shd w:val="clear" w:color="auto" w:fill="F2F3F2"/>
          </w:tcPr>
          <w:p>
            <w:pPr>
              <w:spacing w:after="0"/>
              <w:rPr>
                <w:sz w:val="13"/>
                <w:szCs w:val="13"/>
                <w:color w:val="auto"/>
              </w:rPr>
            </w:pPr>
          </w:p>
        </w:tc>
        <w:tc>
          <w:tcPr>
            <w:tcW w:w="100" w:type="dxa"/>
            <w:vAlign w:val="bottom"/>
            <w:tcBorders>
              <w:bottom w:val="single" w:sz="8" w:color="F2F3F2"/>
            </w:tcBorders>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55"/>
              <w:spacing w:after="0"/>
              <w:rPr>
                <w:sz w:val="20"/>
                <w:szCs w:val="20"/>
                <w:color w:val="auto"/>
              </w:rPr>
            </w:pPr>
            <w:r>
              <w:rPr>
                <w:rFonts w:ascii="Arial" w:cs="Arial" w:eastAsia="Arial" w:hAnsi="Arial"/>
                <w:sz w:val="16"/>
                <w:szCs w:val="16"/>
                <w:b w:val="1"/>
                <w:bCs w:val="1"/>
                <w:color w:val="FFFFFF"/>
              </w:rPr>
              <w:t>Consulting Magazine</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ind w:right="71"/>
              <w:spacing w:after="0"/>
              <w:rPr>
                <w:sz w:val="20"/>
                <w:szCs w:val="20"/>
                <w:color w:val="auto"/>
              </w:rPr>
            </w:pPr>
            <w:r>
              <w:rPr>
                <w:rFonts w:ascii="Arial" w:cs="Arial" w:eastAsia="Arial" w:hAnsi="Arial"/>
                <w:sz w:val="16"/>
                <w:szCs w:val="16"/>
                <w:b w:val="1"/>
                <w:bCs w:val="1"/>
                <w:color w:val="FFFFFF"/>
              </w:rPr>
              <w:t>Great Place to Work</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TIME Magazine</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shd w:val="clear" w:color="auto" w:fill="F2F3F2"/>
          </w:tcPr>
          <w:p>
            <w:pPr>
              <w:spacing w:after="0"/>
              <w:rPr>
                <w:sz w:val="7"/>
                <w:szCs w:val="7"/>
                <w:color w:val="auto"/>
              </w:rPr>
            </w:pPr>
          </w:p>
        </w:tc>
        <w:tc>
          <w:tcPr>
            <w:tcW w:w="286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20" w:type="dxa"/>
            <w:vAlign w:val="bottom"/>
            <w:shd w:val="clear" w:color="auto" w:fill="00558C"/>
          </w:tcPr>
          <w:p>
            <w:pPr>
              <w:spacing w:after="0"/>
              <w:rPr>
                <w:sz w:val="7"/>
                <w:szCs w:val="7"/>
                <w:color w:val="auto"/>
              </w:rPr>
            </w:pPr>
          </w:p>
        </w:tc>
        <w:tc>
          <w:tcPr>
            <w:tcW w:w="1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747"/>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75"/>
              <w:spacing w:after="0"/>
              <w:rPr>
                <w:sz w:val="20"/>
                <w:szCs w:val="20"/>
                <w:color w:val="auto"/>
              </w:rPr>
            </w:pPr>
            <w:r>
              <w:rPr>
                <w:rFonts w:ascii="Arial" w:cs="Arial" w:eastAsia="Arial" w:hAnsi="Arial"/>
                <w:sz w:val="25"/>
                <w:szCs w:val="25"/>
                <w:color w:val="6AAA37"/>
                <w:w w:val="99"/>
              </w:rPr>
              <w:t>2025 Top Consulting</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91"/>
              <w:spacing w:after="0"/>
              <w:rPr>
                <w:sz w:val="20"/>
                <w:szCs w:val="20"/>
                <w:color w:val="auto"/>
              </w:rPr>
            </w:pPr>
            <w:r>
              <w:rPr>
                <w:rFonts w:ascii="Arial" w:cs="Arial" w:eastAsia="Arial" w:hAnsi="Arial"/>
                <w:sz w:val="25"/>
                <w:szCs w:val="25"/>
                <w:color w:val="6AAA37"/>
              </w:rPr>
              <w:t>2025 Best Place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91"/>
              <w:spacing w:after="0"/>
              <w:rPr>
                <w:sz w:val="20"/>
                <w:szCs w:val="20"/>
                <w:color w:val="auto"/>
              </w:rPr>
            </w:pPr>
            <w:r>
              <w:rPr>
                <w:rFonts w:ascii="Arial" w:cs="Arial" w:eastAsia="Arial" w:hAnsi="Arial"/>
                <w:sz w:val="25"/>
                <w:szCs w:val="25"/>
                <w:color w:val="6AAA37"/>
                <w:w w:val="99"/>
              </w:rPr>
              <w:t>2025 Top Ranked</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spacing w:after="0"/>
              <w:rPr>
                <w:sz w:val="20"/>
                <w:szCs w:val="20"/>
                <w:color w:val="auto"/>
              </w:rPr>
            </w:pPr>
            <w:r>
              <w:rPr>
                <w:rFonts w:ascii="Arial" w:cs="Arial" w:eastAsia="Arial" w:hAnsi="Arial"/>
                <w:sz w:val="25"/>
                <w:szCs w:val="25"/>
                <w:color w:val="6AAA37"/>
              </w:rPr>
              <w:t>Firms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spacing w:after="0"/>
              <w:rPr>
                <w:sz w:val="20"/>
                <w:szCs w:val="20"/>
                <w:color w:val="auto"/>
              </w:rPr>
            </w:pPr>
            <w:r>
              <w:rPr>
                <w:rFonts w:ascii="Arial" w:cs="Arial" w:eastAsia="Arial" w:hAnsi="Arial"/>
                <w:sz w:val="25"/>
                <w:szCs w:val="25"/>
                <w:color w:val="6AAA37"/>
                <w:w w:val="99"/>
              </w:rPr>
              <w:t>Work</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51"/>
              <w:spacing w:after="0"/>
              <w:rPr>
                <w:sz w:val="20"/>
                <w:szCs w:val="20"/>
                <w:color w:val="auto"/>
              </w:rPr>
            </w:pPr>
            <w:r>
              <w:rPr>
                <w:rFonts w:ascii="Arial" w:cs="Arial" w:eastAsia="Arial" w:hAnsi="Arial"/>
                <w:sz w:val="25"/>
                <w:szCs w:val="25"/>
                <w:color w:val="6AAA37"/>
              </w:rPr>
              <w:t>Consulting Firm</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55"/>
              <w:spacing w:after="0"/>
              <w:rPr>
                <w:sz w:val="20"/>
                <w:szCs w:val="20"/>
                <w:color w:val="auto"/>
              </w:rPr>
            </w:pPr>
            <w:r>
              <w:rPr>
                <w:rFonts w:ascii="Arial" w:cs="Arial" w:eastAsia="Arial" w:hAnsi="Arial"/>
                <w:sz w:val="16"/>
                <w:szCs w:val="16"/>
                <w:b w:val="1"/>
                <w:bCs w:val="1"/>
                <w:color w:val="FFFFFF"/>
              </w:rPr>
              <w:t>The Consulting Report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Glassdoor</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ind w:right="91"/>
              <w:spacing w:after="0"/>
              <w:rPr>
                <w:sz w:val="20"/>
                <w:szCs w:val="20"/>
                <w:color w:val="auto"/>
              </w:rPr>
            </w:pPr>
            <w:r>
              <w:rPr>
                <w:rFonts w:ascii="Arial" w:cs="Arial" w:eastAsia="Arial" w:hAnsi="Arial"/>
                <w:sz w:val="16"/>
                <w:szCs w:val="16"/>
                <w:b w:val="1"/>
                <w:bCs w:val="1"/>
                <w:color w:val="FFFFFF"/>
              </w:rPr>
              <w:t>Management Consulted</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0" w:type="dxa"/>
            <w:vAlign w:val="bottom"/>
            <w:shd w:val="clear" w:color="auto" w:fill="F2F3F2"/>
          </w:tcPr>
          <w:p>
            <w:pPr>
              <w:spacing w:after="0"/>
              <w:rPr>
                <w:sz w:val="7"/>
                <w:szCs w:val="7"/>
                <w:color w:val="auto"/>
              </w:rPr>
            </w:pPr>
          </w:p>
        </w:tc>
        <w:tc>
          <w:tcPr>
            <w:tcW w:w="286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20" w:type="dxa"/>
            <w:vAlign w:val="bottom"/>
            <w:shd w:val="clear" w:color="auto" w:fill="00558C"/>
          </w:tcPr>
          <w:p>
            <w:pPr>
              <w:spacing w:after="0"/>
              <w:rPr>
                <w:sz w:val="7"/>
                <w:szCs w:val="7"/>
                <w:color w:val="auto"/>
              </w:rPr>
            </w:pPr>
          </w:p>
        </w:tc>
        <w:tc>
          <w:tcPr>
            <w:tcW w:w="1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553"/>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95"/>
              <w:spacing w:after="0"/>
              <w:rPr>
                <w:sz w:val="20"/>
                <w:szCs w:val="20"/>
                <w:color w:val="auto"/>
              </w:rPr>
            </w:pPr>
            <w:r>
              <w:rPr>
                <w:rFonts w:ascii="Arial" w:cs="Arial" w:eastAsia="Arial" w:hAnsi="Arial"/>
                <w:sz w:val="25"/>
                <w:szCs w:val="25"/>
                <w:color w:val="6AAA37"/>
                <w:w w:val="98"/>
              </w:rPr>
              <w:t>2025 Early Talent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11"/>
              <w:spacing w:after="0"/>
              <w:rPr>
                <w:sz w:val="20"/>
                <w:szCs w:val="20"/>
                <w:color w:val="auto"/>
              </w:rPr>
            </w:pPr>
            <w:r>
              <w:rPr>
                <w:rFonts w:ascii="Arial" w:cs="Arial" w:eastAsia="Arial" w:hAnsi="Arial"/>
                <w:sz w:val="25"/>
                <w:szCs w:val="25"/>
                <w:color w:val="6AAA37"/>
                <w:w w:val="99"/>
              </w:rPr>
              <w:t>2025 World’s Best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31"/>
              <w:spacing w:after="0"/>
              <w:rPr>
                <w:sz w:val="20"/>
                <w:szCs w:val="20"/>
                <w:color w:val="auto"/>
              </w:rPr>
            </w:pPr>
            <w:r>
              <w:rPr>
                <w:rFonts w:ascii="Arial" w:cs="Arial" w:eastAsia="Arial" w:hAnsi="Arial"/>
                <w:sz w:val="25"/>
                <w:szCs w:val="25"/>
                <w:color w:val="6AAA37"/>
              </w:rPr>
              <w:t>Most Prestigious</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5"/>
              <w:spacing w:after="0"/>
              <w:rPr>
                <w:sz w:val="20"/>
                <w:szCs w:val="20"/>
                <w:color w:val="auto"/>
              </w:rPr>
            </w:pPr>
            <w:r>
              <w:rPr>
                <w:rFonts w:ascii="Arial" w:cs="Arial" w:eastAsia="Arial" w:hAnsi="Arial"/>
                <w:sz w:val="25"/>
                <w:szCs w:val="25"/>
                <w:color w:val="6AAA37"/>
                <w:w w:val="98"/>
              </w:rPr>
              <w:t>Awards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51"/>
              <w:spacing w:after="0"/>
              <w:rPr>
                <w:sz w:val="20"/>
                <w:szCs w:val="20"/>
                <w:color w:val="auto"/>
              </w:rPr>
            </w:pPr>
            <w:r>
              <w:rPr>
                <w:rFonts w:ascii="Arial" w:cs="Arial" w:eastAsia="Arial" w:hAnsi="Arial"/>
                <w:sz w:val="25"/>
                <w:szCs w:val="25"/>
                <w:color w:val="6AAA37"/>
              </w:rPr>
              <w:t>Management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51"/>
              <w:spacing w:after="0"/>
              <w:rPr>
                <w:sz w:val="20"/>
                <w:szCs w:val="20"/>
                <w:color w:val="auto"/>
              </w:rPr>
            </w:pPr>
            <w:r>
              <w:rPr>
                <w:rFonts w:ascii="Arial" w:cs="Arial" w:eastAsia="Arial" w:hAnsi="Arial"/>
                <w:sz w:val="25"/>
                <w:szCs w:val="25"/>
                <w:color w:val="6AAA37"/>
              </w:rPr>
              <w:t>Consulting Firms</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shd w:val="clear" w:color="auto" w:fill="F2F3F2"/>
          </w:tcPr>
          <w:p>
            <w:pPr>
              <w:spacing w:after="0"/>
              <w:rPr>
                <w:sz w:val="18"/>
                <w:szCs w:val="18"/>
                <w:color w:val="auto"/>
              </w:rPr>
            </w:pPr>
          </w:p>
        </w:tc>
        <w:tc>
          <w:tcPr>
            <w:tcW w:w="2860" w:type="dxa"/>
            <w:vAlign w:val="bottom"/>
            <w:shd w:val="clear" w:color="auto" w:fill="F2F3F2"/>
          </w:tcPr>
          <w:p>
            <w:pPr>
              <w:jc w:val="center"/>
              <w:ind w:right="155"/>
              <w:spacing w:after="0"/>
              <w:rPr>
                <w:sz w:val="20"/>
                <w:szCs w:val="20"/>
                <w:color w:val="auto"/>
              </w:rPr>
            </w:pPr>
            <w:r>
              <w:rPr>
                <w:rFonts w:ascii="Arial" w:cs="Arial" w:eastAsia="Arial" w:hAnsi="Arial"/>
                <w:sz w:val="18"/>
                <w:szCs w:val="18"/>
                <w:color w:val="auto"/>
                <w:w w:val="99"/>
              </w:rPr>
              <w:t>Best place for Gen Z to start</w:t>
            </w: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840" w:type="dxa"/>
            <w:vAlign w:val="bottom"/>
            <w:vMerge w:val="restart"/>
            <w:shd w:val="clear" w:color="auto" w:fill="F2F3F2"/>
          </w:tcPr>
          <w:p>
            <w:pPr>
              <w:jc w:val="center"/>
              <w:ind w:right="171"/>
              <w:spacing w:after="0"/>
              <w:rPr>
                <w:sz w:val="20"/>
                <w:szCs w:val="20"/>
                <w:color w:val="auto"/>
              </w:rPr>
            </w:pPr>
            <w:r>
              <w:rPr>
                <w:rFonts w:ascii="Arial" w:cs="Arial" w:eastAsia="Arial" w:hAnsi="Arial"/>
                <w:sz w:val="25"/>
                <w:szCs w:val="25"/>
                <w:color w:val="6AAA37"/>
              </w:rPr>
              <w:t>Consulting Firm</w:t>
            </w: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820" w:type="dxa"/>
            <w:vAlign w:val="bottom"/>
            <w:vMerge w:val="restart"/>
            <w:shd w:val="clear" w:color="auto" w:fill="F2F3F2"/>
          </w:tcPr>
          <w:p>
            <w:pPr>
              <w:jc w:val="center"/>
              <w:ind w:right="71"/>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0" w:type="dxa"/>
            <w:vAlign w:val="bottom"/>
            <w:shd w:val="clear" w:color="auto" w:fill="F2F3F2"/>
          </w:tcPr>
          <w:p>
            <w:pPr>
              <w:spacing w:after="0"/>
              <w:rPr>
                <w:sz w:val="13"/>
                <w:szCs w:val="13"/>
                <w:color w:val="auto"/>
              </w:rPr>
            </w:pPr>
          </w:p>
        </w:tc>
        <w:tc>
          <w:tcPr>
            <w:tcW w:w="2860" w:type="dxa"/>
            <w:vAlign w:val="bottom"/>
            <w:vMerge w:val="restart"/>
            <w:shd w:val="clear" w:color="auto" w:fill="F2F3F2"/>
          </w:tcPr>
          <w:p>
            <w:pPr>
              <w:jc w:val="center"/>
              <w:ind w:right="35"/>
              <w:spacing w:after="0"/>
              <w:rPr>
                <w:sz w:val="20"/>
                <w:szCs w:val="20"/>
                <w:color w:val="auto"/>
              </w:rPr>
            </w:pPr>
            <w:r>
              <w:rPr>
                <w:rFonts w:ascii="Arial" w:cs="Arial" w:eastAsia="Arial" w:hAnsi="Arial"/>
                <w:sz w:val="18"/>
                <w:szCs w:val="18"/>
                <w:color w:val="auto"/>
                <w:w w:val="99"/>
              </w:rPr>
              <w:t>their careers</w:t>
            </w: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40" w:type="dxa"/>
            <w:vAlign w:val="bottom"/>
            <w:vMerge w:val="continue"/>
            <w:shd w:val="clear" w:color="auto" w:fill="F2F3F2"/>
          </w:tcPr>
          <w:p>
            <w:pPr>
              <w:spacing w:after="0"/>
              <w:rPr>
                <w:sz w:val="13"/>
                <w:szCs w:val="13"/>
                <w:color w:val="auto"/>
              </w:rPr>
            </w:pP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20" w:type="dxa"/>
            <w:vAlign w:val="bottom"/>
            <w:vMerge w:val="continue"/>
            <w:shd w:val="clear" w:color="auto" w:fill="F2F3F2"/>
          </w:tcPr>
          <w:p>
            <w:pPr>
              <w:spacing w:after="0"/>
              <w:rPr>
                <w:sz w:val="13"/>
                <w:szCs w:val="13"/>
                <w:color w:val="auto"/>
              </w:rPr>
            </w:pPr>
          </w:p>
        </w:tc>
        <w:tc>
          <w:tcPr>
            <w:tcW w:w="100" w:type="dxa"/>
            <w:vAlign w:val="bottom"/>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2F3F2"/>
          </w:tcPr>
          <w:p>
            <w:pPr>
              <w:spacing w:after="0"/>
              <w:rPr>
                <w:sz w:val="7"/>
                <w:szCs w:val="7"/>
                <w:color w:val="auto"/>
              </w:rPr>
            </w:pPr>
          </w:p>
        </w:tc>
        <w:tc>
          <w:tcPr>
            <w:tcW w:w="2860" w:type="dxa"/>
            <w:vAlign w:val="bottom"/>
            <w:vMerge w:val="continue"/>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20" w:type="dxa"/>
            <w:vAlign w:val="bottom"/>
            <w:shd w:val="clear" w:color="auto" w:fill="F2F3F2"/>
          </w:tcPr>
          <w:p>
            <w:pPr>
              <w:spacing w:after="0"/>
              <w:rPr>
                <w:sz w:val="7"/>
                <w:szCs w:val="7"/>
                <w:color w:val="auto"/>
              </w:rPr>
            </w:pPr>
          </w:p>
        </w:tc>
        <w:tc>
          <w:tcPr>
            <w:tcW w:w="1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F2F3F2"/>
          </w:tcPr>
          <w:p>
            <w:pPr>
              <w:spacing w:after="0"/>
              <w:rPr>
                <w:sz w:val="6"/>
                <w:szCs w:val="6"/>
                <w:color w:val="auto"/>
              </w:rPr>
            </w:pPr>
          </w:p>
        </w:tc>
        <w:tc>
          <w:tcPr>
            <w:tcW w:w="2860" w:type="dxa"/>
            <w:vAlign w:val="bottom"/>
            <w:shd w:val="clear" w:color="auto" w:fill="F2F3F2"/>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40" w:type="dxa"/>
            <w:vAlign w:val="bottom"/>
            <w:shd w:val="clear" w:color="auto" w:fill="F2F3F2"/>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20" w:type="dxa"/>
            <w:vAlign w:val="bottom"/>
            <w:shd w:val="clear" w:color="auto" w:fill="F2F3F2"/>
          </w:tcPr>
          <w:p>
            <w:pPr>
              <w:spacing w:after="0"/>
              <w:rPr>
                <w:sz w:val="6"/>
                <w:szCs w:val="6"/>
                <w:color w:val="auto"/>
              </w:rPr>
            </w:pPr>
          </w:p>
        </w:tc>
        <w:tc>
          <w:tcPr>
            <w:tcW w:w="10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Handshake</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Forbes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Vault</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0" w:type="dxa"/>
            <w:vAlign w:val="bottom"/>
            <w:shd w:val="clear" w:color="auto" w:fill="F2F3F2"/>
          </w:tcPr>
          <w:p>
            <w:pPr>
              <w:spacing w:after="0"/>
              <w:rPr>
                <w:sz w:val="7"/>
                <w:szCs w:val="7"/>
                <w:color w:val="auto"/>
              </w:rPr>
            </w:pPr>
          </w:p>
        </w:tc>
        <w:tc>
          <w:tcPr>
            <w:tcW w:w="286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20" w:type="dxa"/>
            <w:vAlign w:val="bottom"/>
            <w:shd w:val="clear" w:color="auto" w:fill="00558C"/>
          </w:tcPr>
          <w:p>
            <w:pPr>
              <w:spacing w:after="0"/>
              <w:rPr>
                <w:sz w:val="7"/>
                <w:szCs w:val="7"/>
                <w:color w:val="auto"/>
              </w:rPr>
            </w:pPr>
          </w:p>
        </w:tc>
        <w:tc>
          <w:tcPr>
            <w:tcW w:w="1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F2F3F2"/>
          </w:tcPr>
          <w:p>
            <w:pPr>
              <w:spacing w:after="0"/>
              <w:rPr>
                <w:sz w:val="11"/>
                <w:szCs w:val="11"/>
                <w:color w:val="auto"/>
              </w:rPr>
            </w:pPr>
          </w:p>
        </w:tc>
        <w:tc>
          <w:tcPr>
            <w:tcW w:w="2860" w:type="dxa"/>
            <w:vAlign w:val="bottom"/>
            <w:shd w:val="clear" w:color="auto" w:fill="F2F3F2"/>
          </w:tcPr>
          <w:p>
            <w:pPr>
              <w:spacing w:after="0"/>
              <w:rPr>
                <w:sz w:val="11"/>
                <w:szCs w:val="11"/>
                <w:color w:val="auto"/>
              </w:rPr>
            </w:pPr>
          </w:p>
        </w:tc>
        <w:tc>
          <w:tcPr>
            <w:tcW w:w="100" w:type="dxa"/>
            <w:vAlign w:val="bottom"/>
            <w:tcBorders>
              <w:right w:val="single" w:sz="8" w:color="F2F3F2"/>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840" w:type="dxa"/>
            <w:vAlign w:val="bottom"/>
            <w:shd w:val="clear" w:color="auto" w:fill="F2F3F2"/>
          </w:tcPr>
          <w:p>
            <w:pPr>
              <w:spacing w:after="0"/>
              <w:rPr>
                <w:sz w:val="11"/>
                <w:szCs w:val="11"/>
                <w:color w:val="auto"/>
              </w:rPr>
            </w:pPr>
          </w:p>
        </w:tc>
        <w:tc>
          <w:tcPr>
            <w:tcW w:w="100" w:type="dxa"/>
            <w:vAlign w:val="bottom"/>
            <w:tcBorders>
              <w:right w:val="single" w:sz="8" w:color="F2F3F2"/>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820" w:type="dxa"/>
            <w:vAlign w:val="bottom"/>
            <w:shd w:val="clear" w:color="auto" w:fill="F2F3F2"/>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120" w:right="141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-110490</wp:posOffset>
            </wp:positionV>
            <wp:extent cx="6810375" cy="3705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3705225"/>
                    </a:xfrm>
                    <a:prstGeom prst="rect">
                      <a:avLst/>
                    </a:prstGeom>
                    <a:noFill/>
                  </pic:spPr>
                </pic:pic>
              </a:graphicData>
            </a:graphic>
          </wp:anchor>
        </w:drawing>
      </w:r>
    </w:p>
    <w:p>
      <w:pPr>
        <w:spacing w:after="0" w:line="34"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Huron operates in a highly competitive talent market and our compensation philosophy is designed to pay-for-performance, rewarding and retaining our highest performing employees and paying competitively versus peer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Specifically, for our leadership compensation programs, we adhere to the following core tenets: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shd w:val="clear" w:color="auto" w:fill="F2F3F2"/>
          </w:tcPr>
          <w:p>
            <w:pPr>
              <w:spacing w:after="0"/>
              <w:rPr>
                <w:sz w:val="15"/>
                <w:szCs w:val="15"/>
                <w:color w:val="auto"/>
              </w:rPr>
            </w:pPr>
          </w:p>
        </w:tc>
        <w:tc>
          <w:tcPr>
            <w:tcW w:w="2060" w:type="dxa"/>
            <w:vAlign w:val="bottom"/>
            <w:vMerge w:val="restart"/>
            <w:shd w:val="clear" w:color="auto" w:fill="F2F3F2"/>
          </w:tcPr>
          <w:p>
            <w:pPr>
              <w:ind w:left="40"/>
              <w:spacing w:after="0"/>
              <w:rPr>
                <w:sz w:val="20"/>
                <w:szCs w:val="20"/>
                <w:color w:val="auto"/>
              </w:rPr>
            </w:pPr>
            <w:r>
              <w:rPr>
                <w:rFonts w:ascii="Arial" w:cs="Arial" w:eastAsia="Arial" w:hAnsi="Arial"/>
                <w:sz w:val="43"/>
                <w:szCs w:val="43"/>
                <w:b w:val="1"/>
                <w:bCs w:val="1"/>
                <w:color w:val="00558C"/>
              </w:rPr>
              <w:t>1</w:t>
            </w:r>
          </w:p>
        </w:tc>
        <w:tc>
          <w:tcPr>
            <w:tcW w:w="120" w:type="dxa"/>
            <w:vAlign w:val="bottom"/>
            <w:tcBorders>
              <w:right w:val="single" w:sz="8" w:color="F2F3F2"/>
            </w:tcBorders>
            <w:shd w:val="clear" w:color="auto" w:fill="F2F3F2"/>
          </w:tcPr>
          <w:p>
            <w:pPr>
              <w:spacing w:after="0"/>
              <w:rPr>
                <w:sz w:val="15"/>
                <w:szCs w:val="15"/>
                <w:color w:val="auto"/>
              </w:rPr>
            </w:pPr>
          </w:p>
        </w:tc>
        <w:tc>
          <w:tcPr>
            <w:tcW w:w="2140" w:type="dxa"/>
            <w:vAlign w:val="bottom"/>
            <w:gridSpan w:val="2"/>
            <w:vMerge w:val="restart"/>
            <w:shd w:val="clear" w:color="auto" w:fill="F2F3F2"/>
          </w:tcPr>
          <w:p>
            <w:pPr>
              <w:ind w:left="120"/>
              <w:spacing w:after="0"/>
              <w:rPr>
                <w:sz w:val="20"/>
                <w:szCs w:val="20"/>
                <w:color w:val="auto"/>
              </w:rPr>
            </w:pPr>
            <w:r>
              <w:rPr>
                <w:rFonts w:ascii="Arial" w:cs="Arial" w:eastAsia="Arial" w:hAnsi="Arial"/>
                <w:sz w:val="43"/>
                <w:szCs w:val="43"/>
                <w:b w:val="1"/>
                <w:bCs w:val="1"/>
                <w:color w:val="00558C"/>
              </w:rPr>
              <w:t>2</w:t>
            </w:r>
          </w:p>
        </w:tc>
        <w:tc>
          <w:tcPr>
            <w:tcW w:w="120" w:type="dxa"/>
            <w:vAlign w:val="bottom"/>
            <w:tcBorders>
              <w:right w:val="single" w:sz="8" w:color="F2F3F2"/>
            </w:tcBorders>
            <w:shd w:val="clear" w:color="auto" w:fill="F2F3F2"/>
          </w:tcPr>
          <w:p>
            <w:pPr>
              <w:spacing w:after="0"/>
              <w:rPr>
                <w:sz w:val="15"/>
                <w:szCs w:val="15"/>
                <w:color w:val="auto"/>
              </w:rPr>
            </w:pPr>
          </w:p>
        </w:tc>
        <w:tc>
          <w:tcPr>
            <w:tcW w:w="2140" w:type="dxa"/>
            <w:vAlign w:val="bottom"/>
            <w:gridSpan w:val="2"/>
            <w:vMerge w:val="restart"/>
            <w:shd w:val="clear" w:color="auto" w:fill="F2F3F2"/>
          </w:tcPr>
          <w:p>
            <w:pPr>
              <w:ind w:left="120"/>
              <w:spacing w:after="0"/>
              <w:rPr>
                <w:sz w:val="20"/>
                <w:szCs w:val="20"/>
                <w:color w:val="auto"/>
              </w:rPr>
            </w:pPr>
            <w:r>
              <w:rPr>
                <w:rFonts w:ascii="Arial" w:cs="Arial" w:eastAsia="Arial" w:hAnsi="Arial"/>
                <w:sz w:val="43"/>
                <w:szCs w:val="43"/>
                <w:b w:val="1"/>
                <w:bCs w:val="1"/>
                <w:color w:val="00558C"/>
              </w:rPr>
              <w:t>3</w:t>
            </w:r>
          </w:p>
        </w:tc>
        <w:tc>
          <w:tcPr>
            <w:tcW w:w="120" w:type="dxa"/>
            <w:vAlign w:val="bottom"/>
            <w:tcBorders>
              <w:right w:val="single" w:sz="8" w:color="F2F3F2"/>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120" w:type="dxa"/>
            <w:vAlign w:val="bottom"/>
            <w:vMerge w:val="restart"/>
            <w:shd w:val="clear" w:color="auto" w:fill="F2F3F2"/>
          </w:tcPr>
          <w:p>
            <w:pPr>
              <w:ind w:left="60"/>
              <w:spacing w:after="0"/>
              <w:rPr>
                <w:sz w:val="20"/>
                <w:szCs w:val="20"/>
                <w:color w:val="auto"/>
              </w:rPr>
            </w:pPr>
            <w:r>
              <w:rPr>
                <w:rFonts w:ascii="Arial" w:cs="Arial" w:eastAsia="Arial" w:hAnsi="Arial"/>
                <w:sz w:val="43"/>
                <w:szCs w:val="43"/>
                <w:b w:val="1"/>
                <w:bCs w:val="1"/>
                <w:color w:val="00558C"/>
              </w:rPr>
              <w:t>4</w:t>
            </w: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100" w:type="dxa"/>
            <w:vAlign w:val="bottom"/>
            <w:shd w:val="clear" w:color="auto" w:fill="F2F3F2"/>
          </w:tcPr>
          <w:p>
            <w:pPr>
              <w:spacing w:after="0"/>
              <w:rPr>
                <w:sz w:val="24"/>
                <w:szCs w:val="24"/>
                <w:color w:val="auto"/>
              </w:rPr>
            </w:pPr>
          </w:p>
        </w:tc>
        <w:tc>
          <w:tcPr>
            <w:tcW w:w="2060" w:type="dxa"/>
            <w:vAlign w:val="bottom"/>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2140" w:type="dxa"/>
            <w:vAlign w:val="bottom"/>
            <w:gridSpan w:val="2"/>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2140" w:type="dxa"/>
            <w:vAlign w:val="bottom"/>
            <w:gridSpan w:val="2"/>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60" w:type="dxa"/>
            <w:vAlign w:val="bottom"/>
            <w:shd w:val="clear" w:color="auto" w:fill="F2F3F2"/>
          </w:tcPr>
          <w:p>
            <w:pPr>
              <w:spacing w:after="0"/>
              <w:rPr>
                <w:sz w:val="24"/>
                <w:szCs w:val="24"/>
                <w:color w:val="auto"/>
              </w:rPr>
            </w:pPr>
          </w:p>
        </w:tc>
        <w:tc>
          <w:tcPr>
            <w:tcW w:w="2120" w:type="dxa"/>
            <w:vAlign w:val="bottom"/>
            <w:vMerge w:val="continue"/>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Borders>
              <w:bottom w:val="single" w:sz="8" w:color="F2F3F2"/>
            </w:tcBorders>
            <w:shd w:val="clear" w:color="auto" w:fill="F2F3F2"/>
          </w:tcPr>
          <w:p>
            <w:pPr>
              <w:spacing w:after="0"/>
              <w:rPr>
                <w:sz w:val="15"/>
                <w:szCs w:val="15"/>
                <w:color w:val="auto"/>
              </w:rPr>
            </w:pPr>
          </w:p>
        </w:tc>
        <w:tc>
          <w:tcPr>
            <w:tcW w:w="206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80" w:type="dxa"/>
            <w:vAlign w:val="bottom"/>
            <w:tcBorders>
              <w:bottom w:val="single" w:sz="8" w:color="F2F3F2"/>
            </w:tcBorders>
            <w:shd w:val="clear" w:color="auto" w:fill="F2F3F2"/>
          </w:tcPr>
          <w:p>
            <w:pPr>
              <w:spacing w:after="0"/>
              <w:rPr>
                <w:sz w:val="15"/>
                <w:szCs w:val="15"/>
                <w:color w:val="auto"/>
              </w:rPr>
            </w:pPr>
          </w:p>
        </w:tc>
        <w:tc>
          <w:tcPr>
            <w:tcW w:w="206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80" w:type="dxa"/>
            <w:vAlign w:val="bottom"/>
            <w:tcBorders>
              <w:bottom w:val="single" w:sz="8" w:color="F2F3F2"/>
            </w:tcBorders>
            <w:shd w:val="clear" w:color="auto" w:fill="F2F3F2"/>
          </w:tcPr>
          <w:p>
            <w:pPr>
              <w:spacing w:after="0"/>
              <w:rPr>
                <w:sz w:val="15"/>
                <w:szCs w:val="15"/>
                <w:color w:val="auto"/>
              </w:rPr>
            </w:pPr>
          </w:p>
        </w:tc>
        <w:tc>
          <w:tcPr>
            <w:tcW w:w="206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60" w:type="dxa"/>
            <w:vAlign w:val="bottom"/>
            <w:tcBorders>
              <w:bottom w:val="single" w:sz="8" w:color="F2F3F2"/>
            </w:tcBorders>
            <w:shd w:val="clear" w:color="auto" w:fill="F2F3F2"/>
          </w:tcPr>
          <w:p>
            <w:pPr>
              <w:spacing w:after="0"/>
              <w:rPr>
                <w:sz w:val="15"/>
                <w:szCs w:val="15"/>
                <w:color w:val="auto"/>
              </w:rPr>
            </w:pPr>
          </w:p>
        </w:tc>
        <w:tc>
          <w:tcPr>
            <w:tcW w:w="2120" w:type="dxa"/>
            <w:vAlign w:val="bottom"/>
            <w:tcBorders>
              <w:bottom w:val="single" w:sz="8" w:color="B2B3B6"/>
            </w:tcBorders>
            <w:shd w:val="clear" w:color="auto" w:fill="F2F3F2"/>
          </w:tcPr>
          <w:p>
            <w:pPr>
              <w:spacing w:after="0"/>
              <w:rPr>
                <w:sz w:val="15"/>
                <w:szCs w:val="15"/>
                <w:color w:val="auto"/>
              </w:rPr>
            </w:pPr>
          </w:p>
        </w:tc>
        <w:tc>
          <w:tcPr>
            <w:tcW w:w="100" w:type="dxa"/>
            <w:vAlign w:val="bottom"/>
            <w:tcBorders>
              <w:bottom w:val="single" w:sz="8" w:color="F2F3F2"/>
            </w:tcBorders>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0" w:type="dxa"/>
            <w:vAlign w:val="bottom"/>
            <w:shd w:val="clear" w:color="auto" w:fill="F2F3F2"/>
          </w:tcPr>
          <w:p>
            <w:pPr>
              <w:spacing w:after="0"/>
              <w:rPr>
                <w:sz w:val="24"/>
                <w:szCs w:val="2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Align to Business</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Attract</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8"/>
                <w:szCs w:val="18"/>
                <w:b w:val="1"/>
                <w:bCs w:val="1"/>
                <w:color w:val="auto"/>
              </w:rPr>
              <w:t>Pay for</w:t>
            </w:r>
          </w:p>
        </w:tc>
        <w:tc>
          <w:tcPr>
            <w:tcW w:w="60" w:type="dxa"/>
            <w:vAlign w:val="bottom"/>
            <w:shd w:val="clear" w:color="auto" w:fill="F2F3F2"/>
          </w:tcPr>
          <w:p>
            <w:pPr>
              <w:spacing w:after="0"/>
              <w:rPr>
                <w:sz w:val="24"/>
                <w:szCs w:val="24"/>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8"/>
                <w:szCs w:val="18"/>
                <w:b w:val="1"/>
                <w:bCs w:val="1"/>
                <w:color w:val="auto"/>
              </w:rPr>
              <w:t>Uphold Strong</w:t>
            </w:r>
          </w:p>
        </w:tc>
        <w:tc>
          <w:tcPr>
            <w:tcW w:w="0" w:type="dxa"/>
            <w:vAlign w:val="bottom"/>
          </w:tcPr>
          <w:p>
            <w:pPr>
              <w:spacing w:after="0"/>
              <w:rPr>
                <w:sz w:val="1"/>
                <w:szCs w:val="1"/>
                <w:color w:val="auto"/>
              </w:rPr>
            </w:pPr>
          </w:p>
        </w:tc>
      </w:tr>
      <w:tr>
        <w:trPr>
          <w:trHeight w:val="247"/>
        </w:trPr>
        <w:tc>
          <w:tcPr>
            <w:tcW w:w="100" w:type="dxa"/>
            <w:vAlign w:val="bottom"/>
            <w:shd w:val="clear" w:color="auto" w:fill="F2F3F2"/>
          </w:tcPr>
          <w:p>
            <w:pPr>
              <w:spacing w:after="0"/>
              <w:rPr>
                <w:sz w:val="21"/>
                <w:szCs w:val="21"/>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Strategy</w:t>
            </w:r>
          </w:p>
        </w:tc>
        <w:tc>
          <w:tcPr>
            <w:tcW w:w="12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and Retain</w:t>
            </w:r>
          </w:p>
        </w:tc>
        <w:tc>
          <w:tcPr>
            <w:tcW w:w="12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8"/>
                <w:szCs w:val="18"/>
                <w:b w:val="1"/>
                <w:bCs w:val="1"/>
                <w:color w:val="auto"/>
              </w:rPr>
              <w:t>Performance</w:t>
            </w:r>
          </w:p>
        </w:tc>
        <w:tc>
          <w:tcPr>
            <w:tcW w:w="60" w:type="dxa"/>
            <w:vAlign w:val="bottom"/>
            <w:shd w:val="clear" w:color="auto" w:fill="F2F3F2"/>
          </w:tcPr>
          <w:p>
            <w:pPr>
              <w:spacing w:after="0"/>
              <w:rPr>
                <w:sz w:val="21"/>
                <w:szCs w:val="21"/>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8"/>
                <w:szCs w:val="18"/>
                <w:b w:val="1"/>
                <w:bCs w:val="1"/>
                <w:color w:val="auto"/>
              </w:rPr>
              <w:t>Governance</w:t>
            </w:r>
          </w:p>
        </w:tc>
        <w:tc>
          <w:tcPr>
            <w:tcW w:w="0" w:type="dxa"/>
            <w:vAlign w:val="bottom"/>
          </w:tcPr>
          <w:p>
            <w:pPr>
              <w:spacing w:after="0"/>
              <w:rPr>
                <w:sz w:val="1"/>
                <w:szCs w:val="1"/>
                <w:color w:val="auto"/>
              </w:rPr>
            </w:pPr>
          </w:p>
        </w:tc>
      </w:tr>
      <w:tr>
        <w:trPr>
          <w:trHeight w:val="235"/>
        </w:trPr>
        <w:tc>
          <w:tcPr>
            <w:tcW w:w="100" w:type="dxa"/>
            <w:vAlign w:val="bottom"/>
            <w:shd w:val="clear" w:color="auto" w:fill="F2F3F2"/>
          </w:tcPr>
          <w:p>
            <w:pPr>
              <w:spacing w:after="0"/>
              <w:rPr>
                <w:sz w:val="20"/>
                <w:szCs w:val="20"/>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Enable our “Team Huron”</w:t>
            </w:r>
          </w:p>
        </w:tc>
        <w:tc>
          <w:tcPr>
            <w:tcW w:w="120" w:type="dxa"/>
            <w:vAlign w:val="bottom"/>
            <w:tcBorders>
              <w:right w:val="single" w:sz="8" w:color="B2B3B6"/>
            </w:tcBorders>
            <w:shd w:val="clear" w:color="auto" w:fill="F2F3F2"/>
          </w:tcPr>
          <w:p>
            <w:pPr>
              <w:spacing w:after="0"/>
              <w:rPr>
                <w:sz w:val="20"/>
                <w:szCs w:val="20"/>
                <w:color w:val="auto"/>
              </w:rPr>
            </w:pPr>
          </w:p>
        </w:tc>
        <w:tc>
          <w:tcPr>
            <w:tcW w:w="80" w:type="dxa"/>
            <w:vAlign w:val="bottom"/>
            <w:shd w:val="clear" w:color="auto" w:fill="F2F3F2"/>
          </w:tcPr>
          <w:p>
            <w:pPr>
              <w:spacing w:after="0"/>
              <w:rPr>
                <w:sz w:val="20"/>
                <w:szCs w:val="20"/>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Attract and retain</w:t>
            </w:r>
          </w:p>
        </w:tc>
        <w:tc>
          <w:tcPr>
            <w:tcW w:w="120" w:type="dxa"/>
            <w:vAlign w:val="bottom"/>
            <w:tcBorders>
              <w:right w:val="single" w:sz="8" w:color="B2B3B6"/>
            </w:tcBorders>
            <w:shd w:val="clear" w:color="auto" w:fill="F2F3F2"/>
          </w:tcPr>
          <w:p>
            <w:pPr>
              <w:spacing w:after="0"/>
              <w:rPr>
                <w:sz w:val="20"/>
                <w:szCs w:val="20"/>
                <w:color w:val="auto"/>
              </w:rPr>
            </w:pPr>
          </w:p>
        </w:tc>
        <w:tc>
          <w:tcPr>
            <w:tcW w:w="80" w:type="dxa"/>
            <w:vAlign w:val="bottom"/>
            <w:shd w:val="clear" w:color="auto" w:fill="F2F3F2"/>
          </w:tcPr>
          <w:p>
            <w:pPr>
              <w:spacing w:after="0"/>
              <w:rPr>
                <w:sz w:val="20"/>
                <w:szCs w:val="20"/>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Reward leaders for delivering</w:t>
            </w:r>
          </w:p>
        </w:tc>
        <w:tc>
          <w:tcPr>
            <w:tcW w:w="60" w:type="dxa"/>
            <w:vAlign w:val="bottom"/>
            <w:shd w:val="clear" w:color="auto" w:fill="F2F3F2"/>
          </w:tcPr>
          <w:p>
            <w:pPr>
              <w:spacing w:after="0"/>
              <w:rPr>
                <w:sz w:val="20"/>
                <w:szCs w:val="20"/>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Implement and execute on</w:t>
            </w: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integrated operating model by</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extraordinary leaders who</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profitable growth and balance</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robust practices that lie at the</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holding leaders accountable</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both model our Leadership</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the achievement of financial</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heart of what the</w:t>
            </w: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for delivering challenging, but</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Principles and enable our</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and non-financial results,</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Compensation Committee</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achievable, goals that align</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purpose-driven culture by</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emphasizing our clients,</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considers good governance as</w:t>
            </w:r>
          </w:p>
        </w:tc>
        <w:tc>
          <w:tcPr>
            <w:tcW w:w="0" w:type="dxa"/>
            <w:vAlign w:val="bottom"/>
          </w:tcPr>
          <w:p>
            <w:pPr>
              <w:spacing w:after="0"/>
              <w:rPr>
                <w:sz w:val="1"/>
                <w:szCs w:val="1"/>
                <w:color w:val="auto"/>
              </w:rPr>
            </w:pPr>
          </w:p>
        </w:tc>
      </w:tr>
      <w:tr>
        <w:trPr>
          <w:trHeight w:val="162"/>
        </w:trPr>
        <w:tc>
          <w:tcPr>
            <w:tcW w:w="100" w:type="dxa"/>
            <w:vAlign w:val="bottom"/>
            <w:shd w:val="clear" w:color="auto" w:fill="F2F3F2"/>
          </w:tcPr>
          <w:p>
            <w:pPr>
              <w:spacing w:after="0"/>
              <w:rPr>
                <w:sz w:val="14"/>
                <w:szCs w:val="1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with the long-term interests of</w:t>
            </w: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providing a competitive total</w:t>
            </w: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communities and employees.</w:t>
            </w:r>
          </w:p>
        </w:tc>
        <w:tc>
          <w:tcPr>
            <w:tcW w:w="60" w:type="dxa"/>
            <w:vAlign w:val="bottom"/>
            <w:shd w:val="clear" w:color="auto" w:fill="F2F3F2"/>
          </w:tcPr>
          <w:p>
            <w:pPr>
              <w:spacing w:after="0"/>
              <w:rPr>
                <w:sz w:val="14"/>
                <w:szCs w:val="14"/>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they review our compensation</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our stockholders.</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rewards program compared to</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programs and adopt policies</w:t>
            </w: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companies with whom we</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that mitigate risk and</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compete for business and</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incentivize long-term results.</w:t>
            </w:r>
          </w:p>
        </w:tc>
        <w:tc>
          <w:tcPr>
            <w:tcW w:w="0" w:type="dxa"/>
            <w:vAlign w:val="bottom"/>
          </w:tcPr>
          <w:p>
            <w:pPr>
              <w:spacing w:after="0"/>
              <w:rPr>
                <w:sz w:val="1"/>
                <w:szCs w:val="1"/>
                <w:color w:val="auto"/>
              </w:rPr>
            </w:pPr>
          </w:p>
        </w:tc>
      </w:tr>
      <w:tr>
        <w:trPr>
          <w:trHeight w:val="205"/>
        </w:trPr>
        <w:tc>
          <w:tcPr>
            <w:tcW w:w="100" w:type="dxa"/>
            <w:vAlign w:val="bottom"/>
            <w:tcBorders>
              <w:bottom w:val="single" w:sz="8" w:color="F2F3F2"/>
            </w:tcBorders>
            <w:shd w:val="clear" w:color="auto" w:fill="F2F3F2"/>
          </w:tcPr>
          <w:p>
            <w:pPr>
              <w:spacing w:after="0"/>
              <w:rPr>
                <w:sz w:val="17"/>
                <w:szCs w:val="17"/>
                <w:color w:val="auto"/>
              </w:rPr>
            </w:pPr>
          </w:p>
        </w:tc>
        <w:tc>
          <w:tcPr>
            <w:tcW w:w="2060" w:type="dxa"/>
            <w:vAlign w:val="bottom"/>
            <w:tcBorders>
              <w:bottom w:val="single" w:sz="8" w:color="F2F3F2"/>
            </w:tcBorders>
            <w:shd w:val="clear" w:color="auto" w:fill="F2F3F2"/>
          </w:tcPr>
          <w:p>
            <w:pPr>
              <w:spacing w:after="0"/>
              <w:rPr>
                <w:sz w:val="17"/>
                <w:szCs w:val="17"/>
                <w:color w:val="auto"/>
              </w:rPr>
            </w:pPr>
          </w:p>
        </w:tc>
        <w:tc>
          <w:tcPr>
            <w:tcW w:w="120" w:type="dxa"/>
            <w:vAlign w:val="bottom"/>
            <w:tcBorders>
              <w:bottom w:val="single" w:sz="8" w:color="F2F3F2"/>
              <w:right w:val="single" w:sz="8" w:color="B2B3B6"/>
            </w:tcBorders>
            <w:shd w:val="clear" w:color="auto" w:fill="F2F3F2"/>
          </w:tcPr>
          <w:p>
            <w:pPr>
              <w:spacing w:after="0"/>
              <w:rPr>
                <w:sz w:val="17"/>
                <w:szCs w:val="17"/>
                <w:color w:val="auto"/>
              </w:rPr>
            </w:pPr>
          </w:p>
        </w:tc>
        <w:tc>
          <w:tcPr>
            <w:tcW w:w="80" w:type="dxa"/>
            <w:vAlign w:val="bottom"/>
            <w:tcBorders>
              <w:bottom w:val="single" w:sz="8" w:color="F2F3F2"/>
            </w:tcBorders>
            <w:shd w:val="clear" w:color="auto" w:fill="F2F3F2"/>
          </w:tcPr>
          <w:p>
            <w:pPr>
              <w:spacing w:after="0"/>
              <w:rPr>
                <w:sz w:val="17"/>
                <w:szCs w:val="17"/>
                <w:color w:val="auto"/>
              </w:rPr>
            </w:pPr>
          </w:p>
        </w:tc>
        <w:tc>
          <w:tcPr>
            <w:tcW w:w="2060" w:type="dxa"/>
            <w:vAlign w:val="bottom"/>
            <w:tcBorders>
              <w:bottom w:val="single" w:sz="8" w:color="F2F3F2"/>
            </w:tcBorders>
            <w:shd w:val="clear" w:color="auto" w:fill="F2F3F2"/>
          </w:tcPr>
          <w:p>
            <w:pPr>
              <w:ind w:left="40"/>
              <w:spacing w:after="0"/>
              <w:rPr>
                <w:sz w:val="20"/>
                <w:szCs w:val="20"/>
                <w:color w:val="auto"/>
              </w:rPr>
            </w:pPr>
            <w:r>
              <w:rPr>
                <w:rFonts w:ascii="Arial" w:cs="Arial" w:eastAsia="Arial" w:hAnsi="Arial"/>
                <w:sz w:val="14"/>
                <w:szCs w:val="14"/>
                <w:color w:val="auto"/>
              </w:rPr>
              <w:t>talent.</w:t>
            </w:r>
          </w:p>
        </w:tc>
        <w:tc>
          <w:tcPr>
            <w:tcW w:w="120" w:type="dxa"/>
            <w:vAlign w:val="bottom"/>
            <w:tcBorders>
              <w:bottom w:val="single" w:sz="8" w:color="F2F3F2"/>
              <w:right w:val="single" w:sz="8" w:color="B2B3B6"/>
            </w:tcBorders>
            <w:shd w:val="clear" w:color="auto" w:fill="F2F3F2"/>
          </w:tcPr>
          <w:p>
            <w:pPr>
              <w:spacing w:after="0"/>
              <w:rPr>
                <w:sz w:val="17"/>
                <w:szCs w:val="17"/>
                <w:color w:val="auto"/>
              </w:rPr>
            </w:pPr>
          </w:p>
        </w:tc>
        <w:tc>
          <w:tcPr>
            <w:tcW w:w="80" w:type="dxa"/>
            <w:vAlign w:val="bottom"/>
            <w:tcBorders>
              <w:bottom w:val="single" w:sz="8" w:color="F2F3F2"/>
            </w:tcBorders>
            <w:shd w:val="clear" w:color="auto" w:fill="F2F3F2"/>
          </w:tcPr>
          <w:p>
            <w:pPr>
              <w:spacing w:after="0"/>
              <w:rPr>
                <w:sz w:val="17"/>
                <w:szCs w:val="17"/>
                <w:color w:val="auto"/>
              </w:rPr>
            </w:pPr>
          </w:p>
        </w:tc>
        <w:tc>
          <w:tcPr>
            <w:tcW w:w="2060" w:type="dxa"/>
            <w:vAlign w:val="bottom"/>
            <w:tcBorders>
              <w:bottom w:val="single" w:sz="8" w:color="F2F3F2"/>
            </w:tcBorders>
            <w:shd w:val="clear" w:color="auto" w:fill="F2F3F2"/>
          </w:tcPr>
          <w:p>
            <w:pPr>
              <w:spacing w:after="0"/>
              <w:rPr>
                <w:sz w:val="17"/>
                <w:szCs w:val="17"/>
                <w:color w:val="auto"/>
              </w:rPr>
            </w:pPr>
          </w:p>
        </w:tc>
        <w:tc>
          <w:tcPr>
            <w:tcW w:w="120" w:type="dxa"/>
            <w:vAlign w:val="bottom"/>
            <w:tcBorders>
              <w:bottom w:val="single" w:sz="8" w:color="F2F3F2"/>
              <w:right w:val="single" w:sz="8" w:color="B2B3B6"/>
            </w:tcBorders>
            <w:shd w:val="clear" w:color="auto" w:fill="F2F3F2"/>
          </w:tcPr>
          <w:p>
            <w:pPr>
              <w:spacing w:after="0"/>
              <w:rPr>
                <w:sz w:val="17"/>
                <w:szCs w:val="17"/>
                <w:color w:val="auto"/>
              </w:rPr>
            </w:pPr>
          </w:p>
        </w:tc>
        <w:tc>
          <w:tcPr>
            <w:tcW w:w="60" w:type="dxa"/>
            <w:vAlign w:val="bottom"/>
            <w:tcBorders>
              <w:bottom w:val="single" w:sz="8" w:color="F2F3F2"/>
            </w:tcBorders>
            <w:shd w:val="clear" w:color="auto" w:fill="F2F3F2"/>
          </w:tcPr>
          <w:p>
            <w:pPr>
              <w:spacing w:after="0"/>
              <w:rPr>
                <w:sz w:val="17"/>
                <w:szCs w:val="17"/>
                <w:color w:val="auto"/>
              </w:rPr>
            </w:pPr>
          </w:p>
        </w:tc>
        <w:tc>
          <w:tcPr>
            <w:tcW w:w="2120" w:type="dxa"/>
            <w:vAlign w:val="bottom"/>
            <w:tcBorders>
              <w:bottom w:val="single" w:sz="8" w:color="F2F3F2"/>
            </w:tcBorders>
            <w:shd w:val="clear" w:color="auto" w:fill="F2F3F2"/>
          </w:tcPr>
          <w:p>
            <w:pPr>
              <w:spacing w:after="0"/>
              <w:rPr>
                <w:sz w:val="17"/>
                <w:szCs w:val="17"/>
                <w:color w:val="auto"/>
              </w:rPr>
            </w:pPr>
          </w:p>
        </w:tc>
        <w:tc>
          <w:tcPr>
            <w:tcW w:w="100" w:type="dxa"/>
            <w:vAlign w:val="bottom"/>
            <w:tcBorders>
              <w:bottom w:val="single" w:sz="8" w:color="F2F3F2"/>
            </w:tcBorders>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120" w:type="dxa"/>
            <w:vAlign w:val="bottom"/>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iii</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342900</wp:posOffset>
            </wp:positionV>
            <wp:extent cx="6810375" cy="6728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6728460"/>
                    </a:xfrm>
                    <a:prstGeom prst="rect">
                      <a:avLst/>
                    </a:prstGeom>
                    <a:noFill/>
                  </pic:spPr>
                </pic:pic>
              </a:graphicData>
            </a:graphic>
          </wp:anchor>
        </w:drawing>
      </w:r>
    </w:p>
    <w:p>
      <w:pPr>
        <w:sectPr>
          <w:pgSz w:w="11900" w:h="16838" w:orient="portrait"/>
          <w:cols w:equalWidth="0" w:num="1">
            <w:col w:w="9080"/>
          </w:cols>
          <w:pgMar w:left="1400" w:top="108"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B2B3B6"/>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Executive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Stockholder Three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Other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Matters</w:t>
      </w:r>
    </w:p>
    <w:p>
      <w:pPr>
        <w:spacing w:after="0" w:line="266" w:lineRule="exact"/>
        <w:rPr>
          <w:sz w:val="20"/>
          <w:szCs w:val="20"/>
          <w:color w:val="auto"/>
        </w:rPr>
      </w:pPr>
    </w:p>
    <w:p>
      <w:pPr>
        <w:sectPr>
          <w:pgSz w:w="11900" w:h="16838" w:orient="portrait"/>
          <w:cols w:equalWidth="0" w:num="5">
            <w:col w:w="1600" w:space="300"/>
            <w:col w:w="720" w:space="280"/>
            <w:col w:w="1700" w:space="320"/>
            <w:col w:w="1540" w:space="320"/>
            <w:col w:w="2300"/>
          </w:cols>
          <w:pgMar w:left="1400" w:top="108" w:right="141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Use of Equity</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Equity, which vests over three or four years, is a key component of our compensation programs, especially for our revenue-generating managing directors and principals and executive officers, in order to foster an ownership mindset and to align those employees' interests with the Company and stockholders. As shown below, the majority of our leaders’ compensation opportunities are at-risk and performance-based, of which a significant portion is provided in equity; and, over the last three years, 84% of total shares granted under our Amended and Restated 2012 Omnibus Incentive Plan were granted to our revenue-generating managing directors and principals.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2220" w:type="dxa"/>
            <w:vAlign w:val="bottom"/>
          </w:tcPr>
          <w:p>
            <w:pPr>
              <w:jc w:val="center"/>
              <w:ind w:right="248"/>
              <w:spacing w:after="0"/>
              <w:rPr>
                <w:sz w:val="20"/>
                <w:szCs w:val="20"/>
                <w:color w:val="auto"/>
              </w:rPr>
            </w:pPr>
            <w:r>
              <w:rPr>
                <w:rFonts w:ascii="Arial" w:cs="Arial" w:eastAsia="Arial" w:hAnsi="Arial"/>
                <w:sz w:val="14"/>
                <w:szCs w:val="14"/>
                <w:b w:val="1"/>
                <w:bCs w:val="1"/>
                <w:color w:val="6AAA37"/>
              </w:rPr>
              <w:t>TOTAL SHARES GRANTED</w:t>
            </w:r>
          </w:p>
        </w:tc>
        <w:tc>
          <w:tcPr>
            <w:tcW w:w="2080" w:type="dxa"/>
            <w:vAlign w:val="bottom"/>
          </w:tcPr>
          <w:p>
            <w:pPr>
              <w:spacing w:after="0"/>
              <w:rPr>
                <w:sz w:val="14"/>
                <w:szCs w:val="14"/>
                <w:color w:val="auto"/>
              </w:rPr>
            </w:pPr>
          </w:p>
        </w:tc>
        <w:tc>
          <w:tcPr>
            <w:tcW w:w="2240" w:type="dxa"/>
            <w:vAlign w:val="bottom"/>
          </w:tcPr>
          <w:p>
            <w:pPr>
              <w:jc w:val="center"/>
              <w:ind w:left="48"/>
              <w:spacing w:after="0"/>
              <w:rPr>
                <w:sz w:val="20"/>
                <w:szCs w:val="20"/>
                <w:color w:val="auto"/>
              </w:rPr>
            </w:pPr>
            <w:r>
              <w:rPr>
                <w:rFonts w:ascii="Arial" w:cs="Arial" w:eastAsia="Arial" w:hAnsi="Arial"/>
                <w:sz w:val="14"/>
                <w:szCs w:val="14"/>
                <w:b w:val="1"/>
                <w:bCs w:val="1"/>
                <w:color w:val="6AAA37"/>
              </w:rPr>
              <w:t>2025 OTHER NEOS</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6AAA37"/>
              </w:rPr>
              <w:t>MANAGING DIRECTOR</w:t>
            </w:r>
          </w:p>
        </w:tc>
      </w:tr>
      <w:tr>
        <w:trPr>
          <w:trHeight w:val="175"/>
        </w:trPr>
        <w:tc>
          <w:tcPr>
            <w:tcW w:w="2220" w:type="dxa"/>
            <w:vAlign w:val="bottom"/>
          </w:tcPr>
          <w:p>
            <w:pPr>
              <w:jc w:val="center"/>
              <w:ind w:right="248"/>
              <w:spacing w:after="0"/>
              <w:rPr>
                <w:sz w:val="20"/>
                <w:szCs w:val="20"/>
                <w:color w:val="auto"/>
              </w:rPr>
            </w:pPr>
            <w:r>
              <w:rPr>
                <w:rFonts w:ascii="Arial" w:cs="Arial" w:eastAsia="Arial" w:hAnsi="Arial"/>
                <w:sz w:val="14"/>
                <w:szCs w:val="14"/>
                <w:b w:val="1"/>
                <w:bCs w:val="1"/>
                <w:color w:val="6AAA37"/>
              </w:rPr>
              <w:t>(THREE-YEAR HISTORICAL</w:t>
            </w:r>
          </w:p>
        </w:tc>
        <w:tc>
          <w:tcPr>
            <w:tcW w:w="2080" w:type="dxa"/>
            <w:vAlign w:val="bottom"/>
          </w:tcPr>
          <w:p>
            <w:pPr>
              <w:ind w:left="340"/>
              <w:spacing w:after="0"/>
              <w:rPr>
                <w:sz w:val="20"/>
                <w:szCs w:val="20"/>
                <w:color w:val="auto"/>
              </w:rPr>
            </w:pPr>
            <w:r>
              <w:rPr>
                <w:rFonts w:ascii="Arial" w:cs="Arial" w:eastAsia="Arial" w:hAnsi="Arial"/>
                <w:sz w:val="14"/>
                <w:szCs w:val="14"/>
                <w:b w:val="1"/>
                <w:bCs w:val="1"/>
                <w:color w:val="6AAA37"/>
              </w:rPr>
              <w:t>2025 CEO PAY MIX</w:t>
            </w:r>
          </w:p>
        </w:tc>
        <w:tc>
          <w:tcPr>
            <w:tcW w:w="2240" w:type="dxa"/>
            <w:vAlign w:val="bottom"/>
          </w:tcPr>
          <w:p>
            <w:pPr>
              <w:jc w:val="center"/>
              <w:ind w:left="8"/>
              <w:spacing w:after="0"/>
              <w:rPr>
                <w:sz w:val="20"/>
                <w:szCs w:val="20"/>
                <w:color w:val="auto"/>
              </w:rPr>
            </w:pPr>
            <w:r>
              <w:rPr>
                <w:rFonts w:ascii="Arial" w:cs="Arial" w:eastAsia="Arial" w:hAnsi="Arial"/>
                <w:sz w:val="14"/>
                <w:szCs w:val="14"/>
                <w:b w:val="1"/>
                <w:bCs w:val="1"/>
                <w:color w:val="6AAA37"/>
                <w:w w:val="99"/>
              </w:rPr>
              <w:t>(AVERAGE) PAY MIX</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6AAA37"/>
              </w:rPr>
              <w:t>(AVERAGE) PAY MIX AT</w:t>
            </w:r>
          </w:p>
        </w:tc>
      </w:tr>
      <w:tr>
        <w:trPr>
          <w:trHeight w:val="196"/>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6AAA37"/>
              </w:rPr>
              <w:t>AVERAGE)</w:t>
            </w:r>
          </w:p>
        </w:tc>
        <w:tc>
          <w:tcPr>
            <w:tcW w:w="2080" w:type="dxa"/>
            <w:vAlign w:val="bottom"/>
          </w:tcPr>
          <w:p>
            <w:pPr>
              <w:ind w:left="600"/>
              <w:spacing w:after="0"/>
              <w:rPr>
                <w:sz w:val="20"/>
                <w:szCs w:val="20"/>
                <w:color w:val="auto"/>
              </w:rPr>
            </w:pPr>
            <w:r>
              <w:rPr>
                <w:rFonts w:ascii="Arial" w:cs="Arial" w:eastAsia="Arial" w:hAnsi="Arial"/>
                <w:sz w:val="14"/>
                <w:szCs w:val="14"/>
                <w:b w:val="1"/>
                <w:bCs w:val="1"/>
                <w:color w:val="6AAA37"/>
              </w:rPr>
              <w:t>AT TARGET</w:t>
            </w:r>
          </w:p>
        </w:tc>
        <w:tc>
          <w:tcPr>
            <w:tcW w:w="2240" w:type="dxa"/>
            <w:vAlign w:val="bottom"/>
          </w:tcPr>
          <w:p>
            <w:pPr>
              <w:jc w:val="center"/>
              <w:ind w:left="88"/>
              <w:spacing w:after="0"/>
              <w:rPr>
                <w:sz w:val="20"/>
                <w:szCs w:val="20"/>
                <w:color w:val="auto"/>
              </w:rPr>
            </w:pPr>
            <w:r>
              <w:rPr>
                <w:rFonts w:ascii="Arial" w:cs="Arial" w:eastAsia="Arial" w:hAnsi="Arial"/>
                <w:sz w:val="14"/>
                <w:szCs w:val="14"/>
                <w:b w:val="1"/>
                <w:bCs w:val="1"/>
                <w:color w:val="6AAA37"/>
                <w:w w:val="99"/>
              </w:rPr>
              <w:t>AT TARGET</w:t>
            </w:r>
          </w:p>
        </w:tc>
        <w:tc>
          <w:tcPr>
            <w:tcW w:w="2000" w:type="dxa"/>
            <w:vAlign w:val="bottom"/>
          </w:tcPr>
          <w:p>
            <w:pPr>
              <w:jc w:val="right"/>
              <w:ind w:right="408"/>
              <w:spacing w:after="0"/>
              <w:rPr>
                <w:sz w:val="20"/>
                <w:szCs w:val="20"/>
                <w:color w:val="auto"/>
              </w:rPr>
            </w:pPr>
            <w:r>
              <w:rPr>
                <w:rFonts w:ascii="Arial" w:cs="Arial" w:eastAsia="Arial" w:hAnsi="Arial"/>
                <w:sz w:val="14"/>
                <w:szCs w:val="14"/>
                <w:b w:val="1"/>
                <w:bCs w:val="1"/>
                <w:color w:val="6AAA37"/>
              </w:rPr>
              <w:t>TARGET</w:t>
            </w:r>
          </w:p>
        </w:tc>
      </w:tr>
    </w:tbl>
    <w:p>
      <w:pPr>
        <w:sectPr>
          <w:pgSz w:w="11900" w:h="16838" w:orient="portrait"/>
          <w:cols w:equalWidth="0" w:num="1">
            <w:col w:w="9080"/>
          </w:cols>
          <w:pgMar w:left="1400" w:top="108" w:right="14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127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iv</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342900</wp:posOffset>
            </wp:positionV>
            <wp:extent cx="6810375" cy="830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8305800"/>
                    </a:xfrm>
                    <a:prstGeom prst="rect">
                      <a:avLst/>
                    </a:prstGeom>
                    <a:noFill/>
                  </pic:spPr>
                </pic:pic>
              </a:graphicData>
            </a:graphic>
          </wp:anchor>
        </w:drawing>
      </w:r>
    </w:p>
    <w:p>
      <w:pPr>
        <w:sectPr>
          <w:pgSz w:w="11900" w:h="16838" w:orient="portrait"/>
          <w:cols w:equalWidth="0" w:num="1">
            <w:col w:w="9059"/>
          </w:cols>
          <w:pgMar w:left="1400" w:top="1440"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6AAA37"/>
        </w:rPr>
        <w:t xml:space="preserve">General </w:t>
      </w:r>
      <w:r>
        <w:rPr>
          <w:rFonts w:ascii="Arial" w:cs="Arial" w:eastAsia="Arial" w:hAnsi="Arial"/>
          <w:sz w:val="13"/>
          <w:szCs w:val="13"/>
          <w:b w:val="1"/>
          <w:bCs w:val="1"/>
          <w:color w:val="B2B3B6"/>
        </w:rPr>
        <w:t>Proposal</w:t>
      </w:r>
      <w:r>
        <w:rPr>
          <w:rFonts w:ascii="Arial" w:cs="Arial" w:eastAsia="Arial" w:hAnsi="Arial"/>
          <w:sz w:val="13"/>
          <w:szCs w:val="13"/>
          <w:b w:val="1"/>
          <w:bCs w:val="1"/>
          <w:color w:val="6AAA37"/>
        </w:rPr>
        <w:t xml:space="preserve"> Information </w:t>
      </w:r>
      <w:r>
        <w:rPr>
          <w:rFonts w:ascii="Arial" w:cs="Arial" w:eastAsia="Arial" w:hAnsi="Arial"/>
          <w:sz w:val="13"/>
          <w:szCs w:val="13"/>
          <w:b w:val="1"/>
          <w:bCs w:val="1"/>
          <w:color w:val="B2B3B6"/>
        </w:rPr>
        <w: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39"/>
        <w:spacing w:after="0" w:line="274" w:lineRule="auto"/>
        <w:rPr>
          <w:sz w:val="20"/>
          <w:szCs w:val="20"/>
          <w:color w:val="auto"/>
        </w:rPr>
      </w:pPr>
      <w:r>
        <w:rPr>
          <w:rFonts w:ascii="Arial" w:cs="Arial" w:eastAsia="Arial" w:hAnsi="Arial"/>
          <w:sz w:val="13"/>
          <w:szCs w:val="13"/>
          <w:b w:val="1"/>
          <w:bCs w:val="1"/>
          <w:color w:val="B2B3B6"/>
        </w:rPr>
        <w:t>Corporate Proposal Executive Proposal Stockholder Other Governance Two Compensation Three Proposals Matters</w:t>
      </w:r>
    </w:p>
    <w:p>
      <w:pPr>
        <w:spacing w:after="0" w:line="200" w:lineRule="exact"/>
        <w:rPr>
          <w:sz w:val="20"/>
          <w:szCs w:val="20"/>
          <w:color w:val="auto"/>
        </w:rPr>
      </w:pPr>
    </w:p>
    <w:p>
      <w:pPr>
        <w:sectPr>
          <w:pgSz w:w="11900" w:h="16838" w:orient="portrait"/>
          <w:cols w:equalWidth="0" w:num="2">
            <w:col w:w="1600" w:space="300"/>
            <w:col w:w="7159"/>
          </w:cols>
          <w:pgMar w:left="1400" w:top="1440" w:right="1440" w:bottom="4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79"/>
        <w:spacing w:after="0" w:line="245" w:lineRule="auto"/>
        <w:rPr>
          <w:sz w:val="20"/>
          <w:szCs w:val="20"/>
          <w:color w:val="auto"/>
        </w:rPr>
      </w:pPr>
      <w:r>
        <w:rPr>
          <w:rFonts w:ascii="Arial" w:cs="Arial" w:eastAsia="Arial" w:hAnsi="Arial"/>
          <w:sz w:val="54"/>
          <w:szCs w:val="54"/>
          <w:color w:val="00558C"/>
        </w:rPr>
        <w:t>Proxy Statement for Annual Meeting of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To be held May 8, 2026</w:t>
      </w:r>
    </w:p>
    <w:p>
      <w:pPr>
        <w:spacing w:after="0" w:line="200" w:lineRule="exact"/>
        <w:rPr>
          <w:sz w:val="20"/>
          <w:szCs w:val="20"/>
          <w:color w:val="auto"/>
        </w:rPr>
      </w:pPr>
    </w:p>
    <w:p>
      <w:pPr>
        <w:spacing w:after="0" w:line="216" w:lineRule="exact"/>
        <w:rPr>
          <w:sz w:val="20"/>
          <w:szCs w:val="20"/>
          <w:color w:val="auto"/>
        </w:rPr>
      </w:pPr>
    </w:p>
    <w:p>
      <w:pPr>
        <w:ind w:right="119"/>
        <w:spacing w:after="0" w:line="293" w:lineRule="auto"/>
        <w:rPr>
          <w:sz w:val="20"/>
          <w:szCs w:val="20"/>
          <w:color w:val="auto"/>
        </w:rPr>
      </w:pPr>
      <w:r>
        <w:rPr>
          <w:rFonts w:ascii="Arial" w:cs="Arial" w:eastAsia="Arial" w:hAnsi="Arial"/>
          <w:sz w:val="16"/>
          <w:szCs w:val="16"/>
          <w:color w:val="auto"/>
        </w:rPr>
        <w:t>We are utilizing the Securities and Exchange Commission (“SEC”) rules that allow companies to furnish proxy materials to their stockholders over the Internet. On or about March 20, 2026, we mailed to stockholders of record on the record date a Notice of Internet Availability of Proxy Materials (the “Notice”) containing instructions on how to access this Proxy Statement and our Annual Report to Stockholders online. If you received a Notice by mail, you will not automatically receive a printed copy of our proxy materials in the mail. You may request a paper copy of our proxy materials by mail or an electronic copy by e-mail by following the instructions listed on the Notice. The Notice also contains instructions for voting over the Internet.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General Information About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5" w:lineRule="exact"/>
        <w:rPr>
          <w:sz w:val="20"/>
          <w:szCs w:val="20"/>
          <w:color w:val="auto"/>
        </w:rPr>
      </w:pPr>
    </w:p>
    <w:p>
      <w:pPr>
        <w:ind w:right="19"/>
        <w:spacing w:after="0" w:line="296" w:lineRule="auto"/>
        <w:rPr>
          <w:sz w:val="20"/>
          <w:szCs w:val="20"/>
          <w:color w:val="auto"/>
        </w:rPr>
      </w:pPr>
      <w:r>
        <w:rPr>
          <w:rFonts w:ascii="Arial" w:cs="Arial" w:eastAsia="Arial" w:hAnsi="Arial"/>
          <w:sz w:val="16"/>
          <w:szCs w:val="16"/>
          <w:color w:val="auto"/>
        </w:rPr>
        <w:t>Huron Consulting Group Inc. (the “Company,” “Huron,” “we” or “us”)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9, 2026 (the “Record Date”) will be entitled to vote at the Annual Meeting. As of the Record Date, there were 16,576,712 shares of common stock issued and outstanding.</w:t>
      </w:r>
    </w:p>
    <w:p>
      <w:pPr>
        <w:spacing w:after="0" w:line="107" w:lineRule="exact"/>
        <w:rPr>
          <w:sz w:val="20"/>
          <w:szCs w:val="20"/>
          <w:color w:val="auto"/>
        </w:rPr>
      </w:pPr>
    </w:p>
    <w:p>
      <w:pPr>
        <w:ind w:right="119"/>
        <w:spacing w:after="0" w:line="296" w:lineRule="auto"/>
        <w:rPr>
          <w:sz w:val="20"/>
          <w:szCs w:val="20"/>
          <w:color w:val="auto"/>
        </w:rPr>
      </w:pPr>
      <w:r>
        <w:rPr>
          <w:rFonts w:ascii="Arial" w:cs="Arial" w:eastAsia="Arial" w:hAnsi="Arial"/>
          <w:sz w:val="16"/>
          <w:szCs w:val="16"/>
          <w:color w:val="auto"/>
        </w:rPr>
        <w:t>The proxy is solicited from the holders of record of the common stock on behalf of the board of directors of the Company (the “Board of Directors” or the “board”)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at the Annual Meeting.</w:t>
      </w:r>
    </w:p>
    <w:p>
      <w:pPr>
        <w:spacing w:after="0" w:line="107" w:lineRule="exact"/>
        <w:rPr>
          <w:sz w:val="20"/>
          <w:szCs w:val="20"/>
          <w:color w:val="auto"/>
        </w:rPr>
      </w:pPr>
    </w:p>
    <w:p>
      <w:pPr>
        <w:ind w:right="19"/>
        <w:spacing w:after="0" w:line="291"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at the Annual Meeting, you must obtain a proxy from your bank or broker. You must request the proxy from your bank or broker; it will not automatically provide one to you.</w:t>
      </w:r>
    </w:p>
    <w:p>
      <w:pPr>
        <w:spacing w:after="0" w:line="113" w:lineRule="exact"/>
        <w:rPr>
          <w:sz w:val="20"/>
          <w:szCs w:val="20"/>
          <w:color w:val="auto"/>
        </w:rPr>
      </w:pPr>
    </w:p>
    <w:p>
      <w:pPr>
        <w:ind w:right="99"/>
        <w:spacing w:after="0" w:line="310"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97" w:lineRule="exact"/>
        <w:rPr>
          <w:sz w:val="20"/>
          <w:szCs w:val="20"/>
          <w:color w:val="auto"/>
        </w:rPr>
      </w:pPr>
    </w:p>
    <w:p>
      <w:pPr>
        <w:ind w:right="159"/>
        <w:spacing w:after="0" w:line="291"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Annual Meeting for any business to be conducted. Shares of common stock entitled to vote and represented by properly executed, returned and unrevoked proxies, including shares with respect to which votes are withheld, abstentions are cast or there are broker non-votes resulting from uninstructed shares on some proposals but not others, will be considered present at the Annual Meeting for purposes of determining a quorum.</w:t>
      </w:r>
    </w:p>
    <w:p>
      <w:pPr>
        <w:sectPr>
          <w:pgSz w:w="11900" w:h="16838" w:orient="portrait"/>
          <w:cols w:equalWidth="0" w:num="1">
            <w:col w:w="9059"/>
          </w:cols>
          <w:pgMar w:left="1400" w:top="1440" w:right="1440" w:bottom="426" w:gutter="0" w:footer="0" w:header="0"/>
          <w:type w:val="continuous"/>
        </w:sectPr>
      </w:pPr>
    </w:p>
    <w:bookmarkStart w:id="11" w:name="page12"/>
    <w:bookmarkEnd w:id="11"/>
    <w:p>
      <w:pPr>
        <w:ind w:left="60"/>
        <w:spacing w:after="0"/>
        <w:tabs>
          <w:tab w:leader="none" w:pos="450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50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550545"/>
                    </a:xfrm>
                    <a:prstGeom prst="rect">
                      <a:avLst/>
                    </a:prstGeom>
                    <a:noFill/>
                  </pic:spPr>
                </pic:pic>
              </a:graphicData>
            </a:graphic>
          </wp:anchor>
        </w:drawing>
        <w:t>Huron Consulting Group Inc.</w:t>
      </w:r>
      <w:r>
        <w:rPr>
          <w:sz w:val="20"/>
          <w:szCs w:val="20"/>
          <w:color w:val="auto"/>
        </w:rPr>
        <w:tab/>
      </w:r>
      <w:r>
        <w:rPr>
          <w:rFonts w:ascii="Arial" w:cs="Arial" w:eastAsia="Arial" w:hAnsi="Arial"/>
          <w:sz w:val="25"/>
          <w:szCs w:val="25"/>
          <w:b w:val="1"/>
          <w:bCs w:val="1"/>
          <w:color w:val="00558C"/>
          <w:vertAlign w:val="superscript"/>
        </w:rPr>
        <w:t>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67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59"/>
          </w:cols>
          <w:pgMar w:left="1400" w:top="32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54"/>
          <w:szCs w:val="54"/>
          <w:color w:val="00558C"/>
        </w:rPr>
        <w:t>Proposal One</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Election of Directors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of Directors</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Company’s Restated Certificate of Incorporation previously divided the board into three classes, with each class being elected to a three-year term. At the 2023 Annual Meeting of Stockholders, the stockholders approved an amendment to the Company's Restated Certificate of Incorporation to declassify the board over a three-year period. Therefore, all of the directors will be nominated to stand for election at the 2026 Annual Meeting, each of whom will serve a one-year term if elected.</w:t>
      </w:r>
    </w:p>
    <w:p>
      <w:pPr>
        <w:spacing w:after="0" w:line="58"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color w:val="auto"/>
        </w:rPr>
        <w:t>The board has nominated Joy T. Brown, C. Mark Hussey, H. Eugene Lockhart, Peter K. Markell, John McCartney, James H. Roth, Hugh E. Sawyer and Debra Zumwalt as director nominees to be voted upon at the 2026 Annual Meeting, to serve terms ending at the 2027 Annual Meeting and until such director’s successor is duly elected and qualified, or until such director’s earlier death, resignation, retirement, disqualification or removal. All nominees are currently serving as Huron directors. Ekta Singh-Bushell will not stand for re-election and will no longer serve on the board upon election of the director nominees at the 2026 Annual Meeting. The size of the board will be decreased to eight directors immediately upon election of directors at the 2026 Annual Meeting.</w:t>
      </w:r>
    </w:p>
    <w:p>
      <w:pPr>
        <w:spacing w:after="0" w:line="58"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director nominees to the board and the other matters described herein. The board is not aware of any reason that the director nominees might be unavailable to serve as a director, and each has expressed an intention to serve, if elected. If any of the director nominees are unable to serve, the shares represented by all valid proxies will be voted “FOR” the election of such substitute nominee as the board may recommend. There are no arrangements or understandings between any of the persons nominated to be a director and any other person pursuant to which any of such nominees were selected.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140"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Annual Meeting. A “plurality” means that the individuals who receive the largest number of votes are elected as directors up to the maximum number of directors to be elected at the Annual Meeting. Therefore, votes to withhold and “broker non-votes” will have no impact on the election of directors. Properly executed proxies submitted pursuant to this solicitation will be voted “FOR” the election of Ms. Brown, Mr. Hussey, Mr. Lockhart, Mr. Markell, Mr. McCartney, Mr. Roth, Mr. Sawyer and Ms. Zumwalt as directors, unless specified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99"/>
        <w:spacing w:after="0" w:line="364" w:lineRule="auto"/>
        <w:rPr>
          <w:sz w:val="20"/>
          <w:szCs w:val="20"/>
          <w:color w:val="auto"/>
        </w:rPr>
      </w:pPr>
      <w:r>
        <w:rPr>
          <w:rFonts w:ascii="Arial" w:cs="Arial" w:eastAsia="Arial" w:hAnsi="Arial"/>
          <w:sz w:val="21"/>
          <w:szCs w:val="21"/>
          <w:b w:val="1"/>
          <w:bCs w:val="1"/>
          <w:color w:val="FFFFFF"/>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59"/>
        <w:spacing w:after="0" w:line="272" w:lineRule="auto"/>
        <w:rPr>
          <w:sz w:val="20"/>
          <w:szCs w:val="20"/>
          <w:color w:val="auto"/>
        </w:rPr>
      </w:pPr>
      <w:r>
        <w:rPr>
          <w:rFonts w:ascii="Arial" w:cs="Arial" w:eastAsia="Arial" w:hAnsi="Arial"/>
          <w:sz w:val="17"/>
          <w:szCs w:val="17"/>
          <w:color w:val="FFFFFF"/>
        </w:rPr>
        <w:t xml:space="preserve">The Board of Directors recommends that stockholders vote </w:t>
      </w:r>
      <w:r>
        <w:rPr>
          <w:rFonts w:ascii="Arial" w:cs="Arial" w:eastAsia="Arial" w:hAnsi="Arial"/>
          <w:sz w:val="17"/>
          <w:szCs w:val="17"/>
          <w:b w:val="1"/>
          <w:bCs w:val="1"/>
          <w:color w:val="FFFFFF"/>
        </w:rPr>
        <w:t>FOR</w:t>
      </w:r>
      <w:r>
        <w:rPr>
          <w:rFonts w:ascii="Arial" w:cs="Arial" w:eastAsia="Arial" w:hAnsi="Arial"/>
          <w:sz w:val="17"/>
          <w:szCs w:val="17"/>
          <w:color w:val="FFFFFF"/>
        </w:rPr>
        <w:t xml:space="preserve"> the election of Ms. Brown, Mr. Hussey, Mr. Lockhart, Mr. Markell, Mr. McCartney, Mr. Roth, Mr. Sawyer and Ms. Zumwalt.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Independence</w:t>
      </w:r>
    </w:p>
    <w:p>
      <w:pPr>
        <w:spacing w:after="0" w:line="45" w:lineRule="exact"/>
        <w:rPr>
          <w:sz w:val="20"/>
          <w:szCs w:val="20"/>
          <w:color w:val="auto"/>
        </w:rPr>
      </w:pPr>
    </w:p>
    <w:p>
      <w:pPr>
        <w:spacing w:after="0"/>
        <w:rPr>
          <w:sz w:val="20"/>
          <w:szCs w:val="20"/>
          <w:color w:val="auto"/>
        </w:rPr>
      </w:pPr>
      <w:r>
        <w:rPr>
          <w:rFonts w:ascii="Arial" w:cs="Arial" w:eastAsia="Arial" w:hAnsi="Arial"/>
          <w:sz w:val="54"/>
          <w:szCs w:val="54"/>
          <w:color w:val="6AAA37"/>
        </w:rPr>
        <w:t>75%</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6 of our 8 Director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Nominees 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Attendance</w:t>
      </w:r>
    </w:p>
    <w:p>
      <w:pPr>
        <w:spacing w:after="0" w:line="45" w:lineRule="exact"/>
        <w:rPr>
          <w:sz w:val="20"/>
          <w:szCs w:val="20"/>
          <w:color w:val="auto"/>
        </w:rPr>
      </w:pPr>
    </w:p>
    <w:p>
      <w:pPr>
        <w:spacing w:after="0"/>
        <w:rPr>
          <w:sz w:val="20"/>
          <w:szCs w:val="20"/>
          <w:color w:val="auto"/>
        </w:rPr>
      </w:pPr>
      <w:r>
        <w:rPr>
          <w:rFonts w:ascii="Arial" w:cs="Arial" w:eastAsia="Arial" w:hAnsi="Arial"/>
          <w:sz w:val="54"/>
          <w:szCs w:val="54"/>
          <w:color w:val="6AAA37"/>
        </w:rPr>
        <w:t>97%</w:t>
      </w:r>
    </w:p>
    <w:p>
      <w:pPr>
        <w:spacing w:after="0" w:line="108" w:lineRule="exact"/>
        <w:rPr>
          <w:sz w:val="20"/>
          <w:szCs w:val="20"/>
          <w:color w:val="auto"/>
        </w:rPr>
      </w:pPr>
    </w:p>
    <w:p>
      <w:pPr>
        <w:ind w:right="359"/>
        <w:spacing w:after="0" w:line="265" w:lineRule="auto"/>
        <w:rPr>
          <w:sz w:val="20"/>
          <w:szCs w:val="20"/>
          <w:color w:val="auto"/>
        </w:rPr>
      </w:pPr>
      <w:r>
        <w:rPr>
          <w:rFonts w:ascii="Arial" w:cs="Arial" w:eastAsia="Arial" w:hAnsi="Arial"/>
          <w:sz w:val="16"/>
          <w:szCs w:val="16"/>
          <w:color w:val="auto"/>
        </w:rPr>
        <w:t>We had 97% overall attendance at all board and committee meetings throughout 2025</w:t>
      </w:r>
    </w:p>
    <w:p>
      <w:pPr>
        <w:spacing w:after="0" w:line="1030" w:lineRule="exact"/>
        <w:rPr>
          <w:sz w:val="20"/>
          <w:szCs w:val="20"/>
          <w:color w:val="auto"/>
        </w:rPr>
      </w:pPr>
    </w:p>
    <w:p>
      <w:pPr>
        <w:sectPr>
          <w:pgSz w:w="11900" w:h="16838" w:orient="portrait"/>
          <w:cols w:equalWidth="0" w:num="2">
            <w:col w:w="6020" w:space="720"/>
            <w:col w:w="2319"/>
          </w:cols>
          <w:pgMar w:left="1400" w:top="324" w:right="1440" w:bottom="0" w:gutter="0" w:footer="0" w:header="0"/>
          <w:type w:val="continuous"/>
        </w:sectPr>
      </w:pPr>
    </w:p>
    <w:p>
      <w:pPr>
        <w:spacing w:after="0" w:line="111"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933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59"/>
          </w:cols>
          <w:pgMar w:left="1400" w:top="324" w:right="1440" w:bottom="0" w:gutter="0" w:footer="0" w:header="0"/>
          <w:type w:val="continuous"/>
        </w:sectPr>
      </w:pPr>
    </w:p>
    <w:p>
      <w:pPr>
        <w:spacing w:after="0" w:line="314"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b w:val="1"/>
          <w:bCs w:val="1"/>
          <w:color w:val="00558C"/>
        </w:rPr>
        <w:t>About the Board</w:t>
      </w:r>
      <w:r>
        <w:rPr>
          <w:sz w:val="20"/>
          <w:szCs w:val="20"/>
          <w:color w:val="auto"/>
        </w:rPr>
        <w:tab/>
      </w:r>
      <w:r>
        <w:rPr>
          <w:rFonts w:ascii="Arial" w:cs="Arial" w:eastAsia="Arial" w:hAnsi="Arial"/>
          <w:sz w:val="16"/>
          <w:szCs w:val="16"/>
          <w:color w:val="FFFFFF"/>
          <w:vertAlign w:val="superscript"/>
        </w:rPr>
        <w:t>4</w:t>
      </w:r>
    </w:p>
    <w:p>
      <w:pPr>
        <w:sectPr>
          <w:pgSz w:w="11900" w:h="16838" w:orient="portrait"/>
          <w:cols w:equalWidth="0" w:num="1">
            <w:col w:w="9059"/>
          </w:cols>
          <w:pgMar w:left="1400" w:top="324" w:right="1440" w:bottom="0" w:gutter="0" w:footer="0" w:header="0"/>
          <w:type w:val="continuous"/>
        </w:sectPr>
      </w:pPr>
    </w:p>
    <w:bookmarkStart w:id="12" w:name="page13"/>
    <w:bookmarkEnd w:id="12"/>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922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7922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69"/>
        </w:trPr>
        <w:tc>
          <w:tcPr>
            <w:tcW w:w="1720" w:type="dxa"/>
            <w:vAlign w:val="bottom"/>
            <w:shd w:val="clear" w:color="auto" w:fill="00558C"/>
          </w:tcPr>
          <w:p>
            <w:pPr>
              <w:spacing w:after="0"/>
              <w:rPr>
                <w:sz w:val="24"/>
                <w:szCs w:val="24"/>
                <w:color w:val="auto"/>
              </w:rPr>
            </w:pPr>
          </w:p>
        </w:tc>
        <w:tc>
          <w:tcPr>
            <w:tcW w:w="420" w:type="dxa"/>
            <w:vAlign w:val="bottom"/>
            <w:shd w:val="clear" w:color="auto" w:fill="00558C"/>
          </w:tcPr>
          <w:p>
            <w:pPr>
              <w:spacing w:after="0"/>
              <w:rPr>
                <w:sz w:val="24"/>
                <w:szCs w:val="24"/>
                <w:color w:val="auto"/>
              </w:rPr>
            </w:pPr>
          </w:p>
        </w:tc>
        <w:tc>
          <w:tcPr>
            <w:tcW w:w="760" w:type="dxa"/>
            <w:vAlign w:val="bottom"/>
            <w:shd w:val="clear" w:color="auto" w:fill="00558C"/>
          </w:tcPr>
          <w:p>
            <w:pPr>
              <w:ind w:left="80"/>
              <w:spacing w:after="0"/>
              <w:rPr>
                <w:sz w:val="20"/>
                <w:szCs w:val="20"/>
                <w:color w:val="auto"/>
              </w:rPr>
            </w:pPr>
            <w:r>
              <w:rPr>
                <w:rFonts w:ascii="Arial" w:cs="Arial" w:eastAsia="Arial" w:hAnsi="Arial"/>
                <w:sz w:val="14"/>
                <w:szCs w:val="14"/>
                <w:b w:val="1"/>
                <w:bCs w:val="1"/>
                <w:color w:val="FFFFFF"/>
              </w:rPr>
              <w:t>Director</w:t>
            </w:r>
          </w:p>
        </w:tc>
        <w:tc>
          <w:tcPr>
            <w:tcW w:w="2360" w:type="dxa"/>
            <w:vAlign w:val="bottom"/>
            <w:shd w:val="clear" w:color="auto" w:fill="00558C"/>
          </w:tcPr>
          <w:p>
            <w:pPr>
              <w:spacing w:after="0"/>
              <w:rPr>
                <w:sz w:val="24"/>
                <w:szCs w:val="24"/>
                <w:color w:val="auto"/>
              </w:rPr>
            </w:pPr>
          </w:p>
        </w:tc>
        <w:tc>
          <w:tcPr>
            <w:tcW w:w="1140" w:type="dxa"/>
            <w:vAlign w:val="bottom"/>
            <w:shd w:val="clear" w:color="auto" w:fill="00558C"/>
          </w:tcPr>
          <w:p>
            <w:pPr>
              <w:spacing w:after="0"/>
              <w:rPr>
                <w:sz w:val="24"/>
                <w:szCs w:val="24"/>
                <w:color w:val="auto"/>
              </w:rPr>
            </w:pPr>
          </w:p>
        </w:tc>
        <w:tc>
          <w:tcPr>
            <w:tcW w:w="520" w:type="dxa"/>
            <w:vAlign w:val="bottom"/>
            <w:shd w:val="clear" w:color="auto" w:fill="00558C"/>
          </w:tcPr>
          <w:p>
            <w:pPr>
              <w:spacing w:after="0"/>
              <w:rPr>
                <w:sz w:val="24"/>
                <w:szCs w:val="24"/>
                <w:color w:val="auto"/>
              </w:rPr>
            </w:pPr>
          </w:p>
        </w:tc>
        <w:tc>
          <w:tcPr>
            <w:tcW w:w="1100" w:type="dxa"/>
            <w:vAlign w:val="bottom"/>
            <w:vMerge w:val="restart"/>
            <w:shd w:val="clear" w:color="auto" w:fill="00558C"/>
          </w:tcPr>
          <w:p>
            <w:pPr>
              <w:ind w:left="180"/>
              <w:spacing w:after="0"/>
              <w:rPr>
                <w:sz w:val="20"/>
                <w:szCs w:val="20"/>
                <w:color w:val="auto"/>
              </w:rPr>
            </w:pPr>
            <w:r>
              <w:rPr>
                <w:rFonts w:ascii="Arial" w:cs="Arial" w:eastAsia="Arial" w:hAnsi="Arial"/>
                <w:sz w:val="14"/>
                <w:szCs w:val="14"/>
                <w:b w:val="1"/>
                <w:bCs w:val="1"/>
                <w:color w:val="FFFFFF"/>
              </w:rPr>
              <w:t>C</w:t>
            </w:r>
            <w:r>
              <w:rPr>
                <w:rFonts w:ascii="Arial" w:cs="Arial" w:eastAsia="Arial" w:hAnsi="Arial"/>
                <w:sz w:val="18"/>
                <w:szCs w:val="18"/>
                <w:b w:val="1"/>
                <w:bCs w:val="1"/>
                <w:color w:val="FFFFFF"/>
                <w:vertAlign w:val="superscript"/>
              </w:rPr>
              <w:t>4</w:t>
            </w:r>
            <w:r>
              <w:rPr>
                <w:rFonts w:ascii="Arial" w:cs="Arial" w:eastAsia="Arial" w:hAnsi="Arial"/>
                <w:sz w:val="14"/>
                <w:szCs w:val="14"/>
                <w:b w:val="1"/>
                <w:bCs w:val="1"/>
                <w:color w:val="FFFFFF"/>
              </w:rPr>
              <w:t xml:space="preserve">     N&amp;CG</w:t>
            </w:r>
          </w:p>
        </w:tc>
        <w:tc>
          <w:tcPr>
            <w:tcW w:w="106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720" w:type="dxa"/>
            <w:vAlign w:val="bottom"/>
            <w:tcBorders>
              <w:bottom w:val="single" w:sz="8" w:color="00558C"/>
            </w:tcBorders>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420" w:type="dxa"/>
            <w:vAlign w:val="bottom"/>
            <w:tcBorders>
              <w:bottom w:val="single" w:sz="8" w:color="00558C"/>
            </w:tcBorders>
            <w:shd w:val="clear" w:color="auto" w:fill="00558C"/>
          </w:tcPr>
          <w:p>
            <w:pPr>
              <w:jc w:val="center"/>
              <w:spacing w:after="0"/>
              <w:rPr>
                <w:sz w:val="20"/>
                <w:szCs w:val="20"/>
                <w:color w:val="auto"/>
              </w:rPr>
            </w:pPr>
            <w:r>
              <w:rPr>
                <w:rFonts w:ascii="Arial" w:cs="Arial" w:eastAsia="Arial" w:hAnsi="Arial"/>
                <w:sz w:val="14"/>
                <w:szCs w:val="14"/>
                <w:b w:val="1"/>
                <w:bCs w:val="1"/>
                <w:color w:val="FFFFFF"/>
                <w:w w:val="98"/>
              </w:rPr>
              <w:t>Age</w:t>
            </w:r>
          </w:p>
        </w:tc>
        <w:tc>
          <w:tcPr>
            <w:tcW w:w="760" w:type="dxa"/>
            <w:vAlign w:val="bottom"/>
            <w:tcBorders>
              <w:bottom w:val="single" w:sz="8" w:color="00558C"/>
            </w:tcBorders>
            <w:shd w:val="clear" w:color="auto" w:fill="00558C"/>
          </w:tcPr>
          <w:p>
            <w:pPr>
              <w:jc w:val="center"/>
              <w:spacing w:after="0"/>
              <w:rPr>
                <w:sz w:val="20"/>
                <w:szCs w:val="20"/>
                <w:color w:val="auto"/>
              </w:rPr>
            </w:pPr>
            <w:r>
              <w:rPr>
                <w:rFonts w:ascii="Arial" w:cs="Arial" w:eastAsia="Arial" w:hAnsi="Arial"/>
                <w:sz w:val="14"/>
                <w:szCs w:val="14"/>
                <w:b w:val="1"/>
                <w:bCs w:val="1"/>
                <w:color w:val="FFFFFF"/>
              </w:rPr>
              <w:t>Since</w:t>
            </w:r>
          </w:p>
        </w:tc>
        <w:tc>
          <w:tcPr>
            <w:tcW w:w="2360" w:type="dxa"/>
            <w:vAlign w:val="bottom"/>
            <w:tcBorders>
              <w:bottom w:val="single" w:sz="8" w:color="00558C"/>
            </w:tcBorders>
            <w:shd w:val="clear" w:color="auto" w:fill="00558C"/>
          </w:tcPr>
          <w:p>
            <w:pPr>
              <w:ind w:left="120"/>
              <w:spacing w:after="0"/>
              <w:rPr>
                <w:sz w:val="20"/>
                <w:szCs w:val="20"/>
                <w:color w:val="auto"/>
              </w:rPr>
            </w:pPr>
            <w:r>
              <w:rPr>
                <w:rFonts w:ascii="Arial" w:cs="Arial" w:eastAsia="Arial" w:hAnsi="Arial"/>
                <w:sz w:val="14"/>
                <w:szCs w:val="14"/>
                <w:b w:val="1"/>
                <w:bCs w:val="1"/>
                <w:color w:val="FFFFFF"/>
              </w:rPr>
              <w:t>Principal Occupation</w:t>
            </w:r>
          </w:p>
        </w:tc>
        <w:tc>
          <w:tcPr>
            <w:tcW w:w="1140" w:type="dxa"/>
            <w:vAlign w:val="bottom"/>
            <w:tcBorders>
              <w:bottom w:val="single" w:sz="8" w:color="00558C"/>
            </w:tcBorders>
            <w:shd w:val="clear" w:color="auto" w:fill="00558C"/>
          </w:tcPr>
          <w:p>
            <w:pPr>
              <w:ind w:left="100"/>
              <w:spacing w:after="0"/>
              <w:rPr>
                <w:sz w:val="20"/>
                <w:szCs w:val="20"/>
                <w:color w:val="auto"/>
              </w:rPr>
            </w:pPr>
            <w:r>
              <w:rPr>
                <w:rFonts w:ascii="Arial" w:cs="Arial" w:eastAsia="Arial" w:hAnsi="Arial"/>
                <w:sz w:val="14"/>
                <w:szCs w:val="14"/>
                <w:b w:val="1"/>
                <w:bCs w:val="1"/>
                <w:color w:val="FFFFFF"/>
              </w:rPr>
              <w:t>Independent</w:t>
            </w:r>
          </w:p>
        </w:tc>
        <w:tc>
          <w:tcPr>
            <w:tcW w:w="520" w:type="dxa"/>
            <w:vAlign w:val="bottom"/>
            <w:tcBorders>
              <w:bottom w:val="single" w:sz="8" w:color="00558C"/>
            </w:tcBorders>
            <w:shd w:val="clear" w:color="auto" w:fill="00558C"/>
          </w:tcPr>
          <w:p>
            <w:pPr>
              <w:ind w:left="200"/>
              <w:spacing w:after="0"/>
              <w:rPr>
                <w:sz w:val="20"/>
                <w:szCs w:val="20"/>
                <w:color w:val="auto"/>
              </w:rPr>
            </w:pPr>
            <w:r>
              <w:rPr>
                <w:rFonts w:ascii="Arial" w:cs="Arial" w:eastAsia="Arial" w:hAnsi="Arial"/>
                <w:sz w:val="14"/>
                <w:szCs w:val="14"/>
                <w:b w:val="1"/>
                <w:bCs w:val="1"/>
                <w:color w:val="FFFFFF"/>
              </w:rPr>
              <w:t>A</w:t>
            </w:r>
          </w:p>
        </w:tc>
        <w:tc>
          <w:tcPr>
            <w:tcW w:w="1100" w:type="dxa"/>
            <w:vAlign w:val="bottom"/>
            <w:tcBorders>
              <w:bottom w:val="single" w:sz="8" w:color="00558C"/>
            </w:tcBorders>
            <w:vMerge w:val="continue"/>
            <w:shd w:val="clear" w:color="auto" w:fill="00558C"/>
          </w:tcPr>
          <w:p>
            <w:pPr>
              <w:spacing w:after="0"/>
              <w:rPr>
                <w:sz w:val="21"/>
                <w:szCs w:val="21"/>
                <w:color w:val="auto"/>
              </w:rPr>
            </w:pPr>
          </w:p>
        </w:tc>
        <w:tc>
          <w:tcPr>
            <w:tcW w:w="1060" w:type="dxa"/>
            <w:vAlign w:val="bottom"/>
            <w:tcBorders>
              <w:bottom w:val="single" w:sz="8" w:color="00558C"/>
            </w:tcBorders>
            <w:shd w:val="clear" w:color="auto" w:fill="00558C"/>
          </w:tcPr>
          <w:p>
            <w:pPr>
              <w:ind w:left="80"/>
              <w:spacing w:after="0"/>
              <w:rPr>
                <w:sz w:val="20"/>
                <w:szCs w:val="20"/>
                <w:color w:val="auto"/>
              </w:rPr>
            </w:pPr>
            <w:r>
              <w:rPr>
                <w:rFonts w:ascii="Arial" w:cs="Arial" w:eastAsia="Arial" w:hAnsi="Arial"/>
                <w:sz w:val="14"/>
                <w:szCs w:val="14"/>
                <w:b w:val="1"/>
                <w:bCs w:val="1"/>
                <w:color w:val="FFFFFF"/>
              </w:rPr>
              <w:t>T&amp;IS  F&amp;CA</w:t>
            </w:r>
          </w:p>
        </w:tc>
        <w:tc>
          <w:tcPr>
            <w:tcW w:w="0" w:type="dxa"/>
            <w:vAlign w:val="bottom"/>
          </w:tcPr>
          <w:p>
            <w:pPr>
              <w:spacing w:after="0"/>
              <w:rPr>
                <w:sz w:val="1"/>
                <w:szCs w:val="1"/>
                <w:color w:val="auto"/>
              </w:rPr>
            </w:pPr>
          </w:p>
        </w:tc>
      </w:tr>
      <w:tr>
        <w:trPr>
          <w:trHeight w:val="322"/>
        </w:trPr>
        <w:tc>
          <w:tcPr>
            <w:tcW w:w="2900" w:type="dxa"/>
            <w:vAlign w:val="bottom"/>
            <w:gridSpan w:val="3"/>
            <w:shd w:val="clear" w:color="auto" w:fill="6AAA37"/>
          </w:tcPr>
          <w:p>
            <w:pPr>
              <w:ind w:left="140"/>
              <w:spacing w:after="0"/>
              <w:rPr>
                <w:sz w:val="20"/>
                <w:szCs w:val="20"/>
                <w:color w:val="auto"/>
              </w:rPr>
            </w:pPr>
            <w:r>
              <w:rPr>
                <w:rFonts w:ascii="Arial" w:cs="Arial" w:eastAsia="Arial" w:hAnsi="Arial"/>
                <w:sz w:val="14"/>
                <w:szCs w:val="14"/>
                <w:b w:val="1"/>
                <w:bCs w:val="1"/>
                <w:color w:val="FFFFFF"/>
              </w:rPr>
              <w:t>Nominees To the Board of Directors</w:t>
            </w:r>
          </w:p>
        </w:tc>
        <w:tc>
          <w:tcPr>
            <w:tcW w:w="2360" w:type="dxa"/>
            <w:vAlign w:val="bottom"/>
            <w:shd w:val="clear" w:color="auto" w:fill="6AAA37"/>
          </w:tcPr>
          <w:p>
            <w:pPr>
              <w:spacing w:after="0"/>
              <w:rPr>
                <w:sz w:val="24"/>
                <w:szCs w:val="24"/>
                <w:color w:val="auto"/>
              </w:rPr>
            </w:pPr>
          </w:p>
        </w:tc>
        <w:tc>
          <w:tcPr>
            <w:tcW w:w="1140" w:type="dxa"/>
            <w:vAlign w:val="bottom"/>
            <w:shd w:val="clear" w:color="auto" w:fill="6AAA37"/>
          </w:tcPr>
          <w:p>
            <w:pPr>
              <w:spacing w:after="0"/>
              <w:rPr>
                <w:sz w:val="24"/>
                <w:szCs w:val="24"/>
                <w:color w:val="auto"/>
              </w:rPr>
            </w:pPr>
          </w:p>
        </w:tc>
        <w:tc>
          <w:tcPr>
            <w:tcW w:w="520" w:type="dxa"/>
            <w:vAlign w:val="bottom"/>
            <w:shd w:val="clear" w:color="auto" w:fill="6AAA37"/>
          </w:tcPr>
          <w:p>
            <w:pPr>
              <w:spacing w:after="0"/>
              <w:rPr>
                <w:sz w:val="24"/>
                <w:szCs w:val="24"/>
                <w:color w:val="auto"/>
              </w:rPr>
            </w:pPr>
          </w:p>
        </w:tc>
        <w:tc>
          <w:tcPr>
            <w:tcW w:w="1100" w:type="dxa"/>
            <w:vAlign w:val="bottom"/>
            <w:shd w:val="clear" w:color="auto" w:fill="6AAA37"/>
          </w:tcPr>
          <w:p>
            <w:pPr>
              <w:spacing w:after="0"/>
              <w:rPr>
                <w:sz w:val="24"/>
                <w:szCs w:val="24"/>
                <w:color w:val="auto"/>
              </w:rPr>
            </w:pPr>
          </w:p>
        </w:tc>
        <w:tc>
          <w:tcPr>
            <w:tcW w:w="106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720" w:type="dxa"/>
            <w:vAlign w:val="bottom"/>
            <w:shd w:val="clear" w:color="auto" w:fill="6AAA37"/>
          </w:tcPr>
          <w:p>
            <w:pPr>
              <w:spacing w:after="0"/>
              <w:rPr>
                <w:sz w:val="10"/>
                <w:szCs w:val="10"/>
                <w:color w:val="auto"/>
              </w:rPr>
            </w:pPr>
          </w:p>
        </w:tc>
        <w:tc>
          <w:tcPr>
            <w:tcW w:w="420" w:type="dxa"/>
            <w:vAlign w:val="bottom"/>
            <w:shd w:val="clear" w:color="auto" w:fill="6AAA37"/>
          </w:tcPr>
          <w:p>
            <w:pPr>
              <w:spacing w:after="0"/>
              <w:rPr>
                <w:sz w:val="10"/>
                <w:szCs w:val="10"/>
                <w:color w:val="auto"/>
              </w:rPr>
            </w:pPr>
          </w:p>
        </w:tc>
        <w:tc>
          <w:tcPr>
            <w:tcW w:w="760" w:type="dxa"/>
            <w:vAlign w:val="bottom"/>
            <w:shd w:val="clear" w:color="auto" w:fill="6AAA37"/>
          </w:tcPr>
          <w:p>
            <w:pPr>
              <w:spacing w:after="0"/>
              <w:rPr>
                <w:sz w:val="10"/>
                <w:szCs w:val="10"/>
                <w:color w:val="auto"/>
              </w:rPr>
            </w:pPr>
          </w:p>
        </w:tc>
        <w:tc>
          <w:tcPr>
            <w:tcW w:w="2360" w:type="dxa"/>
            <w:vAlign w:val="bottom"/>
            <w:shd w:val="clear" w:color="auto" w:fill="6AAA37"/>
          </w:tcPr>
          <w:p>
            <w:pPr>
              <w:spacing w:after="0"/>
              <w:rPr>
                <w:sz w:val="10"/>
                <w:szCs w:val="10"/>
                <w:color w:val="auto"/>
              </w:rPr>
            </w:pPr>
          </w:p>
        </w:tc>
        <w:tc>
          <w:tcPr>
            <w:tcW w:w="1140" w:type="dxa"/>
            <w:vAlign w:val="bottom"/>
            <w:shd w:val="clear" w:color="auto" w:fill="6AAA37"/>
          </w:tcPr>
          <w:p>
            <w:pPr>
              <w:spacing w:after="0"/>
              <w:rPr>
                <w:sz w:val="10"/>
                <w:szCs w:val="10"/>
                <w:color w:val="auto"/>
              </w:rPr>
            </w:pPr>
          </w:p>
        </w:tc>
        <w:tc>
          <w:tcPr>
            <w:tcW w:w="520" w:type="dxa"/>
            <w:vAlign w:val="bottom"/>
            <w:shd w:val="clear" w:color="auto" w:fill="6AAA37"/>
          </w:tcPr>
          <w:p>
            <w:pPr>
              <w:spacing w:after="0"/>
              <w:rPr>
                <w:sz w:val="10"/>
                <w:szCs w:val="10"/>
                <w:color w:val="auto"/>
              </w:rPr>
            </w:pPr>
          </w:p>
        </w:tc>
        <w:tc>
          <w:tcPr>
            <w:tcW w:w="1100" w:type="dxa"/>
            <w:vAlign w:val="bottom"/>
            <w:shd w:val="clear" w:color="auto" w:fill="6AAA37"/>
          </w:tcPr>
          <w:p>
            <w:pPr>
              <w:spacing w:after="0"/>
              <w:rPr>
                <w:sz w:val="10"/>
                <w:szCs w:val="10"/>
                <w:color w:val="auto"/>
              </w:rPr>
            </w:pPr>
          </w:p>
        </w:tc>
        <w:tc>
          <w:tcPr>
            <w:tcW w:w="1060" w:type="dxa"/>
            <w:vAlign w:val="bottom"/>
            <w:shd w:val="clear" w:color="auto" w:fill="6AAA37"/>
          </w:tcPr>
          <w:p>
            <w:pPr>
              <w:spacing w:after="0"/>
              <w:rPr>
                <w:sz w:val="10"/>
                <w:szCs w:val="10"/>
                <w:color w:val="auto"/>
              </w:rPr>
            </w:pPr>
          </w:p>
        </w:tc>
        <w:tc>
          <w:tcPr>
            <w:tcW w:w="0" w:type="dxa"/>
            <w:vAlign w:val="bottom"/>
          </w:tcPr>
          <w:p>
            <w:pPr>
              <w:spacing w:after="0"/>
              <w:rPr>
                <w:sz w:val="1"/>
                <w:szCs w:val="1"/>
                <w:color w:val="auto"/>
              </w:rPr>
            </w:pPr>
          </w:p>
        </w:tc>
      </w:tr>
      <w:tr>
        <w:trPr>
          <w:trHeight w:val="409"/>
        </w:trPr>
        <w:tc>
          <w:tcPr>
            <w:tcW w:w="1720" w:type="dxa"/>
            <w:vAlign w:val="bottom"/>
            <w:vMerge w:val="restart"/>
            <w:shd w:val="clear" w:color="auto" w:fill="F2F3F2"/>
          </w:tcPr>
          <w:p>
            <w:pPr>
              <w:ind w:left="900"/>
              <w:spacing w:after="0"/>
              <w:rPr>
                <w:sz w:val="20"/>
                <w:szCs w:val="20"/>
                <w:color w:val="auto"/>
              </w:rPr>
            </w:pPr>
            <w:r>
              <w:rPr>
                <w:rFonts w:ascii="Arial" w:cs="Arial" w:eastAsia="Arial" w:hAnsi="Arial"/>
                <w:sz w:val="14"/>
                <w:szCs w:val="14"/>
                <w:b w:val="1"/>
                <w:bCs w:val="1"/>
                <w:color w:val="00558C"/>
              </w:rPr>
              <w:t>Joy T.</w:t>
            </w:r>
          </w:p>
        </w:tc>
        <w:tc>
          <w:tcPr>
            <w:tcW w:w="420" w:type="dxa"/>
            <w:vAlign w:val="bottom"/>
            <w:shd w:val="clear" w:color="auto" w:fill="F2F3F2"/>
          </w:tcPr>
          <w:p>
            <w:pPr>
              <w:spacing w:after="0"/>
              <w:rPr>
                <w:sz w:val="24"/>
                <w:szCs w:val="24"/>
                <w:color w:val="auto"/>
              </w:rPr>
            </w:pPr>
          </w:p>
        </w:tc>
        <w:tc>
          <w:tcPr>
            <w:tcW w:w="760" w:type="dxa"/>
            <w:vAlign w:val="bottom"/>
            <w:shd w:val="clear" w:color="auto" w:fill="F2F3F2"/>
          </w:tcPr>
          <w:p>
            <w:pPr>
              <w:spacing w:after="0"/>
              <w:rPr>
                <w:sz w:val="24"/>
                <w:szCs w:val="24"/>
                <w:color w:val="auto"/>
              </w:rPr>
            </w:pPr>
          </w:p>
        </w:tc>
        <w:tc>
          <w:tcPr>
            <w:tcW w:w="23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SVP, Chief Digital Information</w:t>
            </w:r>
          </w:p>
        </w:tc>
        <w:tc>
          <w:tcPr>
            <w:tcW w:w="1140" w:type="dxa"/>
            <w:vAlign w:val="bottom"/>
            <w:shd w:val="clear" w:color="auto" w:fill="F2F3F2"/>
          </w:tcPr>
          <w:p>
            <w:pPr>
              <w:spacing w:after="0"/>
              <w:rPr>
                <w:sz w:val="24"/>
                <w:szCs w:val="24"/>
                <w:color w:val="auto"/>
              </w:rPr>
            </w:pPr>
          </w:p>
        </w:tc>
        <w:tc>
          <w:tcPr>
            <w:tcW w:w="520" w:type="dxa"/>
            <w:vAlign w:val="bottom"/>
            <w:shd w:val="clear" w:color="auto" w:fill="F2F3F2"/>
          </w:tcPr>
          <w:p>
            <w:pPr>
              <w:spacing w:after="0"/>
              <w:rPr>
                <w:sz w:val="24"/>
                <w:szCs w:val="24"/>
                <w:color w:val="auto"/>
              </w:rPr>
            </w:pPr>
          </w:p>
        </w:tc>
        <w:tc>
          <w:tcPr>
            <w:tcW w:w="1100" w:type="dxa"/>
            <w:vAlign w:val="bottom"/>
            <w:shd w:val="clear" w:color="auto" w:fill="F2F3F2"/>
          </w:tcPr>
          <w:p>
            <w:pPr>
              <w:spacing w:after="0"/>
              <w:rPr>
                <w:sz w:val="24"/>
                <w:szCs w:val="24"/>
                <w:color w:val="auto"/>
              </w:rPr>
            </w:pPr>
          </w:p>
        </w:tc>
        <w:tc>
          <w:tcPr>
            <w:tcW w:w="10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720" w:type="dxa"/>
            <w:vAlign w:val="bottom"/>
            <w:vMerge w:val="continue"/>
            <w:shd w:val="clear" w:color="auto" w:fill="F2F3F2"/>
          </w:tcPr>
          <w:p>
            <w:pPr>
              <w:spacing w:after="0"/>
              <w:rPr>
                <w:sz w:val="8"/>
                <w:szCs w:val="8"/>
                <w:color w:val="auto"/>
              </w:rPr>
            </w:pPr>
          </w:p>
        </w:tc>
        <w:tc>
          <w:tcPr>
            <w:tcW w:w="42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47</w:t>
            </w:r>
          </w:p>
        </w:tc>
        <w:tc>
          <w:tcPr>
            <w:tcW w:w="76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2022</w:t>
            </w:r>
          </w:p>
        </w:tc>
        <w:tc>
          <w:tcPr>
            <w:tcW w:w="2360" w:type="dxa"/>
            <w:vAlign w:val="bottom"/>
            <w:vMerge w:val="restart"/>
            <w:shd w:val="clear" w:color="auto" w:fill="F2F3F2"/>
          </w:tcPr>
          <w:p>
            <w:pPr>
              <w:ind w:left="120"/>
              <w:spacing w:after="0"/>
              <w:rPr>
                <w:sz w:val="20"/>
                <w:szCs w:val="20"/>
                <w:color w:val="auto"/>
              </w:rPr>
            </w:pPr>
            <w:r>
              <w:rPr>
                <w:rFonts w:ascii="Arial" w:cs="Arial" w:eastAsia="Arial" w:hAnsi="Arial"/>
                <w:sz w:val="14"/>
                <w:szCs w:val="14"/>
                <w:color w:val="auto"/>
              </w:rPr>
              <w:t>Officer, Boston Medical Center</w:t>
            </w:r>
          </w:p>
        </w:tc>
        <w:tc>
          <w:tcPr>
            <w:tcW w:w="1140" w:type="dxa"/>
            <w:vAlign w:val="bottom"/>
            <w:shd w:val="clear" w:color="auto" w:fill="F2F3F2"/>
          </w:tcPr>
          <w:p>
            <w:pPr>
              <w:spacing w:after="0"/>
              <w:rPr>
                <w:sz w:val="8"/>
                <w:szCs w:val="8"/>
                <w:color w:val="auto"/>
              </w:rPr>
            </w:pPr>
          </w:p>
        </w:tc>
        <w:tc>
          <w:tcPr>
            <w:tcW w:w="520" w:type="dxa"/>
            <w:vAlign w:val="bottom"/>
            <w:shd w:val="clear" w:color="auto" w:fill="F2F3F2"/>
          </w:tcPr>
          <w:p>
            <w:pPr>
              <w:spacing w:after="0"/>
              <w:rPr>
                <w:sz w:val="8"/>
                <w:szCs w:val="8"/>
                <w:color w:val="auto"/>
              </w:rPr>
            </w:pPr>
          </w:p>
        </w:tc>
        <w:tc>
          <w:tcPr>
            <w:tcW w:w="1100" w:type="dxa"/>
            <w:vAlign w:val="bottom"/>
            <w:vMerge w:val="restart"/>
            <w:shd w:val="clear" w:color="auto" w:fill="F2F3F2"/>
          </w:tcPr>
          <w:p>
            <w:pPr>
              <w:ind w:left="200"/>
              <w:spacing w:after="0"/>
              <w:rPr>
                <w:sz w:val="20"/>
                <w:szCs w:val="20"/>
                <w:color w:val="auto"/>
              </w:rPr>
            </w:pPr>
            <w:r>
              <w:rPr>
                <w:rFonts w:ascii="Webdings" w:cs="Webdings" w:eastAsia="Webdings" w:hAnsi="Webdings"/>
                <w:sz w:val="14"/>
                <w:szCs w:val="14"/>
                <w:b w:val="1"/>
                <w:bCs w:val="1"/>
                <w:color w:val="00558C"/>
              </w:rPr>
              <w:t>n</w:t>
            </w:r>
          </w:p>
        </w:tc>
        <w:tc>
          <w:tcPr>
            <w:tcW w:w="1060" w:type="dxa"/>
            <w:vAlign w:val="bottom"/>
            <w:vMerge w:val="restart"/>
            <w:shd w:val="clear" w:color="auto" w:fill="F2F3F2"/>
          </w:tcPr>
          <w:p>
            <w:pPr>
              <w:ind w:left="720"/>
              <w:spacing w:after="0"/>
              <w:rPr>
                <w:sz w:val="20"/>
                <w:szCs w:val="20"/>
                <w:color w:val="auto"/>
              </w:rPr>
            </w:pPr>
            <w:r>
              <w:rPr>
                <w:rFonts w:ascii="Webdings" w:cs="Webdings" w:eastAsia="Webdings" w:hAnsi="Webdings"/>
                <w:sz w:val="14"/>
                <w:szCs w:val="14"/>
                <w:b w:val="1"/>
                <w:bCs w:val="1"/>
                <w:color w:val="00558C"/>
              </w:rPr>
              <w:t>n</w:t>
            </w:r>
          </w:p>
        </w:tc>
        <w:tc>
          <w:tcPr>
            <w:tcW w:w="0" w:type="dxa"/>
            <w:vAlign w:val="bottom"/>
          </w:tcPr>
          <w:p>
            <w:pPr>
              <w:spacing w:after="0"/>
              <w:rPr>
                <w:sz w:val="1"/>
                <w:szCs w:val="1"/>
                <w:color w:val="auto"/>
              </w:rPr>
            </w:pPr>
          </w:p>
        </w:tc>
      </w:tr>
      <w:tr>
        <w:trPr>
          <w:trHeight w:val="81"/>
        </w:trPr>
        <w:tc>
          <w:tcPr>
            <w:tcW w:w="1720" w:type="dxa"/>
            <w:vAlign w:val="bottom"/>
            <w:vMerge w:val="restart"/>
            <w:shd w:val="clear" w:color="auto" w:fill="F2F3F2"/>
          </w:tcPr>
          <w:p>
            <w:pPr>
              <w:ind w:left="900"/>
              <w:spacing w:after="0"/>
              <w:rPr>
                <w:sz w:val="20"/>
                <w:szCs w:val="20"/>
                <w:color w:val="auto"/>
              </w:rPr>
            </w:pPr>
            <w:r>
              <w:rPr>
                <w:rFonts w:ascii="Arial" w:cs="Arial" w:eastAsia="Arial" w:hAnsi="Arial"/>
                <w:sz w:val="14"/>
                <w:szCs w:val="14"/>
                <w:b w:val="1"/>
                <w:bCs w:val="1"/>
                <w:color w:val="00558C"/>
              </w:rPr>
              <w:t>Brown</w:t>
            </w:r>
          </w:p>
        </w:tc>
        <w:tc>
          <w:tcPr>
            <w:tcW w:w="420" w:type="dxa"/>
            <w:vAlign w:val="bottom"/>
            <w:vMerge w:val="continue"/>
            <w:shd w:val="clear" w:color="auto" w:fill="F2F3F2"/>
          </w:tcPr>
          <w:p>
            <w:pPr>
              <w:spacing w:after="0"/>
              <w:rPr>
                <w:sz w:val="7"/>
                <w:szCs w:val="7"/>
                <w:color w:val="auto"/>
              </w:rPr>
            </w:pPr>
          </w:p>
        </w:tc>
        <w:tc>
          <w:tcPr>
            <w:tcW w:w="760" w:type="dxa"/>
            <w:vAlign w:val="bottom"/>
            <w:vMerge w:val="continue"/>
            <w:shd w:val="clear" w:color="auto" w:fill="F2F3F2"/>
          </w:tcPr>
          <w:p>
            <w:pPr>
              <w:spacing w:after="0"/>
              <w:rPr>
                <w:sz w:val="7"/>
                <w:szCs w:val="7"/>
                <w:color w:val="auto"/>
              </w:rPr>
            </w:pPr>
          </w:p>
        </w:tc>
        <w:tc>
          <w:tcPr>
            <w:tcW w:w="2360" w:type="dxa"/>
            <w:vAlign w:val="bottom"/>
            <w:vMerge w:val="continue"/>
            <w:shd w:val="clear" w:color="auto" w:fill="F2F3F2"/>
          </w:tcPr>
          <w:p>
            <w:pPr>
              <w:spacing w:after="0"/>
              <w:rPr>
                <w:sz w:val="7"/>
                <w:szCs w:val="7"/>
                <w:color w:val="auto"/>
              </w:rPr>
            </w:pPr>
          </w:p>
        </w:tc>
        <w:tc>
          <w:tcPr>
            <w:tcW w:w="1140" w:type="dxa"/>
            <w:vAlign w:val="bottom"/>
            <w:shd w:val="clear" w:color="auto" w:fill="F2F3F2"/>
          </w:tcPr>
          <w:p>
            <w:pPr>
              <w:spacing w:after="0"/>
              <w:rPr>
                <w:sz w:val="7"/>
                <w:szCs w:val="7"/>
                <w:color w:val="auto"/>
              </w:rPr>
            </w:pPr>
          </w:p>
        </w:tc>
        <w:tc>
          <w:tcPr>
            <w:tcW w:w="520" w:type="dxa"/>
            <w:vAlign w:val="bottom"/>
            <w:shd w:val="clear" w:color="auto" w:fill="F2F3F2"/>
          </w:tcPr>
          <w:p>
            <w:pPr>
              <w:spacing w:after="0"/>
              <w:rPr>
                <w:sz w:val="7"/>
                <w:szCs w:val="7"/>
                <w:color w:val="auto"/>
              </w:rPr>
            </w:pPr>
          </w:p>
        </w:tc>
        <w:tc>
          <w:tcPr>
            <w:tcW w:w="1100" w:type="dxa"/>
            <w:vAlign w:val="bottom"/>
            <w:vMerge w:val="continue"/>
            <w:shd w:val="clear" w:color="auto" w:fill="F2F3F2"/>
          </w:tcPr>
          <w:p>
            <w:pPr>
              <w:spacing w:after="0"/>
              <w:rPr>
                <w:sz w:val="7"/>
                <w:szCs w:val="7"/>
                <w:color w:val="auto"/>
              </w:rPr>
            </w:pPr>
          </w:p>
        </w:tc>
        <w:tc>
          <w:tcPr>
            <w:tcW w:w="1060" w:type="dxa"/>
            <w:vAlign w:val="bottom"/>
            <w:vMerge w:val="continue"/>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20" w:type="dxa"/>
            <w:vAlign w:val="bottom"/>
            <w:vMerge w:val="continue"/>
            <w:shd w:val="clear" w:color="auto" w:fill="F2F3F2"/>
          </w:tcPr>
          <w:p>
            <w:pPr>
              <w:spacing w:after="0"/>
              <w:rPr>
                <w:sz w:val="10"/>
                <w:szCs w:val="10"/>
                <w:color w:val="auto"/>
              </w:rPr>
            </w:pPr>
          </w:p>
        </w:tc>
        <w:tc>
          <w:tcPr>
            <w:tcW w:w="420" w:type="dxa"/>
            <w:vAlign w:val="bottom"/>
            <w:shd w:val="clear" w:color="auto" w:fill="F2F3F2"/>
          </w:tcPr>
          <w:p>
            <w:pPr>
              <w:spacing w:after="0"/>
              <w:rPr>
                <w:sz w:val="10"/>
                <w:szCs w:val="10"/>
                <w:color w:val="auto"/>
              </w:rPr>
            </w:pPr>
          </w:p>
        </w:tc>
        <w:tc>
          <w:tcPr>
            <w:tcW w:w="760" w:type="dxa"/>
            <w:vAlign w:val="bottom"/>
            <w:shd w:val="clear" w:color="auto" w:fill="F2F3F2"/>
          </w:tcPr>
          <w:p>
            <w:pPr>
              <w:spacing w:after="0"/>
              <w:rPr>
                <w:sz w:val="10"/>
                <w:szCs w:val="10"/>
                <w:color w:val="auto"/>
              </w:rPr>
            </w:pPr>
          </w:p>
        </w:tc>
        <w:tc>
          <w:tcPr>
            <w:tcW w:w="2360" w:type="dxa"/>
            <w:vAlign w:val="bottom"/>
            <w:vMerge w:val="restart"/>
            <w:shd w:val="clear" w:color="auto" w:fill="F2F3F2"/>
          </w:tcPr>
          <w:p>
            <w:pPr>
              <w:ind w:left="120"/>
              <w:spacing w:after="0"/>
              <w:rPr>
                <w:sz w:val="20"/>
                <w:szCs w:val="20"/>
                <w:color w:val="auto"/>
              </w:rPr>
            </w:pPr>
            <w:r>
              <w:rPr>
                <w:rFonts w:ascii="Arial" w:cs="Arial" w:eastAsia="Arial" w:hAnsi="Arial"/>
                <w:sz w:val="14"/>
                <w:szCs w:val="14"/>
                <w:color w:val="auto"/>
              </w:rPr>
              <w:t>Health System</w:t>
            </w:r>
          </w:p>
        </w:tc>
        <w:tc>
          <w:tcPr>
            <w:tcW w:w="1140" w:type="dxa"/>
            <w:vAlign w:val="bottom"/>
            <w:shd w:val="clear" w:color="auto" w:fill="F2F3F2"/>
          </w:tcPr>
          <w:p>
            <w:pPr>
              <w:spacing w:after="0"/>
              <w:rPr>
                <w:sz w:val="10"/>
                <w:szCs w:val="10"/>
                <w:color w:val="auto"/>
              </w:rPr>
            </w:pPr>
          </w:p>
        </w:tc>
        <w:tc>
          <w:tcPr>
            <w:tcW w:w="520" w:type="dxa"/>
            <w:vAlign w:val="bottom"/>
            <w:shd w:val="clear" w:color="auto" w:fill="F2F3F2"/>
          </w:tcPr>
          <w:p>
            <w:pPr>
              <w:spacing w:after="0"/>
              <w:rPr>
                <w:sz w:val="10"/>
                <w:szCs w:val="10"/>
                <w:color w:val="auto"/>
              </w:rPr>
            </w:pPr>
          </w:p>
        </w:tc>
        <w:tc>
          <w:tcPr>
            <w:tcW w:w="1100" w:type="dxa"/>
            <w:vAlign w:val="bottom"/>
            <w:shd w:val="clear" w:color="auto" w:fill="F2F3F2"/>
          </w:tcPr>
          <w:p>
            <w:pPr>
              <w:spacing w:after="0"/>
              <w:rPr>
                <w:sz w:val="10"/>
                <w:szCs w:val="10"/>
                <w:color w:val="auto"/>
              </w:rPr>
            </w:pPr>
          </w:p>
        </w:tc>
        <w:tc>
          <w:tcPr>
            <w:tcW w:w="106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20" w:type="dxa"/>
            <w:vAlign w:val="bottom"/>
            <w:shd w:val="clear" w:color="auto" w:fill="F2F3F2"/>
          </w:tcPr>
          <w:p>
            <w:pPr>
              <w:spacing w:after="0"/>
              <w:rPr>
                <w:sz w:val="6"/>
                <w:szCs w:val="6"/>
                <w:color w:val="auto"/>
              </w:rPr>
            </w:pPr>
          </w:p>
        </w:tc>
        <w:tc>
          <w:tcPr>
            <w:tcW w:w="420" w:type="dxa"/>
            <w:vAlign w:val="bottom"/>
            <w:shd w:val="clear" w:color="auto" w:fill="F2F3F2"/>
          </w:tcPr>
          <w:p>
            <w:pPr>
              <w:spacing w:after="0"/>
              <w:rPr>
                <w:sz w:val="6"/>
                <w:szCs w:val="6"/>
                <w:color w:val="auto"/>
              </w:rPr>
            </w:pPr>
          </w:p>
        </w:tc>
        <w:tc>
          <w:tcPr>
            <w:tcW w:w="760" w:type="dxa"/>
            <w:vAlign w:val="bottom"/>
            <w:shd w:val="clear" w:color="auto" w:fill="F2F3F2"/>
          </w:tcPr>
          <w:p>
            <w:pPr>
              <w:spacing w:after="0"/>
              <w:rPr>
                <w:sz w:val="6"/>
                <w:szCs w:val="6"/>
                <w:color w:val="auto"/>
              </w:rPr>
            </w:pPr>
          </w:p>
        </w:tc>
        <w:tc>
          <w:tcPr>
            <w:tcW w:w="2360" w:type="dxa"/>
            <w:vAlign w:val="bottom"/>
            <w:vMerge w:val="continue"/>
            <w:shd w:val="clear" w:color="auto" w:fill="F2F3F2"/>
          </w:tcPr>
          <w:p>
            <w:pPr>
              <w:spacing w:after="0"/>
              <w:rPr>
                <w:sz w:val="6"/>
                <w:szCs w:val="6"/>
                <w:color w:val="auto"/>
              </w:rPr>
            </w:pPr>
          </w:p>
        </w:tc>
        <w:tc>
          <w:tcPr>
            <w:tcW w:w="1140" w:type="dxa"/>
            <w:vAlign w:val="bottom"/>
            <w:shd w:val="clear" w:color="auto" w:fill="F2F3F2"/>
          </w:tcPr>
          <w:p>
            <w:pPr>
              <w:spacing w:after="0"/>
              <w:rPr>
                <w:sz w:val="6"/>
                <w:szCs w:val="6"/>
                <w:color w:val="auto"/>
              </w:rPr>
            </w:pPr>
          </w:p>
        </w:tc>
        <w:tc>
          <w:tcPr>
            <w:tcW w:w="520" w:type="dxa"/>
            <w:vAlign w:val="bottom"/>
            <w:shd w:val="clear" w:color="auto" w:fill="F2F3F2"/>
          </w:tcPr>
          <w:p>
            <w:pPr>
              <w:spacing w:after="0"/>
              <w:rPr>
                <w:sz w:val="6"/>
                <w:szCs w:val="6"/>
                <w:color w:val="auto"/>
              </w:rPr>
            </w:pPr>
          </w:p>
        </w:tc>
        <w:tc>
          <w:tcPr>
            <w:tcW w:w="1100" w:type="dxa"/>
            <w:vAlign w:val="bottom"/>
            <w:shd w:val="clear" w:color="auto" w:fill="F2F3F2"/>
          </w:tcPr>
          <w:p>
            <w:pPr>
              <w:spacing w:after="0"/>
              <w:rPr>
                <w:sz w:val="6"/>
                <w:szCs w:val="6"/>
                <w:color w:val="auto"/>
              </w:rPr>
            </w:pPr>
          </w:p>
        </w:tc>
        <w:tc>
          <w:tcPr>
            <w:tcW w:w="106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1720" w:type="dxa"/>
            <w:vAlign w:val="bottom"/>
            <w:shd w:val="clear" w:color="auto" w:fill="F2F3F2"/>
          </w:tcPr>
          <w:p>
            <w:pPr>
              <w:spacing w:after="0"/>
              <w:rPr>
                <w:sz w:val="18"/>
                <w:szCs w:val="18"/>
                <w:color w:val="auto"/>
              </w:rPr>
            </w:pPr>
          </w:p>
        </w:tc>
        <w:tc>
          <w:tcPr>
            <w:tcW w:w="420" w:type="dxa"/>
            <w:vAlign w:val="bottom"/>
            <w:shd w:val="clear" w:color="auto" w:fill="F2F3F2"/>
          </w:tcPr>
          <w:p>
            <w:pPr>
              <w:spacing w:after="0"/>
              <w:rPr>
                <w:sz w:val="18"/>
                <w:szCs w:val="18"/>
                <w:color w:val="auto"/>
              </w:rPr>
            </w:pPr>
          </w:p>
        </w:tc>
        <w:tc>
          <w:tcPr>
            <w:tcW w:w="760" w:type="dxa"/>
            <w:vAlign w:val="bottom"/>
            <w:shd w:val="clear" w:color="auto" w:fill="F2F3F2"/>
          </w:tcPr>
          <w:p>
            <w:pPr>
              <w:spacing w:after="0"/>
              <w:rPr>
                <w:sz w:val="18"/>
                <w:szCs w:val="18"/>
                <w:color w:val="auto"/>
              </w:rPr>
            </w:pPr>
          </w:p>
        </w:tc>
        <w:tc>
          <w:tcPr>
            <w:tcW w:w="2360" w:type="dxa"/>
            <w:vAlign w:val="bottom"/>
            <w:shd w:val="clear" w:color="auto" w:fill="F2F3F2"/>
          </w:tcPr>
          <w:p>
            <w:pPr>
              <w:spacing w:after="0"/>
              <w:rPr>
                <w:sz w:val="18"/>
                <w:szCs w:val="18"/>
                <w:color w:val="auto"/>
              </w:rPr>
            </w:pPr>
          </w:p>
        </w:tc>
        <w:tc>
          <w:tcPr>
            <w:tcW w:w="1140" w:type="dxa"/>
            <w:vAlign w:val="bottom"/>
            <w:shd w:val="clear" w:color="auto" w:fill="F2F3F2"/>
          </w:tcPr>
          <w:p>
            <w:pPr>
              <w:spacing w:after="0"/>
              <w:rPr>
                <w:sz w:val="18"/>
                <w:szCs w:val="18"/>
                <w:color w:val="auto"/>
              </w:rPr>
            </w:pPr>
          </w:p>
        </w:tc>
        <w:tc>
          <w:tcPr>
            <w:tcW w:w="520" w:type="dxa"/>
            <w:vAlign w:val="bottom"/>
            <w:shd w:val="clear" w:color="auto" w:fill="F2F3F2"/>
          </w:tcPr>
          <w:p>
            <w:pPr>
              <w:spacing w:after="0"/>
              <w:rPr>
                <w:sz w:val="18"/>
                <w:szCs w:val="18"/>
                <w:color w:val="auto"/>
              </w:rPr>
            </w:pPr>
          </w:p>
        </w:tc>
        <w:tc>
          <w:tcPr>
            <w:tcW w:w="1100" w:type="dxa"/>
            <w:vAlign w:val="bottom"/>
            <w:shd w:val="clear" w:color="auto" w:fill="F2F3F2"/>
          </w:tcPr>
          <w:p>
            <w:pPr>
              <w:spacing w:after="0"/>
              <w:rPr>
                <w:sz w:val="18"/>
                <w:szCs w:val="18"/>
                <w:color w:val="auto"/>
              </w:rPr>
            </w:pPr>
          </w:p>
        </w:tc>
        <w:tc>
          <w:tcPr>
            <w:tcW w:w="106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Chief Executive Officer and</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C. Mark</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President, Huron Consulting</w:t>
            </w: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720" w:type="dxa"/>
            <w:vAlign w:val="bottom"/>
            <w:vMerge w:val="continue"/>
          </w:tcPr>
          <w:p>
            <w:pPr>
              <w:spacing w:after="0"/>
              <w:rPr>
                <w:sz w:val="8"/>
                <w:szCs w:val="8"/>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Group Inc. and Huron Consulting</w:t>
            </w: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2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Hussey</w:t>
            </w: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Services, our principal operating</w:t>
            </w: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subsidiary</w:t>
            </w: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9"/>
        </w:trPr>
        <w:tc>
          <w:tcPr>
            <w:tcW w:w="1720" w:type="dxa"/>
            <w:vAlign w:val="bottom"/>
            <w:shd w:val="clear" w:color="auto" w:fill="F2F3F2"/>
          </w:tcPr>
          <w:p>
            <w:pPr>
              <w:ind w:left="900"/>
              <w:spacing w:after="0"/>
              <w:rPr>
                <w:sz w:val="20"/>
                <w:szCs w:val="20"/>
                <w:color w:val="auto"/>
              </w:rPr>
            </w:pPr>
            <w:r>
              <w:rPr>
                <w:rFonts w:ascii="Arial" w:cs="Arial" w:eastAsia="Arial" w:hAnsi="Arial"/>
                <w:sz w:val="14"/>
                <w:szCs w:val="14"/>
                <w:b w:val="1"/>
                <w:bCs w:val="1"/>
                <w:color w:val="00558C"/>
              </w:rPr>
              <w:t>H. Eugene</w:t>
            </w:r>
          </w:p>
        </w:tc>
        <w:tc>
          <w:tcPr>
            <w:tcW w:w="42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76</w:t>
            </w:r>
          </w:p>
        </w:tc>
        <w:tc>
          <w:tcPr>
            <w:tcW w:w="76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2006</w:t>
            </w:r>
          </w:p>
        </w:tc>
        <w:tc>
          <w:tcPr>
            <w:tcW w:w="23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Chairman Emeritus &amp; General</w:t>
            </w:r>
          </w:p>
        </w:tc>
        <w:tc>
          <w:tcPr>
            <w:tcW w:w="1140" w:type="dxa"/>
            <w:vAlign w:val="bottom"/>
            <w:shd w:val="clear" w:color="auto" w:fill="F2F3F2"/>
          </w:tcPr>
          <w:p>
            <w:pPr>
              <w:spacing w:after="0"/>
              <w:rPr>
                <w:sz w:val="24"/>
                <w:szCs w:val="24"/>
                <w:color w:val="auto"/>
              </w:rPr>
            </w:pPr>
          </w:p>
        </w:tc>
        <w:tc>
          <w:tcPr>
            <w:tcW w:w="520" w:type="dxa"/>
            <w:vAlign w:val="bottom"/>
            <w:vMerge w:val="restart"/>
            <w:shd w:val="clear" w:color="auto" w:fill="F2F3F2"/>
          </w:tcPr>
          <w:p>
            <w:pPr>
              <w:ind w:left="180"/>
              <w:spacing w:after="0"/>
              <w:rPr>
                <w:sz w:val="20"/>
                <w:szCs w:val="20"/>
                <w:color w:val="auto"/>
              </w:rPr>
            </w:pPr>
            <w:r>
              <w:rPr>
                <w:rFonts w:ascii="Webdings" w:cs="Webdings" w:eastAsia="Webdings" w:hAnsi="Webdings"/>
                <w:sz w:val="14"/>
                <w:szCs w:val="14"/>
                <w:b w:val="1"/>
                <w:bCs w:val="1"/>
                <w:color w:val="00558C"/>
              </w:rPr>
              <w:t>n</w:t>
            </w:r>
          </w:p>
        </w:tc>
        <w:tc>
          <w:tcPr>
            <w:tcW w:w="1100" w:type="dxa"/>
            <w:vAlign w:val="bottom"/>
            <w:vMerge w:val="restart"/>
            <w:shd w:val="clear" w:color="auto" w:fill="F2F3F2"/>
          </w:tcPr>
          <w:p>
            <w:pPr>
              <w:ind w:left="200"/>
              <w:spacing w:after="0"/>
              <w:rPr>
                <w:sz w:val="20"/>
                <w:szCs w:val="20"/>
                <w:color w:val="auto"/>
              </w:rPr>
            </w:pPr>
            <w:r>
              <w:rPr>
                <w:rFonts w:ascii="Webdings" w:cs="Webdings" w:eastAsia="Webdings" w:hAnsi="Webdings"/>
                <w:sz w:val="14"/>
                <w:szCs w:val="14"/>
                <w:b w:val="1"/>
                <w:bCs w:val="1"/>
                <w:color w:val="00558C"/>
              </w:rPr>
              <w:t>n</w:t>
            </w:r>
          </w:p>
        </w:tc>
        <w:tc>
          <w:tcPr>
            <w:tcW w:w="10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20" w:type="dxa"/>
            <w:vAlign w:val="bottom"/>
            <w:vMerge w:val="restart"/>
            <w:shd w:val="clear" w:color="auto" w:fill="F2F3F2"/>
          </w:tcPr>
          <w:p>
            <w:pPr>
              <w:ind w:left="900"/>
              <w:spacing w:after="0"/>
              <w:rPr>
                <w:sz w:val="20"/>
                <w:szCs w:val="20"/>
                <w:color w:val="auto"/>
              </w:rPr>
            </w:pPr>
            <w:r>
              <w:rPr>
                <w:rFonts w:ascii="Arial" w:cs="Arial" w:eastAsia="Arial" w:hAnsi="Arial"/>
                <w:sz w:val="14"/>
                <w:szCs w:val="14"/>
                <w:b w:val="1"/>
                <w:bCs w:val="1"/>
                <w:color w:val="00558C"/>
              </w:rPr>
              <w:t>Lockhart</w:t>
            </w:r>
          </w:p>
        </w:tc>
        <w:tc>
          <w:tcPr>
            <w:tcW w:w="420" w:type="dxa"/>
            <w:vAlign w:val="bottom"/>
            <w:vMerge w:val="continue"/>
            <w:shd w:val="clear" w:color="auto" w:fill="F2F3F2"/>
          </w:tcPr>
          <w:p>
            <w:pPr>
              <w:spacing w:after="0"/>
              <w:rPr>
                <w:sz w:val="9"/>
                <w:szCs w:val="9"/>
                <w:color w:val="auto"/>
              </w:rPr>
            </w:pPr>
          </w:p>
        </w:tc>
        <w:tc>
          <w:tcPr>
            <w:tcW w:w="760" w:type="dxa"/>
            <w:vAlign w:val="bottom"/>
            <w:vMerge w:val="continue"/>
            <w:shd w:val="clear" w:color="auto" w:fill="F2F3F2"/>
          </w:tcPr>
          <w:p>
            <w:pPr>
              <w:spacing w:after="0"/>
              <w:rPr>
                <w:sz w:val="9"/>
                <w:szCs w:val="9"/>
                <w:color w:val="auto"/>
              </w:rPr>
            </w:pPr>
          </w:p>
        </w:tc>
        <w:tc>
          <w:tcPr>
            <w:tcW w:w="2360" w:type="dxa"/>
            <w:vAlign w:val="bottom"/>
            <w:vMerge w:val="restart"/>
            <w:shd w:val="clear" w:color="auto" w:fill="F2F3F2"/>
          </w:tcPr>
          <w:p>
            <w:pPr>
              <w:ind w:left="120"/>
              <w:spacing w:after="0"/>
              <w:rPr>
                <w:sz w:val="20"/>
                <w:szCs w:val="20"/>
                <w:color w:val="auto"/>
              </w:rPr>
            </w:pPr>
            <w:r>
              <w:rPr>
                <w:rFonts w:ascii="Arial" w:cs="Arial" w:eastAsia="Arial" w:hAnsi="Arial"/>
                <w:sz w:val="14"/>
                <w:szCs w:val="14"/>
                <w:color w:val="auto"/>
              </w:rPr>
              <w:t>Partner, MissionOG LLC</w:t>
            </w:r>
          </w:p>
        </w:tc>
        <w:tc>
          <w:tcPr>
            <w:tcW w:w="1140" w:type="dxa"/>
            <w:vAlign w:val="bottom"/>
            <w:shd w:val="clear" w:color="auto" w:fill="F2F3F2"/>
          </w:tcPr>
          <w:p>
            <w:pPr>
              <w:spacing w:after="0"/>
              <w:rPr>
                <w:sz w:val="9"/>
                <w:szCs w:val="9"/>
                <w:color w:val="auto"/>
              </w:rPr>
            </w:pPr>
          </w:p>
        </w:tc>
        <w:tc>
          <w:tcPr>
            <w:tcW w:w="520" w:type="dxa"/>
            <w:vAlign w:val="bottom"/>
            <w:vMerge w:val="continue"/>
            <w:shd w:val="clear" w:color="auto" w:fill="F2F3F2"/>
          </w:tcPr>
          <w:p>
            <w:pPr>
              <w:spacing w:after="0"/>
              <w:rPr>
                <w:sz w:val="9"/>
                <w:szCs w:val="9"/>
                <w:color w:val="auto"/>
              </w:rPr>
            </w:pPr>
          </w:p>
        </w:tc>
        <w:tc>
          <w:tcPr>
            <w:tcW w:w="1100" w:type="dxa"/>
            <w:vAlign w:val="bottom"/>
            <w:vMerge w:val="continue"/>
            <w:shd w:val="clear" w:color="auto" w:fill="F2F3F2"/>
          </w:tcPr>
          <w:p>
            <w:pPr>
              <w:spacing w:after="0"/>
              <w:rPr>
                <w:sz w:val="9"/>
                <w:szCs w:val="9"/>
                <w:color w:val="auto"/>
              </w:rPr>
            </w:pPr>
          </w:p>
        </w:tc>
        <w:tc>
          <w:tcPr>
            <w:tcW w:w="106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vMerge w:val="continue"/>
            <w:shd w:val="clear" w:color="auto" w:fill="F2F3F2"/>
          </w:tcPr>
          <w:p>
            <w:pPr>
              <w:spacing w:after="0"/>
              <w:rPr>
                <w:sz w:val="7"/>
                <w:szCs w:val="7"/>
                <w:color w:val="auto"/>
              </w:rPr>
            </w:pPr>
          </w:p>
        </w:tc>
        <w:tc>
          <w:tcPr>
            <w:tcW w:w="420" w:type="dxa"/>
            <w:vAlign w:val="bottom"/>
            <w:shd w:val="clear" w:color="auto" w:fill="F2F3F2"/>
          </w:tcPr>
          <w:p>
            <w:pPr>
              <w:spacing w:after="0"/>
              <w:rPr>
                <w:sz w:val="7"/>
                <w:szCs w:val="7"/>
                <w:color w:val="auto"/>
              </w:rPr>
            </w:pPr>
          </w:p>
        </w:tc>
        <w:tc>
          <w:tcPr>
            <w:tcW w:w="760" w:type="dxa"/>
            <w:vAlign w:val="bottom"/>
            <w:shd w:val="clear" w:color="auto" w:fill="F2F3F2"/>
          </w:tcPr>
          <w:p>
            <w:pPr>
              <w:spacing w:after="0"/>
              <w:rPr>
                <w:sz w:val="7"/>
                <w:szCs w:val="7"/>
                <w:color w:val="auto"/>
              </w:rPr>
            </w:pPr>
          </w:p>
        </w:tc>
        <w:tc>
          <w:tcPr>
            <w:tcW w:w="2360" w:type="dxa"/>
            <w:vAlign w:val="bottom"/>
            <w:vMerge w:val="continue"/>
            <w:shd w:val="clear" w:color="auto" w:fill="F2F3F2"/>
          </w:tcPr>
          <w:p>
            <w:pPr>
              <w:spacing w:after="0"/>
              <w:rPr>
                <w:sz w:val="7"/>
                <w:szCs w:val="7"/>
                <w:color w:val="auto"/>
              </w:rPr>
            </w:pPr>
          </w:p>
        </w:tc>
        <w:tc>
          <w:tcPr>
            <w:tcW w:w="1140" w:type="dxa"/>
            <w:vAlign w:val="bottom"/>
            <w:shd w:val="clear" w:color="auto" w:fill="F2F3F2"/>
          </w:tcPr>
          <w:p>
            <w:pPr>
              <w:spacing w:after="0"/>
              <w:rPr>
                <w:sz w:val="7"/>
                <w:szCs w:val="7"/>
                <w:color w:val="auto"/>
              </w:rPr>
            </w:pPr>
          </w:p>
        </w:tc>
        <w:tc>
          <w:tcPr>
            <w:tcW w:w="520" w:type="dxa"/>
            <w:vAlign w:val="bottom"/>
            <w:shd w:val="clear" w:color="auto" w:fill="F2F3F2"/>
          </w:tcPr>
          <w:p>
            <w:pPr>
              <w:spacing w:after="0"/>
              <w:rPr>
                <w:sz w:val="7"/>
                <w:szCs w:val="7"/>
                <w:color w:val="auto"/>
              </w:rPr>
            </w:pPr>
          </w:p>
        </w:tc>
        <w:tc>
          <w:tcPr>
            <w:tcW w:w="1100" w:type="dxa"/>
            <w:vAlign w:val="bottom"/>
            <w:shd w:val="clear" w:color="auto" w:fill="F2F3F2"/>
          </w:tcPr>
          <w:p>
            <w:pPr>
              <w:spacing w:after="0"/>
              <w:rPr>
                <w:sz w:val="7"/>
                <w:szCs w:val="7"/>
                <w:color w:val="auto"/>
              </w:rPr>
            </w:pPr>
          </w:p>
        </w:tc>
        <w:tc>
          <w:tcPr>
            <w:tcW w:w="106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F2F3F2"/>
          </w:tcPr>
          <w:p>
            <w:pPr>
              <w:spacing w:after="0"/>
              <w:rPr>
                <w:sz w:val="17"/>
                <w:szCs w:val="17"/>
                <w:color w:val="auto"/>
              </w:rPr>
            </w:pPr>
          </w:p>
        </w:tc>
        <w:tc>
          <w:tcPr>
            <w:tcW w:w="420" w:type="dxa"/>
            <w:vAlign w:val="bottom"/>
            <w:shd w:val="clear" w:color="auto" w:fill="F2F3F2"/>
          </w:tcPr>
          <w:p>
            <w:pPr>
              <w:spacing w:after="0"/>
              <w:rPr>
                <w:sz w:val="17"/>
                <w:szCs w:val="17"/>
                <w:color w:val="auto"/>
              </w:rPr>
            </w:pPr>
          </w:p>
        </w:tc>
        <w:tc>
          <w:tcPr>
            <w:tcW w:w="760" w:type="dxa"/>
            <w:vAlign w:val="bottom"/>
            <w:shd w:val="clear" w:color="auto" w:fill="F2F3F2"/>
          </w:tcPr>
          <w:p>
            <w:pPr>
              <w:spacing w:after="0"/>
              <w:rPr>
                <w:sz w:val="17"/>
                <w:szCs w:val="17"/>
                <w:color w:val="auto"/>
              </w:rPr>
            </w:pPr>
          </w:p>
        </w:tc>
        <w:tc>
          <w:tcPr>
            <w:tcW w:w="2360" w:type="dxa"/>
            <w:vAlign w:val="bottom"/>
            <w:shd w:val="clear" w:color="auto" w:fill="F2F3F2"/>
          </w:tcPr>
          <w:p>
            <w:pPr>
              <w:spacing w:after="0"/>
              <w:rPr>
                <w:sz w:val="17"/>
                <w:szCs w:val="17"/>
                <w:color w:val="auto"/>
              </w:rPr>
            </w:pPr>
          </w:p>
        </w:tc>
        <w:tc>
          <w:tcPr>
            <w:tcW w:w="1140" w:type="dxa"/>
            <w:vAlign w:val="bottom"/>
            <w:shd w:val="clear" w:color="auto" w:fill="F2F3F2"/>
          </w:tcPr>
          <w:p>
            <w:pPr>
              <w:spacing w:after="0"/>
              <w:rPr>
                <w:sz w:val="17"/>
                <w:szCs w:val="17"/>
                <w:color w:val="auto"/>
              </w:rPr>
            </w:pPr>
          </w:p>
        </w:tc>
        <w:tc>
          <w:tcPr>
            <w:tcW w:w="520" w:type="dxa"/>
            <w:vAlign w:val="bottom"/>
            <w:shd w:val="clear" w:color="auto" w:fill="F2F3F2"/>
          </w:tcPr>
          <w:p>
            <w:pPr>
              <w:spacing w:after="0"/>
              <w:rPr>
                <w:sz w:val="17"/>
                <w:szCs w:val="17"/>
                <w:color w:val="auto"/>
              </w:rPr>
            </w:pPr>
          </w:p>
        </w:tc>
        <w:tc>
          <w:tcPr>
            <w:tcW w:w="1100" w:type="dxa"/>
            <w:vAlign w:val="bottom"/>
            <w:shd w:val="clear" w:color="auto" w:fill="F2F3F2"/>
          </w:tcPr>
          <w:p>
            <w:pPr>
              <w:spacing w:after="0"/>
              <w:rPr>
                <w:sz w:val="17"/>
                <w:szCs w:val="17"/>
                <w:color w:val="auto"/>
              </w:rPr>
            </w:pPr>
          </w:p>
        </w:tc>
        <w:tc>
          <w:tcPr>
            <w:tcW w:w="1060" w:type="dxa"/>
            <w:vAlign w:val="bottom"/>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Executive Vice President and</w:t>
            </w: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900"/>
              <w:spacing w:after="0"/>
              <w:rPr>
                <w:sz w:val="20"/>
                <w:szCs w:val="20"/>
                <w:color w:val="auto"/>
              </w:rPr>
            </w:pPr>
            <w:r>
              <w:rPr>
                <w:rFonts w:ascii="Arial" w:cs="Arial" w:eastAsia="Arial" w:hAnsi="Arial"/>
                <w:sz w:val="14"/>
                <w:szCs w:val="14"/>
                <w:b w:val="1"/>
                <w:bCs w:val="1"/>
                <w:color w:val="00558C"/>
              </w:rPr>
              <w:t>Peter K.</w:t>
            </w:r>
          </w:p>
        </w:tc>
        <w:tc>
          <w:tcPr>
            <w:tcW w:w="420" w:type="dxa"/>
            <w:vAlign w:val="bottom"/>
            <w:vMerge w:val="restart"/>
          </w:tcPr>
          <w:p>
            <w:pPr>
              <w:jc w:val="center"/>
              <w:spacing w:after="0"/>
              <w:rPr>
                <w:sz w:val="20"/>
                <w:szCs w:val="20"/>
                <w:color w:val="auto"/>
              </w:rPr>
            </w:pPr>
            <w:r>
              <w:rPr>
                <w:rFonts w:ascii="Arial" w:cs="Arial" w:eastAsia="Arial" w:hAnsi="Arial"/>
                <w:sz w:val="14"/>
                <w:szCs w:val="14"/>
                <w:color w:val="auto"/>
              </w:rPr>
              <w:t>70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2360" w:type="dxa"/>
            <w:vAlign w:val="bottom"/>
          </w:tcPr>
          <w:p>
            <w:pPr>
              <w:ind w:left="120"/>
              <w:spacing w:after="0"/>
              <w:rPr>
                <w:sz w:val="20"/>
                <w:szCs w:val="20"/>
                <w:color w:val="auto"/>
              </w:rPr>
            </w:pPr>
            <w:r>
              <w:rPr>
                <w:rFonts w:ascii="Arial" w:cs="Arial" w:eastAsia="Arial" w:hAnsi="Arial"/>
                <w:sz w:val="14"/>
                <w:szCs w:val="14"/>
                <w:color w:val="auto"/>
              </w:rPr>
              <w:t>Chief Financial Officer, Brown</w:t>
            </w: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vMerge w:val="restart"/>
          </w:tcPr>
          <w:p>
            <w:pPr>
              <w:ind w:left="740"/>
              <w:spacing w:after="0"/>
              <w:rPr>
                <w:sz w:val="20"/>
                <w:szCs w:val="20"/>
                <w:color w:val="auto"/>
              </w:rPr>
            </w:pPr>
            <w:r>
              <w:rPr>
                <w:rFonts w:ascii="Webdings" w:cs="Webdings" w:eastAsia="Webdings" w:hAnsi="Webdings"/>
                <w:sz w:val="14"/>
                <w:szCs w:val="14"/>
                <w:b w:val="1"/>
                <w:bCs w:val="1"/>
                <w:color w:val="00558C"/>
              </w:rPr>
              <w:t>n</w:t>
            </w:r>
          </w:p>
        </w:tc>
        <w:tc>
          <w:tcPr>
            <w:tcW w:w="1060" w:type="dxa"/>
            <w:vAlign w:val="bottom"/>
            <w:vMerge w:val="restart"/>
          </w:tcPr>
          <w:p>
            <w:pPr>
              <w:ind w:left="180"/>
              <w:spacing w:after="0"/>
              <w:rPr>
                <w:sz w:val="20"/>
                <w:szCs w:val="20"/>
                <w:color w:val="auto"/>
              </w:rPr>
            </w:pPr>
            <w:r>
              <w:rPr>
                <w:rFonts w:ascii="Webdings" w:cs="Webdings" w:eastAsia="Webdings" w:hAnsi="Webdings"/>
                <w:sz w:val="14"/>
                <w:szCs w:val="14"/>
                <w:b w:val="1"/>
                <w:bCs w:val="1"/>
                <w:color w:val="00558C"/>
              </w:rPr>
              <w:t>n</w:t>
            </w:r>
          </w:p>
        </w:tc>
        <w:tc>
          <w:tcPr>
            <w:tcW w:w="0" w:type="dxa"/>
            <w:vAlign w:val="bottom"/>
          </w:tcPr>
          <w:p>
            <w:pPr>
              <w:spacing w:after="0"/>
              <w:rPr>
                <w:sz w:val="1"/>
                <w:szCs w:val="1"/>
                <w:color w:val="auto"/>
              </w:rPr>
            </w:pPr>
          </w:p>
        </w:tc>
      </w:tr>
      <w:tr>
        <w:trPr>
          <w:trHeight w:val="109"/>
        </w:trPr>
        <w:tc>
          <w:tcPr>
            <w:tcW w:w="172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Markell</w:t>
            </w: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University Health</w:t>
            </w: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(f/k/a Lifespan Health System)</w:t>
            </w: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7"/>
        </w:trPr>
        <w:tc>
          <w:tcPr>
            <w:tcW w:w="1720" w:type="dxa"/>
            <w:vAlign w:val="bottom"/>
            <w:shd w:val="clear" w:color="auto" w:fill="F2F3F2"/>
          </w:tcPr>
          <w:p>
            <w:pPr>
              <w:ind w:left="900"/>
              <w:spacing w:after="0"/>
              <w:rPr>
                <w:sz w:val="20"/>
                <w:szCs w:val="20"/>
                <w:color w:val="auto"/>
              </w:rPr>
            </w:pPr>
            <w:r>
              <w:rPr>
                <w:rFonts w:ascii="Arial" w:cs="Arial" w:eastAsia="Arial" w:hAnsi="Arial"/>
                <w:sz w:val="14"/>
                <w:szCs w:val="14"/>
                <w:b w:val="1"/>
                <w:bCs w:val="1"/>
                <w:color w:val="00558C"/>
              </w:rPr>
              <w:t>John</w:t>
            </w:r>
          </w:p>
        </w:tc>
        <w:tc>
          <w:tcPr>
            <w:tcW w:w="42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73</w:t>
            </w:r>
          </w:p>
        </w:tc>
        <w:tc>
          <w:tcPr>
            <w:tcW w:w="76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2004</w:t>
            </w:r>
          </w:p>
        </w:tc>
        <w:tc>
          <w:tcPr>
            <w:tcW w:w="23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Huron Consulting Group Inc.,</w:t>
            </w:r>
          </w:p>
        </w:tc>
        <w:tc>
          <w:tcPr>
            <w:tcW w:w="1140" w:type="dxa"/>
            <w:vAlign w:val="bottom"/>
            <w:shd w:val="clear" w:color="auto" w:fill="F2F3F2"/>
          </w:tcPr>
          <w:p>
            <w:pPr>
              <w:spacing w:after="0"/>
              <w:rPr>
                <w:sz w:val="24"/>
                <w:szCs w:val="24"/>
                <w:color w:val="auto"/>
              </w:rPr>
            </w:pPr>
          </w:p>
        </w:tc>
        <w:tc>
          <w:tcPr>
            <w:tcW w:w="520" w:type="dxa"/>
            <w:vAlign w:val="bottom"/>
            <w:vMerge w:val="restart"/>
            <w:shd w:val="clear" w:color="auto" w:fill="F2F3F2"/>
          </w:tcPr>
          <w:p>
            <w:pPr>
              <w:ind w:left="180"/>
              <w:spacing w:after="0"/>
              <w:rPr>
                <w:sz w:val="20"/>
                <w:szCs w:val="20"/>
                <w:color w:val="auto"/>
              </w:rPr>
            </w:pPr>
            <w:r>
              <w:rPr>
                <w:rFonts w:ascii="Webdings" w:cs="Webdings" w:eastAsia="Webdings" w:hAnsi="Webdings"/>
                <w:sz w:val="14"/>
                <w:szCs w:val="14"/>
                <w:b w:val="1"/>
                <w:bCs w:val="1"/>
                <w:color w:val="00558C"/>
              </w:rPr>
              <w:t>n</w:t>
            </w:r>
          </w:p>
        </w:tc>
        <w:tc>
          <w:tcPr>
            <w:tcW w:w="1100" w:type="dxa"/>
            <w:vAlign w:val="bottom"/>
            <w:vMerge w:val="restart"/>
            <w:shd w:val="clear" w:color="auto" w:fill="F2F3F2"/>
          </w:tcPr>
          <w:p>
            <w:pPr>
              <w:ind w:left="740"/>
              <w:spacing w:after="0"/>
              <w:rPr>
                <w:sz w:val="20"/>
                <w:szCs w:val="20"/>
                <w:color w:val="auto"/>
              </w:rPr>
            </w:pPr>
            <w:r>
              <w:rPr>
                <w:rFonts w:ascii="Webdings" w:cs="Webdings" w:eastAsia="Webdings" w:hAnsi="Webdings"/>
                <w:sz w:val="14"/>
                <w:szCs w:val="14"/>
                <w:b w:val="1"/>
                <w:bCs w:val="1"/>
                <w:color w:val="00558C"/>
              </w:rPr>
              <w:t>n</w:t>
            </w:r>
          </w:p>
        </w:tc>
        <w:tc>
          <w:tcPr>
            <w:tcW w:w="10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720" w:type="dxa"/>
            <w:vAlign w:val="bottom"/>
            <w:vMerge w:val="restart"/>
            <w:shd w:val="clear" w:color="auto" w:fill="F2F3F2"/>
          </w:tcPr>
          <w:p>
            <w:pPr>
              <w:ind w:left="900"/>
              <w:spacing w:after="0"/>
              <w:rPr>
                <w:sz w:val="20"/>
                <w:szCs w:val="20"/>
                <w:color w:val="auto"/>
              </w:rPr>
            </w:pPr>
            <w:r>
              <w:rPr>
                <w:rFonts w:ascii="Arial" w:cs="Arial" w:eastAsia="Arial" w:hAnsi="Arial"/>
                <w:sz w:val="14"/>
                <w:szCs w:val="14"/>
                <w:b w:val="1"/>
                <w:bCs w:val="1"/>
                <w:color w:val="00558C"/>
              </w:rPr>
              <w:t>McCartney</w:t>
            </w:r>
          </w:p>
        </w:tc>
        <w:tc>
          <w:tcPr>
            <w:tcW w:w="420" w:type="dxa"/>
            <w:vAlign w:val="bottom"/>
            <w:vMerge w:val="continue"/>
            <w:shd w:val="clear" w:color="auto" w:fill="F2F3F2"/>
          </w:tcPr>
          <w:p>
            <w:pPr>
              <w:spacing w:after="0"/>
              <w:rPr>
                <w:sz w:val="6"/>
                <w:szCs w:val="6"/>
                <w:color w:val="auto"/>
              </w:rPr>
            </w:pPr>
          </w:p>
        </w:tc>
        <w:tc>
          <w:tcPr>
            <w:tcW w:w="760" w:type="dxa"/>
            <w:vAlign w:val="bottom"/>
            <w:vMerge w:val="continue"/>
            <w:shd w:val="clear" w:color="auto" w:fill="F2F3F2"/>
          </w:tcPr>
          <w:p>
            <w:pPr>
              <w:spacing w:after="0"/>
              <w:rPr>
                <w:sz w:val="6"/>
                <w:szCs w:val="6"/>
                <w:color w:val="auto"/>
              </w:rPr>
            </w:pPr>
          </w:p>
        </w:tc>
        <w:tc>
          <w:tcPr>
            <w:tcW w:w="2360" w:type="dxa"/>
            <w:vAlign w:val="bottom"/>
            <w:vMerge w:val="restart"/>
            <w:shd w:val="clear" w:color="auto" w:fill="F2F3F2"/>
          </w:tcPr>
          <w:p>
            <w:pPr>
              <w:ind w:left="120"/>
              <w:spacing w:after="0"/>
              <w:rPr>
                <w:sz w:val="20"/>
                <w:szCs w:val="20"/>
                <w:color w:val="auto"/>
              </w:rPr>
            </w:pPr>
            <w:r>
              <w:rPr>
                <w:rFonts w:ascii="Arial" w:cs="Arial" w:eastAsia="Arial" w:hAnsi="Arial"/>
                <w:sz w:val="14"/>
                <w:szCs w:val="14"/>
                <w:color w:val="auto"/>
              </w:rPr>
              <w:t>Director</w:t>
            </w:r>
            <w:r>
              <w:rPr>
                <w:rFonts w:ascii="Arial" w:cs="Arial" w:eastAsia="Arial" w:hAnsi="Arial"/>
                <w:sz w:val="18"/>
                <w:szCs w:val="18"/>
                <w:color w:val="auto"/>
                <w:vertAlign w:val="superscript"/>
              </w:rPr>
              <w:t>5</w:t>
            </w:r>
          </w:p>
        </w:tc>
        <w:tc>
          <w:tcPr>
            <w:tcW w:w="1140" w:type="dxa"/>
            <w:vAlign w:val="bottom"/>
            <w:shd w:val="clear" w:color="auto" w:fill="F2F3F2"/>
          </w:tcPr>
          <w:p>
            <w:pPr>
              <w:spacing w:after="0"/>
              <w:rPr>
                <w:sz w:val="6"/>
                <w:szCs w:val="6"/>
                <w:color w:val="auto"/>
              </w:rPr>
            </w:pPr>
          </w:p>
        </w:tc>
        <w:tc>
          <w:tcPr>
            <w:tcW w:w="520" w:type="dxa"/>
            <w:vAlign w:val="bottom"/>
            <w:vMerge w:val="continue"/>
            <w:shd w:val="clear" w:color="auto" w:fill="F2F3F2"/>
          </w:tcPr>
          <w:p>
            <w:pPr>
              <w:spacing w:after="0"/>
              <w:rPr>
                <w:sz w:val="6"/>
                <w:szCs w:val="6"/>
                <w:color w:val="auto"/>
              </w:rPr>
            </w:pPr>
          </w:p>
        </w:tc>
        <w:tc>
          <w:tcPr>
            <w:tcW w:w="1100" w:type="dxa"/>
            <w:vAlign w:val="bottom"/>
            <w:vMerge w:val="continue"/>
            <w:shd w:val="clear" w:color="auto" w:fill="F2F3F2"/>
          </w:tcPr>
          <w:p>
            <w:pPr>
              <w:spacing w:after="0"/>
              <w:rPr>
                <w:sz w:val="6"/>
                <w:szCs w:val="6"/>
                <w:color w:val="auto"/>
              </w:rPr>
            </w:pPr>
          </w:p>
        </w:tc>
        <w:tc>
          <w:tcPr>
            <w:tcW w:w="106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720" w:type="dxa"/>
            <w:vAlign w:val="bottom"/>
            <w:vMerge w:val="continue"/>
            <w:shd w:val="clear" w:color="auto" w:fill="F2F3F2"/>
          </w:tcPr>
          <w:p>
            <w:pPr>
              <w:spacing w:after="0"/>
              <w:rPr>
                <w:sz w:val="14"/>
                <w:szCs w:val="14"/>
                <w:color w:val="auto"/>
              </w:rPr>
            </w:pPr>
          </w:p>
        </w:tc>
        <w:tc>
          <w:tcPr>
            <w:tcW w:w="420" w:type="dxa"/>
            <w:vAlign w:val="bottom"/>
            <w:vMerge w:val="continue"/>
            <w:shd w:val="clear" w:color="auto" w:fill="F2F3F2"/>
          </w:tcPr>
          <w:p>
            <w:pPr>
              <w:spacing w:after="0"/>
              <w:rPr>
                <w:sz w:val="14"/>
                <w:szCs w:val="14"/>
                <w:color w:val="auto"/>
              </w:rPr>
            </w:pPr>
          </w:p>
        </w:tc>
        <w:tc>
          <w:tcPr>
            <w:tcW w:w="760" w:type="dxa"/>
            <w:vAlign w:val="bottom"/>
            <w:vMerge w:val="continue"/>
            <w:shd w:val="clear" w:color="auto" w:fill="F2F3F2"/>
          </w:tcPr>
          <w:p>
            <w:pPr>
              <w:spacing w:after="0"/>
              <w:rPr>
                <w:sz w:val="14"/>
                <w:szCs w:val="14"/>
                <w:color w:val="auto"/>
              </w:rPr>
            </w:pPr>
          </w:p>
        </w:tc>
        <w:tc>
          <w:tcPr>
            <w:tcW w:w="2360" w:type="dxa"/>
            <w:vAlign w:val="bottom"/>
            <w:vMerge w:val="continue"/>
            <w:shd w:val="clear" w:color="auto" w:fill="F2F3F2"/>
          </w:tcPr>
          <w:p>
            <w:pPr>
              <w:spacing w:after="0"/>
              <w:rPr>
                <w:sz w:val="14"/>
                <w:szCs w:val="14"/>
                <w:color w:val="auto"/>
              </w:rPr>
            </w:pPr>
          </w:p>
        </w:tc>
        <w:tc>
          <w:tcPr>
            <w:tcW w:w="1140" w:type="dxa"/>
            <w:vAlign w:val="bottom"/>
            <w:shd w:val="clear" w:color="auto" w:fill="F2F3F2"/>
          </w:tcPr>
          <w:p>
            <w:pPr>
              <w:spacing w:after="0"/>
              <w:rPr>
                <w:sz w:val="14"/>
                <w:szCs w:val="14"/>
                <w:color w:val="auto"/>
              </w:rPr>
            </w:pPr>
          </w:p>
        </w:tc>
        <w:tc>
          <w:tcPr>
            <w:tcW w:w="520" w:type="dxa"/>
            <w:vAlign w:val="bottom"/>
            <w:shd w:val="clear" w:color="auto" w:fill="F2F3F2"/>
          </w:tcPr>
          <w:p>
            <w:pPr>
              <w:spacing w:after="0"/>
              <w:rPr>
                <w:sz w:val="14"/>
                <w:szCs w:val="14"/>
                <w:color w:val="auto"/>
              </w:rPr>
            </w:pPr>
          </w:p>
        </w:tc>
        <w:tc>
          <w:tcPr>
            <w:tcW w:w="1100" w:type="dxa"/>
            <w:vAlign w:val="bottom"/>
            <w:shd w:val="clear" w:color="auto" w:fill="F2F3F2"/>
          </w:tcPr>
          <w:p>
            <w:pPr>
              <w:spacing w:after="0"/>
              <w:rPr>
                <w:sz w:val="14"/>
                <w:szCs w:val="14"/>
                <w:color w:val="auto"/>
              </w:rPr>
            </w:pPr>
          </w:p>
        </w:tc>
        <w:tc>
          <w:tcPr>
            <w:tcW w:w="106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20" w:type="dxa"/>
            <w:vAlign w:val="bottom"/>
            <w:shd w:val="clear" w:color="auto" w:fill="F2F3F2"/>
          </w:tcPr>
          <w:p>
            <w:pPr>
              <w:spacing w:after="0"/>
              <w:rPr>
                <w:sz w:val="13"/>
                <w:szCs w:val="13"/>
                <w:color w:val="auto"/>
              </w:rPr>
            </w:pPr>
          </w:p>
        </w:tc>
        <w:tc>
          <w:tcPr>
            <w:tcW w:w="420" w:type="dxa"/>
            <w:vAlign w:val="bottom"/>
            <w:shd w:val="clear" w:color="auto" w:fill="F2F3F2"/>
          </w:tcPr>
          <w:p>
            <w:pPr>
              <w:spacing w:after="0"/>
              <w:rPr>
                <w:sz w:val="13"/>
                <w:szCs w:val="13"/>
                <w:color w:val="auto"/>
              </w:rPr>
            </w:pPr>
          </w:p>
        </w:tc>
        <w:tc>
          <w:tcPr>
            <w:tcW w:w="760" w:type="dxa"/>
            <w:vAlign w:val="bottom"/>
            <w:shd w:val="clear" w:color="auto" w:fill="F2F3F2"/>
          </w:tcPr>
          <w:p>
            <w:pPr>
              <w:spacing w:after="0"/>
              <w:rPr>
                <w:sz w:val="13"/>
                <w:szCs w:val="13"/>
                <w:color w:val="auto"/>
              </w:rPr>
            </w:pPr>
          </w:p>
        </w:tc>
        <w:tc>
          <w:tcPr>
            <w:tcW w:w="2360" w:type="dxa"/>
            <w:vAlign w:val="bottom"/>
            <w:shd w:val="clear" w:color="auto" w:fill="F2F3F2"/>
          </w:tcPr>
          <w:p>
            <w:pPr>
              <w:spacing w:after="0"/>
              <w:rPr>
                <w:sz w:val="13"/>
                <w:szCs w:val="13"/>
                <w:color w:val="auto"/>
              </w:rPr>
            </w:pPr>
          </w:p>
        </w:tc>
        <w:tc>
          <w:tcPr>
            <w:tcW w:w="1140" w:type="dxa"/>
            <w:vAlign w:val="bottom"/>
            <w:shd w:val="clear" w:color="auto" w:fill="F2F3F2"/>
          </w:tcPr>
          <w:p>
            <w:pPr>
              <w:spacing w:after="0"/>
              <w:rPr>
                <w:sz w:val="13"/>
                <w:szCs w:val="13"/>
                <w:color w:val="auto"/>
              </w:rPr>
            </w:pPr>
          </w:p>
        </w:tc>
        <w:tc>
          <w:tcPr>
            <w:tcW w:w="520" w:type="dxa"/>
            <w:vAlign w:val="bottom"/>
            <w:shd w:val="clear" w:color="auto" w:fill="F2F3F2"/>
          </w:tcPr>
          <w:p>
            <w:pPr>
              <w:spacing w:after="0"/>
              <w:rPr>
                <w:sz w:val="13"/>
                <w:szCs w:val="13"/>
                <w:color w:val="auto"/>
              </w:rPr>
            </w:pPr>
          </w:p>
        </w:tc>
        <w:tc>
          <w:tcPr>
            <w:tcW w:w="1100" w:type="dxa"/>
            <w:vAlign w:val="bottom"/>
            <w:shd w:val="clear" w:color="auto" w:fill="F2F3F2"/>
          </w:tcPr>
          <w:p>
            <w:pPr>
              <w:spacing w:after="0"/>
              <w:rPr>
                <w:sz w:val="13"/>
                <w:szCs w:val="13"/>
                <w:color w:val="auto"/>
              </w:rPr>
            </w:pPr>
          </w:p>
        </w:tc>
        <w:tc>
          <w:tcPr>
            <w:tcW w:w="1060" w:type="dxa"/>
            <w:vAlign w:val="bottom"/>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1720" w:type="dxa"/>
            <w:vAlign w:val="bottom"/>
          </w:tcPr>
          <w:p>
            <w:pPr>
              <w:ind w:left="900"/>
              <w:spacing w:after="0"/>
              <w:rPr>
                <w:sz w:val="20"/>
                <w:szCs w:val="20"/>
                <w:color w:val="auto"/>
              </w:rPr>
            </w:pPr>
            <w:r>
              <w:rPr>
                <w:rFonts w:ascii="Arial" w:cs="Arial" w:eastAsia="Arial" w:hAnsi="Arial"/>
                <w:sz w:val="14"/>
                <w:szCs w:val="14"/>
                <w:b w:val="1"/>
                <w:bCs w:val="1"/>
                <w:color w:val="00558C"/>
              </w:rPr>
              <w:t>James H.</w:t>
            </w:r>
          </w:p>
        </w:tc>
        <w:tc>
          <w:tcPr>
            <w:tcW w:w="420" w:type="dxa"/>
            <w:vAlign w:val="bottom"/>
            <w:vMerge w:val="restart"/>
          </w:tcPr>
          <w:p>
            <w:pPr>
              <w:jc w:val="center"/>
              <w:spacing w:after="0"/>
              <w:rPr>
                <w:sz w:val="20"/>
                <w:szCs w:val="20"/>
                <w:color w:val="auto"/>
              </w:rPr>
            </w:pPr>
            <w:r>
              <w:rPr>
                <w:rFonts w:ascii="Arial" w:cs="Arial" w:eastAsia="Arial" w:hAnsi="Arial"/>
                <w:sz w:val="14"/>
                <w:szCs w:val="14"/>
                <w:color w:val="auto"/>
              </w:rPr>
              <w:t>68</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2009</w:t>
            </w:r>
          </w:p>
        </w:tc>
        <w:tc>
          <w:tcPr>
            <w:tcW w:w="2360" w:type="dxa"/>
            <w:vAlign w:val="bottom"/>
          </w:tcPr>
          <w:p>
            <w:pPr>
              <w:ind w:left="120"/>
              <w:spacing w:after="0"/>
              <w:rPr>
                <w:sz w:val="20"/>
                <w:szCs w:val="20"/>
                <w:color w:val="auto"/>
              </w:rPr>
            </w:pPr>
            <w:r>
              <w:rPr>
                <w:rFonts w:ascii="Arial" w:cs="Arial" w:eastAsia="Arial" w:hAnsi="Arial"/>
                <w:sz w:val="14"/>
                <w:szCs w:val="14"/>
                <w:color w:val="auto"/>
              </w:rPr>
              <w:t>Vice Chairman, Client Services,</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2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Roth</w:t>
            </w: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Huron Consulting Group Inc.</w:t>
            </w: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4"/>
        </w:trPr>
        <w:tc>
          <w:tcPr>
            <w:tcW w:w="1720" w:type="dxa"/>
            <w:vAlign w:val="bottom"/>
            <w:shd w:val="clear" w:color="auto" w:fill="F2F3F2"/>
          </w:tcPr>
          <w:p>
            <w:pPr>
              <w:ind w:left="900"/>
              <w:spacing w:after="0"/>
              <w:rPr>
                <w:sz w:val="20"/>
                <w:szCs w:val="20"/>
                <w:color w:val="auto"/>
              </w:rPr>
            </w:pPr>
            <w:r>
              <w:rPr>
                <w:rFonts w:ascii="Arial" w:cs="Arial" w:eastAsia="Arial" w:hAnsi="Arial"/>
                <w:sz w:val="14"/>
                <w:szCs w:val="14"/>
                <w:b w:val="1"/>
                <w:bCs w:val="1"/>
                <w:color w:val="00558C"/>
              </w:rPr>
              <w:t>Hugh E.</w:t>
            </w:r>
          </w:p>
        </w:tc>
        <w:tc>
          <w:tcPr>
            <w:tcW w:w="42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71</w:t>
            </w:r>
          </w:p>
        </w:tc>
        <w:tc>
          <w:tcPr>
            <w:tcW w:w="760" w:type="dxa"/>
            <w:vAlign w:val="bottom"/>
            <w:vMerge w:val="restart"/>
            <w:shd w:val="clear" w:color="auto" w:fill="F2F3F2"/>
          </w:tcPr>
          <w:p>
            <w:pPr>
              <w:jc w:val="center"/>
              <w:spacing w:after="0"/>
              <w:rPr>
                <w:sz w:val="20"/>
                <w:szCs w:val="20"/>
                <w:color w:val="auto"/>
              </w:rPr>
            </w:pPr>
            <w:r>
              <w:rPr>
                <w:rFonts w:ascii="Arial" w:cs="Arial" w:eastAsia="Arial" w:hAnsi="Arial"/>
                <w:sz w:val="14"/>
                <w:szCs w:val="14"/>
                <w:color w:val="auto"/>
              </w:rPr>
              <w:t>2018</w:t>
            </w:r>
          </w:p>
        </w:tc>
        <w:tc>
          <w:tcPr>
            <w:tcW w:w="2360" w:type="dxa"/>
            <w:vAlign w:val="bottom"/>
            <w:shd w:val="clear" w:color="auto" w:fill="F2F3F2"/>
          </w:tcPr>
          <w:p>
            <w:pPr>
              <w:ind w:left="200"/>
              <w:spacing w:after="0"/>
              <w:rPr>
                <w:sz w:val="20"/>
                <w:szCs w:val="20"/>
                <w:color w:val="auto"/>
              </w:rPr>
            </w:pPr>
            <w:r>
              <w:rPr>
                <w:rFonts w:ascii="Arial" w:cs="Arial" w:eastAsia="Arial" w:hAnsi="Arial"/>
                <w:sz w:val="14"/>
                <w:szCs w:val="14"/>
                <w:color w:val="auto"/>
              </w:rPr>
              <w:t>Non-Executive Chairman, Huron</w:t>
            </w:r>
          </w:p>
        </w:tc>
        <w:tc>
          <w:tcPr>
            <w:tcW w:w="1140" w:type="dxa"/>
            <w:vAlign w:val="bottom"/>
            <w:shd w:val="clear" w:color="auto" w:fill="F2F3F2"/>
          </w:tcPr>
          <w:p>
            <w:pPr>
              <w:spacing w:after="0"/>
              <w:rPr>
                <w:sz w:val="24"/>
                <w:szCs w:val="24"/>
                <w:color w:val="auto"/>
              </w:rPr>
            </w:pPr>
          </w:p>
        </w:tc>
        <w:tc>
          <w:tcPr>
            <w:tcW w:w="520" w:type="dxa"/>
            <w:vAlign w:val="bottom"/>
            <w:vMerge w:val="restart"/>
            <w:shd w:val="clear" w:color="auto" w:fill="F2F3F2"/>
          </w:tcPr>
          <w:p>
            <w:pPr>
              <w:ind w:left="180"/>
              <w:spacing w:after="0"/>
              <w:rPr>
                <w:sz w:val="20"/>
                <w:szCs w:val="20"/>
                <w:color w:val="auto"/>
              </w:rPr>
            </w:pPr>
            <w:r>
              <w:rPr>
                <w:rFonts w:ascii="Webdings" w:cs="Webdings" w:eastAsia="Webdings" w:hAnsi="Webdings"/>
                <w:sz w:val="14"/>
                <w:szCs w:val="14"/>
                <w:b w:val="1"/>
                <w:bCs w:val="1"/>
                <w:color w:val="00558C"/>
              </w:rPr>
              <w:t>n</w:t>
            </w:r>
          </w:p>
        </w:tc>
        <w:tc>
          <w:tcPr>
            <w:tcW w:w="1100" w:type="dxa"/>
            <w:vAlign w:val="bottom"/>
            <w:vMerge w:val="restart"/>
            <w:shd w:val="clear" w:color="auto" w:fill="F2F3F2"/>
          </w:tcPr>
          <w:p>
            <w:pPr>
              <w:ind w:left="740"/>
              <w:spacing w:after="0"/>
              <w:rPr>
                <w:sz w:val="20"/>
                <w:szCs w:val="20"/>
                <w:color w:val="auto"/>
              </w:rPr>
            </w:pPr>
            <w:r>
              <w:rPr>
                <w:rFonts w:ascii="Webdings" w:cs="Webdings" w:eastAsia="Webdings" w:hAnsi="Webdings"/>
                <w:sz w:val="14"/>
                <w:szCs w:val="14"/>
                <w:b w:val="1"/>
                <w:bCs w:val="1"/>
                <w:color w:val="00558C"/>
              </w:rPr>
              <w:t>n</w:t>
            </w:r>
          </w:p>
        </w:tc>
        <w:tc>
          <w:tcPr>
            <w:tcW w:w="1060" w:type="dxa"/>
            <w:vAlign w:val="bottom"/>
            <w:vMerge w:val="restart"/>
            <w:shd w:val="clear" w:color="auto" w:fill="F2F3F2"/>
          </w:tcPr>
          <w:p>
            <w:pPr>
              <w:ind w:left="720"/>
              <w:spacing w:after="0"/>
              <w:rPr>
                <w:sz w:val="20"/>
                <w:szCs w:val="20"/>
                <w:color w:val="auto"/>
              </w:rPr>
            </w:pPr>
            <w:r>
              <w:rPr>
                <w:rFonts w:ascii="Webdings" w:cs="Webdings" w:eastAsia="Webdings" w:hAnsi="Webdings"/>
                <w:sz w:val="14"/>
                <w:szCs w:val="14"/>
                <w:b w:val="1"/>
                <w:bCs w:val="1"/>
                <w:color w:val="00558C"/>
              </w:rPr>
              <w:t>n</w:t>
            </w:r>
          </w:p>
        </w:tc>
        <w:tc>
          <w:tcPr>
            <w:tcW w:w="0" w:type="dxa"/>
            <w:vAlign w:val="bottom"/>
          </w:tcPr>
          <w:p>
            <w:pPr>
              <w:spacing w:after="0"/>
              <w:rPr>
                <w:sz w:val="1"/>
                <w:szCs w:val="1"/>
                <w:color w:val="auto"/>
              </w:rPr>
            </w:pPr>
          </w:p>
        </w:tc>
      </w:tr>
      <w:tr>
        <w:trPr>
          <w:trHeight w:val="96"/>
        </w:trPr>
        <w:tc>
          <w:tcPr>
            <w:tcW w:w="1720" w:type="dxa"/>
            <w:vAlign w:val="bottom"/>
            <w:vMerge w:val="restart"/>
            <w:shd w:val="clear" w:color="auto" w:fill="F2F3F2"/>
          </w:tcPr>
          <w:p>
            <w:pPr>
              <w:ind w:left="900"/>
              <w:spacing w:after="0"/>
              <w:rPr>
                <w:sz w:val="20"/>
                <w:szCs w:val="20"/>
                <w:color w:val="auto"/>
              </w:rPr>
            </w:pPr>
            <w:r>
              <w:rPr>
                <w:rFonts w:ascii="Arial" w:cs="Arial" w:eastAsia="Arial" w:hAnsi="Arial"/>
                <w:sz w:val="14"/>
                <w:szCs w:val="14"/>
                <w:b w:val="1"/>
                <w:bCs w:val="1"/>
                <w:color w:val="00558C"/>
              </w:rPr>
              <w:t>Sawyer</w:t>
            </w:r>
          </w:p>
        </w:tc>
        <w:tc>
          <w:tcPr>
            <w:tcW w:w="420" w:type="dxa"/>
            <w:vAlign w:val="bottom"/>
            <w:vMerge w:val="continue"/>
            <w:shd w:val="clear" w:color="auto" w:fill="F2F3F2"/>
          </w:tcPr>
          <w:p>
            <w:pPr>
              <w:spacing w:after="0"/>
              <w:rPr>
                <w:sz w:val="8"/>
                <w:szCs w:val="8"/>
                <w:color w:val="auto"/>
              </w:rPr>
            </w:pPr>
          </w:p>
        </w:tc>
        <w:tc>
          <w:tcPr>
            <w:tcW w:w="760" w:type="dxa"/>
            <w:vAlign w:val="bottom"/>
            <w:vMerge w:val="continue"/>
            <w:shd w:val="clear" w:color="auto" w:fill="F2F3F2"/>
          </w:tcPr>
          <w:p>
            <w:pPr>
              <w:spacing w:after="0"/>
              <w:rPr>
                <w:sz w:val="8"/>
                <w:szCs w:val="8"/>
                <w:color w:val="auto"/>
              </w:rPr>
            </w:pPr>
          </w:p>
        </w:tc>
        <w:tc>
          <w:tcPr>
            <w:tcW w:w="2360" w:type="dxa"/>
            <w:vAlign w:val="bottom"/>
            <w:vMerge w:val="restart"/>
            <w:shd w:val="clear" w:color="auto" w:fill="F2F3F2"/>
          </w:tcPr>
          <w:p>
            <w:pPr>
              <w:ind w:left="200"/>
              <w:spacing w:after="0"/>
              <w:rPr>
                <w:sz w:val="20"/>
                <w:szCs w:val="20"/>
                <w:color w:val="auto"/>
              </w:rPr>
            </w:pPr>
            <w:r>
              <w:rPr>
                <w:rFonts w:ascii="Arial" w:cs="Arial" w:eastAsia="Arial" w:hAnsi="Arial"/>
                <w:sz w:val="14"/>
                <w:szCs w:val="14"/>
                <w:color w:val="auto"/>
              </w:rPr>
              <w:t>Consulting Group Inc.</w:t>
            </w:r>
          </w:p>
        </w:tc>
        <w:tc>
          <w:tcPr>
            <w:tcW w:w="1140" w:type="dxa"/>
            <w:vAlign w:val="bottom"/>
            <w:shd w:val="clear" w:color="auto" w:fill="F2F3F2"/>
          </w:tcPr>
          <w:p>
            <w:pPr>
              <w:spacing w:after="0"/>
              <w:rPr>
                <w:sz w:val="8"/>
                <w:szCs w:val="8"/>
                <w:color w:val="auto"/>
              </w:rPr>
            </w:pPr>
          </w:p>
        </w:tc>
        <w:tc>
          <w:tcPr>
            <w:tcW w:w="520" w:type="dxa"/>
            <w:vAlign w:val="bottom"/>
            <w:vMerge w:val="continue"/>
            <w:shd w:val="clear" w:color="auto" w:fill="F2F3F2"/>
          </w:tcPr>
          <w:p>
            <w:pPr>
              <w:spacing w:after="0"/>
              <w:rPr>
                <w:sz w:val="8"/>
                <w:szCs w:val="8"/>
                <w:color w:val="auto"/>
              </w:rPr>
            </w:pPr>
          </w:p>
        </w:tc>
        <w:tc>
          <w:tcPr>
            <w:tcW w:w="1100" w:type="dxa"/>
            <w:vAlign w:val="bottom"/>
            <w:vMerge w:val="continue"/>
            <w:shd w:val="clear" w:color="auto" w:fill="F2F3F2"/>
          </w:tcPr>
          <w:p>
            <w:pPr>
              <w:spacing w:after="0"/>
              <w:rPr>
                <w:sz w:val="8"/>
                <w:szCs w:val="8"/>
                <w:color w:val="auto"/>
              </w:rPr>
            </w:pPr>
          </w:p>
        </w:tc>
        <w:tc>
          <w:tcPr>
            <w:tcW w:w="1060" w:type="dxa"/>
            <w:vAlign w:val="bottom"/>
            <w:vMerge w:val="continue"/>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vMerge w:val="continue"/>
            <w:shd w:val="clear" w:color="auto" w:fill="F2F3F2"/>
          </w:tcPr>
          <w:p>
            <w:pPr>
              <w:spacing w:after="0"/>
              <w:rPr>
                <w:sz w:val="8"/>
                <w:szCs w:val="8"/>
                <w:color w:val="auto"/>
              </w:rPr>
            </w:pPr>
          </w:p>
        </w:tc>
        <w:tc>
          <w:tcPr>
            <w:tcW w:w="420" w:type="dxa"/>
            <w:vAlign w:val="bottom"/>
            <w:shd w:val="clear" w:color="auto" w:fill="F2F3F2"/>
          </w:tcPr>
          <w:p>
            <w:pPr>
              <w:spacing w:after="0"/>
              <w:rPr>
                <w:sz w:val="8"/>
                <w:szCs w:val="8"/>
                <w:color w:val="auto"/>
              </w:rPr>
            </w:pPr>
          </w:p>
        </w:tc>
        <w:tc>
          <w:tcPr>
            <w:tcW w:w="760" w:type="dxa"/>
            <w:vAlign w:val="bottom"/>
            <w:shd w:val="clear" w:color="auto" w:fill="F2F3F2"/>
          </w:tcPr>
          <w:p>
            <w:pPr>
              <w:spacing w:after="0"/>
              <w:rPr>
                <w:sz w:val="8"/>
                <w:szCs w:val="8"/>
                <w:color w:val="auto"/>
              </w:rPr>
            </w:pPr>
          </w:p>
        </w:tc>
        <w:tc>
          <w:tcPr>
            <w:tcW w:w="2360" w:type="dxa"/>
            <w:vAlign w:val="bottom"/>
            <w:vMerge w:val="continue"/>
            <w:shd w:val="clear" w:color="auto" w:fill="F2F3F2"/>
          </w:tcPr>
          <w:p>
            <w:pPr>
              <w:spacing w:after="0"/>
              <w:rPr>
                <w:sz w:val="8"/>
                <w:szCs w:val="8"/>
                <w:color w:val="auto"/>
              </w:rPr>
            </w:pPr>
          </w:p>
        </w:tc>
        <w:tc>
          <w:tcPr>
            <w:tcW w:w="1140" w:type="dxa"/>
            <w:vAlign w:val="bottom"/>
            <w:shd w:val="clear" w:color="auto" w:fill="F2F3F2"/>
          </w:tcPr>
          <w:p>
            <w:pPr>
              <w:spacing w:after="0"/>
              <w:rPr>
                <w:sz w:val="8"/>
                <w:szCs w:val="8"/>
                <w:color w:val="auto"/>
              </w:rPr>
            </w:pPr>
          </w:p>
        </w:tc>
        <w:tc>
          <w:tcPr>
            <w:tcW w:w="520" w:type="dxa"/>
            <w:vAlign w:val="bottom"/>
            <w:shd w:val="clear" w:color="auto" w:fill="F2F3F2"/>
          </w:tcPr>
          <w:p>
            <w:pPr>
              <w:spacing w:after="0"/>
              <w:rPr>
                <w:sz w:val="8"/>
                <w:szCs w:val="8"/>
                <w:color w:val="auto"/>
              </w:rPr>
            </w:pPr>
          </w:p>
        </w:tc>
        <w:tc>
          <w:tcPr>
            <w:tcW w:w="1100" w:type="dxa"/>
            <w:vAlign w:val="bottom"/>
            <w:shd w:val="clear" w:color="auto" w:fill="F2F3F2"/>
          </w:tcPr>
          <w:p>
            <w:pPr>
              <w:spacing w:after="0"/>
              <w:rPr>
                <w:sz w:val="8"/>
                <w:szCs w:val="8"/>
                <w:color w:val="auto"/>
              </w:rPr>
            </w:pPr>
          </w:p>
        </w:tc>
        <w:tc>
          <w:tcPr>
            <w:tcW w:w="106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20" w:type="dxa"/>
            <w:vAlign w:val="bottom"/>
            <w:shd w:val="clear" w:color="auto" w:fill="F2F3F2"/>
          </w:tcPr>
          <w:p>
            <w:pPr>
              <w:spacing w:after="0"/>
              <w:rPr>
                <w:sz w:val="24"/>
                <w:szCs w:val="24"/>
                <w:color w:val="auto"/>
              </w:rPr>
            </w:pPr>
          </w:p>
        </w:tc>
        <w:tc>
          <w:tcPr>
            <w:tcW w:w="420" w:type="dxa"/>
            <w:vAlign w:val="bottom"/>
            <w:shd w:val="clear" w:color="auto" w:fill="F2F3F2"/>
          </w:tcPr>
          <w:p>
            <w:pPr>
              <w:spacing w:after="0"/>
              <w:rPr>
                <w:sz w:val="24"/>
                <w:szCs w:val="24"/>
                <w:color w:val="auto"/>
              </w:rPr>
            </w:pPr>
          </w:p>
        </w:tc>
        <w:tc>
          <w:tcPr>
            <w:tcW w:w="760" w:type="dxa"/>
            <w:vAlign w:val="bottom"/>
            <w:shd w:val="clear" w:color="auto" w:fill="F2F3F2"/>
          </w:tcPr>
          <w:p>
            <w:pPr>
              <w:spacing w:after="0"/>
              <w:rPr>
                <w:sz w:val="24"/>
                <w:szCs w:val="24"/>
                <w:color w:val="auto"/>
              </w:rPr>
            </w:pPr>
          </w:p>
        </w:tc>
        <w:tc>
          <w:tcPr>
            <w:tcW w:w="2360" w:type="dxa"/>
            <w:vAlign w:val="bottom"/>
            <w:shd w:val="clear" w:color="auto" w:fill="F2F3F2"/>
          </w:tcPr>
          <w:p>
            <w:pPr>
              <w:spacing w:after="0"/>
              <w:rPr>
                <w:sz w:val="24"/>
                <w:szCs w:val="24"/>
                <w:color w:val="auto"/>
              </w:rPr>
            </w:pPr>
          </w:p>
        </w:tc>
        <w:tc>
          <w:tcPr>
            <w:tcW w:w="1140" w:type="dxa"/>
            <w:vAlign w:val="bottom"/>
            <w:shd w:val="clear" w:color="auto" w:fill="F2F3F2"/>
          </w:tcPr>
          <w:p>
            <w:pPr>
              <w:spacing w:after="0"/>
              <w:rPr>
                <w:sz w:val="24"/>
                <w:szCs w:val="24"/>
                <w:color w:val="auto"/>
              </w:rPr>
            </w:pPr>
          </w:p>
        </w:tc>
        <w:tc>
          <w:tcPr>
            <w:tcW w:w="520" w:type="dxa"/>
            <w:vAlign w:val="bottom"/>
            <w:shd w:val="clear" w:color="auto" w:fill="F2F3F2"/>
          </w:tcPr>
          <w:p>
            <w:pPr>
              <w:spacing w:after="0"/>
              <w:rPr>
                <w:sz w:val="24"/>
                <w:szCs w:val="24"/>
                <w:color w:val="auto"/>
              </w:rPr>
            </w:pPr>
          </w:p>
        </w:tc>
        <w:tc>
          <w:tcPr>
            <w:tcW w:w="1100" w:type="dxa"/>
            <w:vAlign w:val="bottom"/>
            <w:shd w:val="clear" w:color="auto" w:fill="F2F3F2"/>
          </w:tcPr>
          <w:p>
            <w:pPr>
              <w:spacing w:after="0"/>
              <w:rPr>
                <w:sz w:val="24"/>
                <w:szCs w:val="24"/>
                <w:color w:val="auto"/>
              </w:rPr>
            </w:pPr>
          </w:p>
        </w:tc>
        <w:tc>
          <w:tcPr>
            <w:tcW w:w="10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ind w:left="900"/>
              <w:spacing w:after="0"/>
              <w:rPr>
                <w:sz w:val="20"/>
                <w:szCs w:val="20"/>
                <w:color w:val="auto"/>
              </w:rPr>
            </w:pPr>
            <w:r>
              <w:rPr>
                <w:rFonts w:ascii="Arial" w:cs="Arial" w:eastAsia="Arial" w:hAnsi="Arial"/>
                <w:sz w:val="14"/>
                <w:szCs w:val="14"/>
                <w:b w:val="1"/>
                <w:bCs w:val="1"/>
                <w:color w:val="00558C"/>
              </w:rPr>
              <w:t>Debra</w:t>
            </w:r>
          </w:p>
        </w:tc>
        <w:tc>
          <w:tcPr>
            <w:tcW w:w="420" w:type="dxa"/>
            <w:vAlign w:val="bottom"/>
            <w:vMerge w:val="restart"/>
          </w:tcPr>
          <w:p>
            <w:pPr>
              <w:jc w:val="center"/>
              <w:spacing w:after="0"/>
              <w:rPr>
                <w:sz w:val="20"/>
                <w:szCs w:val="20"/>
                <w:color w:val="auto"/>
              </w:rPr>
            </w:pPr>
            <w:r>
              <w:rPr>
                <w:rFonts w:ascii="Arial" w:cs="Arial" w:eastAsia="Arial" w:hAnsi="Arial"/>
                <w:sz w:val="14"/>
                <w:szCs w:val="14"/>
                <w:color w:val="auto"/>
              </w:rPr>
              <w:t>70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2014</w:t>
            </w:r>
          </w:p>
        </w:tc>
        <w:tc>
          <w:tcPr>
            <w:tcW w:w="2360" w:type="dxa"/>
            <w:vAlign w:val="bottom"/>
          </w:tcPr>
          <w:p>
            <w:pPr>
              <w:ind w:left="120"/>
              <w:spacing w:after="0"/>
              <w:rPr>
                <w:sz w:val="20"/>
                <w:szCs w:val="20"/>
                <w:color w:val="auto"/>
              </w:rPr>
            </w:pPr>
            <w:r>
              <w:rPr>
                <w:rFonts w:ascii="Arial" w:cs="Arial" w:eastAsia="Arial" w:hAnsi="Arial"/>
                <w:sz w:val="14"/>
                <w:szCs w:val="14"/>
                <w:color w:val="auto"/>
              </w:rPr>
              <w:t>Vice President and General</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vMerge w:val="restart"/>
          </w:tcPr>
          <w:p>
            <w:pPr>
              <w:ind w:left="200"/>
              <w:spacing w:after="0"/>
              <w:rPr>
                <w:sz w:val="20"/>
                <w:szCs w:val="20"/>
                <w:color w:val="auto"/>
              </w:rPr>
            </w:pPr>
            <w:r>
              <w:rPr>
                <w:rFonts w:ascii="Webdings" w:cs="Webdings" w:eastAsia="Webdings" w:hAnsi="Webdings"/>
                <w:sz w:val="14"/>
                <w:szCs w:val="14"/>
                <w:b w:val="1"/>
                <w:bCs w:val="1"/>
                <w:color w:val="00558C"/>
              </w:rPr>
              <w:t>n</w:t>
            </w:r>
          </w:p>
        </w:tc>
        <w:tc>
          <w:tcPr>
            <w:tcW w:w="1060" w:type="dxa"/>
            <w:vAlign w:val="bottom"/>
            <w:vMerge w:val="restart"/>
          </w:tcPr>
          <w:p>
            <w:pPr>
              <w:ind w:left="180"/>
              <w:spacing w:after="0"/>
              <w:rPr>
                <w:sz w:val="20"/>
                <w:szCs w:val="20"/>
                <w:color w:val="auto"/>
              </w:rPr>
            </w:pPr>
            <w:r>
              <w:rPr>
                <w:rFonts w:ascii="Webdings" w:cs="Webdings" w:eastAsia="Webdings" w:hAnsi="Webdings"/>
                <w:sz w:val="14"/>
                <w:szCs w:val="14"/>
                <w:b w:val="1"/>
                <w:bCs w:val="1"/>
                <w:color w:val="00558C"/>
              </w:rPr>
              <w:t>n</w:t>
            </w:r>
          </w:p>
        </w:tc>
        <w:tc>
          <w:tcPr>
            <w:tcW w:w="0" w:type="dxa"/>
            <w:vAlign w:val="bottom"/>
          </w:tcPr>
          <w:p>
            <w:pPr>
              <w:spacing w:after="0"/>
              <w:rPr>
                <w:sz w:val="1"/>
                <w:szCs w:val="1"/>
                <w:color w:val="auto"/>
              </w:rPr>
            </w:pPr>
          </w:p>
        </w:tc>
      </w:tr>
      <w:tr>
        <w:trPr>
          <w:trHeight w:val="109"/>
        </w:trPr>
        <w:tc>
          <w:tcPr>
            <w:tcW w:w="172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Zumwalt</w:t>
            </w: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Counsel, Stanford University</w:t>
            </w: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80" w:right="1720"/>
        <w:spacing w:after="0" w:line="338" w:lineRule="auto"/>
        <w:rPr>
          <w:sz w:val="20"/>
          <w:szCs w:val="20"/>
          <w:color w:val="auto"/>
        </w:rPr>
      </w:pPr>
      <w:r>
        <w:rPr>
          <w:rFonts w:ascii="Arial" w:cs="Arial" w:eastAsia="Arial" w:hAnsi="Arial"/>
          <w:sz w:val="14"/>
          <w:szCs w:val="14"/>
          <w:color w:val="auto"/>
        </w:rPr>
        <w:t>A – Audit Committee; C – Compensation Committee; N&amp;CG – Nominating and Corporate Governance Committee; T&amp;IS – Technology and Information Security Committee; F&amp;CA – Finance and Capital Allocation Committee</w:t>
      </w:r>
    </w:p>
    <w:p>
      <w:pPr>
        <w:ind w:left="60"/>
        <w:spacing w:after="0"/>
        <w:rPr>
          <w:sz w:val="20"/>
          <w:szCs w:val="20"/>
          <w:color w:val="auto"/>
        </w:rPr>
      </w:pPr>
      <w:r>
        <w:rPr>
          <w:sz w:val="1"/>
          <w:szCs w:val="1"/>
          <w:color w:val="auto"/>
        </w:rPr>
        <w:drawing>
          <wp:inline distT="0" distB="0" distL="0" distR="0">
            <wp:extent cx="120015" cy="1047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4"/>
          <w:szCs w:val="14"/>
          <w:color w:val="auto"/>
        </w:rPr>
        <w:t xml:space="preserve"> – Chairperson </w:t>
      </w:r>
      <w:r>
        <w:rPr>
          <w:rFonts w:ascii="Webdings" w:cs="Webdings" w:eastAsia="Webdings" w:hAnsi="Webdings"/>
          <w:sz w:val="14"/>
          <w:szCs w:val="14"/>
          <w:b w:val="1"/>
          <w:bCs w:val="1"/>
          <w:color w:val="00558C"/>
        </w:rPr>
        <w:t>n</w:t>
      </w:r>
      <w:r>
        <w:rPr>
          <w:rFonts w:ascii="Arial" w:cs="Arial" w:eastAsia="Arial" w:hAnsi="Arial"/>
          <w:sz w:val="14"/>
          <w:szCs w:val="14"/>
          <w:color w:val="auto"/>
        </w:rPr>
        <w:t xml:space="preserve"> –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60" w:firstLine="8"/>
        <w:spacing w:after="0" w:line="204" w:lineRule="auto"/>
        <w:tabs>
          <w:tab w:leader="none" w:pos="103" w:val="left"/>
        </w:tabs>
        <w:numPr>
          <w:ilvl w:val="0"/>
          <w:numId w:val="11"/>
        </w:numPr>
        <w:rPr>
          <w:rFonts w:ascii="Times New Roman" w:cs="Times New Roman" w:eastAsia="Times New Roman" w:hAnsi="Times New Roman"/>
          <w:sz w:val="23"/>
          <w:szCs w:val="23"/>
          <w:i w:val="1"/>
          <w:iCs w:val="1"/>
          <w:color w:val="auto"/>
          <w:vertAlign w:val="superscript"/>
        </w:rPr>
      </w:pPr>
      <w:r>
        <w:rPr>
          <w:rFonts w:ascii="Arial" w:cs="Arial" w:eastAsia="Arial" w:hAnsi="Arial"/>
          <w:sz w:val="13"/>
          <w:szCs w:val="13"/>
          <w:i w:val="1"/>
          <w:iCs w:val="1"/>
          <w:color w:val="auto"/>
        </w:rPr>
        <w:t>Ekta Singh-Bushell currently serves as chair of the Compensation Committee. Ms. Singh-Bushell will not stand for re-election and will no longer serve on the board upon election of the director nominees at the 2026 Annual Meeting.</w:t>
      </w:r>
    </w:p>
    <w:p>
      <w:pPr>
        <w:spacing w:after="0" w:line="1" w:lineRule="exact"/>
        <w:rPr>
          <w:rFonts w:ascii="Times New Roman" w:cs="Times New Roman" w:eastAsia="Times New Roman" w:hAnsi="Times New Roman"/>
          <w:sz w:val="23"/>
          <w:szCs w:val="23"/>
          <w:i w:val="1"/>
          <w:iCs w:val="1"/>
          <w:color w:val="auto"/>
          <w:vertAlign w:val="superscript"/>
        </w:rPr>
      </w:pPr>
    </w:p>
    <w:p>
      <w:pPr>
        <w:ind w:right="360"/>
        <w:spacing w:after="0" w:line="202" w:lineRule="auto"/>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3"/>
          <w:szCs w:val="23"/>
          <w:i w:val="1"/>
          <w:iCs w:val="1"/>
          <w:color w:val="auto"/>
          <w:vertAlign w:val="superscript"/>
        </w:rPr>
        <w:t>5</w:t>
      </w:r>
      <w:r>
        <w:rPr>
          <w:rFonts w:ascii="Arial" w:cs="Arial" w:eastAsia="Arial" w:hAnsi="Arial"/>
          <w:sz w:val="13"/>
          <w:szCs w:val="13"/>
          <w:i w:val="1"/>
          <w:iCs w:val="1"/>
          <w:color w:val="auto"/>
        </w:rPr>
        <w:t xml:space="preserve"> Effective January 1, 2025, Mr. McCartney stepped down as non-executive chairman of the board, and the board appointed Hugh E. Sawyer to succeed Mr. McCartney as non-executive chairman of the board.</w:t>
      </w:r>
    </w:p>
    <w:p>
      <w:pPr>
        <w:spacing w:after="0" w:line="322"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2510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2510790"/>
                    </a:xfrm>
                    <a:prstGeom prst="rect">
                      <a:avLst/>
                    </a:prstGeom>
                    <a:noFill/>
                  </pic:spPr>
                </pic:pic>
              </a:graphicData>
            </a:graphic>
          </wp:anchor>
        </w:drawing>
      </w:r>
    </w:p>
    <w:p>
      <w:pPr>
        <w:sectPr>
          <w:pgSz w:w="11900" w:h="16861" w:orient="portrait"/>
          <w:cols w:equalWidth="0" w:num="1">
            <w:col w:w="9080"/>
          </w:cols>
          <w:pgMar w:left="1400" w:top="1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 xml:space="preserve">General </w:t>
      </w:r>
      <w:r>
        <w:rPr>
          <w:rFonts w:ascii="Arial" w:cs="Arial" w:eastAsia="Arial" w:hAnsi="Arial"/>
          <w:sz w:val="13"/>
          <w:szCs w:val="13"/>
          <w:b w:val="1"/>
          <w:bCs w:val="1"/>
          <w:color w:val="6AAA37"/>
        </w:rPr>
        <w:t>Proposal</w:t>
      </w:r>
      <w:r>
        <w:rPr>
          <w:rFonts w:ascii="Arial" w:cs="Arial" w:eastAsia="Arial" w:hAnsi="Arial"/>
          <w:sz w:val="13"/>
          <w:szCs w:val="13"/>
          <w:b w:val="1"/>
          <w:bCs w:val="1"/>
          <w:color w:val="B2B3B6"/>
        </w:rPr>
        <w:t xml:space="preserve"> Information </w:t>
      </w:r>
      <w:r>
        <w:rPr>
          <w:rFonts w:ascii="Arial" w:cs="Arial" w:eastAsia="Arial" w:hAnsi="Arial"/>
          <w:sz w:val="13"/>
          <w:szCs w:val="13"/>
          <w:b w:val="1"/>
          <w:bCs w:val="1"/>
          <w:color w:val="6AAA37"/>
        </w:rPr>
        <w: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Corporate Proposal Executive Proposal Stockholder Other Governance Two Compensation Three Proposals Matters</w:t>
      </w:r>
    </w:p>
    <w:p>
      <w:pPr>
        <w:spacing w:after="0" w:line="200" w:lineRule="exact"/>
        <w:rPr>
          <w:sz w:val="20"/>
          <w:szCs w:val="20"/>
          <w:color w:val="auto"/>
        </w:rPr>
      </w:pPr>
    </w:p>
    <w:p>
      <w:pPr>
        <w:sectPr>
          <w:pgSz w:w="11900" w:h="16861" w:orient="portrait"/>
          <w:cols w:equalWidth="0" w:num="2">
            <w:col w:w="1600" w:space="300"/>
            <w:col w:w="7180"/>
          </w:cols>
          <w:pgMar w:left="1400" w:top="153" w:right="1419" w:bottom="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Matrix</w:t>
      </w:r>
    </w:p>
    <w:p>
      <w:pPr>
        <w:spacing w:after="0" w:line="95"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color w:val="auto"/>
        </w:rPr>
        <w:t>The below table summarizes the core competencies and relevant capabilities that our director nominees bring to the board. Additional detailed information on each of the director’s experience, qualifications, attributes and skills is more thoroughly described in the biographies following this table.</w:t>
      </w:r>
    </w:p>
    <w:p>
      <w:pPr>
        <w:sectPr>
          <w:pgSz w:w="11900" w:h="16861" w:orient="portrait"/>
          <w:cols w:equalWidth="0" w:num="1">
            <w:col w:w="9080"/>
          </w:cols>
          <w:pgMar w:left="1400" w:top="153"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20"/>
        <w:spacing w:after="0"/>
        <w:rPr>
          <w:sz w:val="20"/>
          <w:szCs w:val="20"/>
          <w:color w:val="auto"/>
        </w:rPr>
      </w:pPr>
      <w:r>
        <w:rPr>
          <w:rFonts w:ascii="Arial" w:cs="Arial" w:eastAsia="Arial" w:hAnsi="Arial"/>
          <w:sz w:val="10"/>
          <w:szCs w:val="10"/>
          <w:b w:val="1"/>
          <w:bCs w:val="1"/>
          <w:color w:val="00558C"/>
        </w:rPr>
        <w:t>Joy T.</w:t>
      </w:r>
    </w:p>
    <w:p>
      <w:pPr>
        <w:spacing w:after="0" w:line="30" w:lineRule="exact"/>
        <w:rPr>
          <w:sz w:val="20"/>
          <w:szCs w:val="20"/>
          <w:color w:val="auto"/>
        </w:rPr>
      </w:pPr>
    </w:p>
    <w:p>
      <w:pPr>
        <w:ind w:left="2980"/>
        <w:spacing w:after="0"/>
        <w:rPr>
          <w:sz w:val="20"/>
          <w:szCs w:val="20"/>
          <w:color w:val="auto"/>
        </w:rPr>
      </w:pPr>
      <w:r>
        <w:rPr>
          <w:rFonts w:ascii="Arial" w:cs="Arial" w:eastAsia="Arial" w:hAnsi="Arial"/>
          <w:sz w:val="10"/>
          <w:szCs w:val="10"/>
          <w:b w:val="1"/>
          <w:bCs w:val="1"/>
          <w:color w:val="00558C"/>
        </w:rPr>
        <w:t>Brown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300" w:hanging="7"/>
        <w:spacing w:after="0" w:line="296" w:lineRule="auto"/>
        <w:rPr>
          <w:sz w:val="20"/>
          <w:szCs w:val="20"/>
          <w:color w:val="auto"/>
        </w:rPr>
      </w:pPr>
      <w:r>
        <w:rPr>
          <w:rFonts w:ascii="Arial" w:cs="Arial" w:eastAsia="Arial" w:hAnsi="Arial"/>
          <w:sz w:val="11"/>
          <w:szCs w:val="11"/>
          <w:b w:val="1"/>
          <w:bCs w:val="1"/>
          <w:color w:val="00558C"/>
        </w:rPr>
        <w:t>C. Mark</w:t>
      </w:r>
      <w:r>
        <w:rPr>
          <w:sz w:val="20"/>
          <w:szCs w:val="20"/>
          <w:color w:val="auto"/>
        </w:rPr>
        <w:t xml:space="preserve"> </w:t>
      </w:r>
      <w:r>
        <w:rPr>
          <w:rFonts w:ascii="Arial" w:cs="Arial" w:eastAsia="Arial" w:hAnsi="Arial"/>
          <w:sz w:val="11"/>
          <w:szCs w:val="11"/>
          <w:b w:val="1"/>
          <w:bCs w:val="1"/>
          <w:color w:val="00558C"/>
        </w:rPr>
        <w:t>H. Eugene Peter K. John James H. Hugh E. Debra Hussey Lockhart Markell McCartney Roth Sawyer Zumwalt</w:t>
      </w:r>
    </w:p>
    <w:p>
      <w:pPr>
        <w:spacing w:after="0" w:line="200" w:lineRule="exact"/>
        <w:rPr>
          <w:sz w:val="20"/>
          <w:szCs w:val="20"/>
          <w:color w:val="auto"/>
        </w:rPr>
      </w:pPr>
    </w:p>
    <w:p>
      <w:pPr>
        <w:sectPr>
          <w:pgSz w:w="11900" w:h="16861" w:orient="portrait"/>
          <w:cols w:equalWidth="0" w:num="2">
            <w:col w:w="3320" w:space="240"/>
            <w:col w:w="5520"/>
          </w:cols>
          <w:pgMar w:left="1400" w:top="153" w:right="1419" w:bottom="0" w:gutter="0" w:footer="0" w:header="0"/>
          <w:type w:val="continuous"/>
        </w:sectPr>
      </w:pPr>
    </w:p>
    <w:p>
      <w:pPr>
        <w:spacing w:after="0" w:line="32"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Accounting/Finance</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2"/>
          <w:szCs w:val="12"/>
          <w:color w:val="auto"/>
        </w:rPr>
        <w:t>Knowledge of accounting and</w:t>
      </w:r>
    </w:p>
    <w:p>
      <w:pPr>
        <w:sectPr>
          <w:pgSz w:w="11900" w:h="16861" w:orient="portrait"/>
          <w:cols w:equalWidth="0" w:num="1">
            <w:col w:w="9080"/>
          </w:cols>
          <w:pgMar w:left="1400" w:top="153" w:right="1419" w:bottom="0" w:gutter="0" w:footer="0" w:header="0"/>
          <w:type w:val="continuous"/>
        </w:sectPr>
      </w:pPr>
    </w:p>
    <w:bookmarkStart w:id="13" w:name="page14"/>
    <w:bookmarkEnd w:id="13"/>
    <w:p>
      <w:pPr>
        <w:spacing w:after="0" w:line="26" w:lineRule="exact"/>
        <w:rPr>
          <w:sz w:val="20"/>
          <w:szCs w:val="20"/>
          <w:color w:val="auto"/>
        </w:rPr>
      </w:pPr>
    </w:p>
    <w:p>
      <w:pPr>
        <w:ind w:left="820"/>
        <w:spacing w:after="0"/>
        <w:rPr>
          <w:sz w:val="20"/>
          <w:szCs w:val="20"/>
          <w:color w:val="auto"/>
        </w:rPr>
      </w:pPr>
      <w:r>
        <w:rPr>
          <w:rFonts w:ascii="Arial" w:cs="Arial" w:eastAsia="Arial" w:hAnsi="Arial"/>
          <w:sz w:val="13"/>
          <w:szCs w:val="13"/>
          <w:color w:val="auto"/>
        </w:rPr>
        <w:t>financial reporting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-73025</wp:posOffset>
            </wp:positionV>
            <wp:extent cx="6810375" cy="6345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63455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processes and standards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Corporate Governance/Law</w:t>
      </w:r>
    </w:p>
    <w:p>
      <w:pPr>
        <w:spacing w:after="0" w:line="31" w:lineRule="exact"/>
        <w:rPr>
          <w:sz w:val="20"/>
          <w:szCs w:val="20"/>
          <w:color w:val="auto"/>
        </w:rPr>
      </w:pPr>
    </w:p>
    <w:p>
      <w:pPr>
        <w:ind w:left="820" w:right="4720"/>
        <w:spacing w:after="0" w:line="255" w:lineRule="auto"/>
        <w:rPr>
          <w:sz w:val="20"/>
          <w:szCs w:val="20"/>
          <w:color w:val="auto"/>
        </w:rPr>
      </w:pPr>
      <w:r>
        <w:rPr>
          <w:rFonts w:ascii="Arial" w:cs="Arial" w:eastAsia="Arial" w:hAnsi="Arial"/>
          <w:sz w:val="13"/>
          <w:szCs w:val="13"/>
          <w:color w:val="auto"/>
        </w:rPr>
        <w:t>Experience understanding and evaluating legal risks and obligations and board oversight and effectiveness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Senior Executive Leadership</w:t>
      </w:r>
    </w:p>
    <w:p>
      <w:pPr>
        <w:spacing w:after="0" w:line="31" w:lineRule="exact"/>
        <w:rPr>
          <w:sz w:val="20"/>
          <w:szCs w:val="20"/>
          <w:color w:val="auto"/>
        </w:rPr>
      </w:pPr>
    </w:p>
    <w:p>
      <w:pPr>
        <w:ind w:left="820" w:right="4900"/>
        <w:spacing w:after="0" w:line="267" w:lineRule="auto"/>
        <w:rPr>
          <w:sz w:val="20"/>
          <w:szCs w:val="20"/>
          <w:color w:val="auto"/>
        </w:rPr>
      </w:pPr>
      <w:r>
        <w:rPr>
          <w:rFonts w:ascii="Arial" w:cs="Arial" w:eastAsia="Arial" w:hAnsi="Arial"/>
          <w:sz w:val="13"/>
          <w:szCs w:val="13"/>
          <w:color w:val="auto"/>
        </w:rPr>
        <w:t>Served as a senior leader at another organization</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Risk Management &amp;</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Oversight</w:t>
      </w:r>
    </w:p>
    <w:p>
      <w:pPr>
        <w:spacing w:after="0" w:line="17" w:lineRule="exact"/>
        <w:rPr>
          <w:sz w:val="20"/>
          <w:szCs w:val="20"/>
          <w:color w:val="auto"/>
        </w:rPr>
      </w:pPr>
    </w:p>
    <w:p>
      <w:pPr>
        <w:ind w:left="820" w:right="4820"/>
        <w:spacing w:after="0" w:line="255" w:lineRule="auto"/>
        <w:rPr>
          <w:sz w:val="20"/>
          <w:szCs w:val="20"/>
          <w:color w:val="auto"/>
        </w:rPr>
      </w:pPr>
      <w:r>
        <w:rPr>
          <w:rFonts w:ascii="Arial" w:cs="Arial" w:eastAsia="Arial" w:hAnsi="Arial"/>
          <w:sz w:val="13"/>
          <w:szCs w:val="13"/>
          <w:color w:val="auto"/>
        </w:rPr>
        <w:t>Regulatory and compliance expertise in assessment and management of business and financial risk factors</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Technology</w:t>
      </w:r>
    </w:p>
    <w:p>
      <w:pPr>
        <w:spacing w:after="0" w:line="31" w:lineRule="exact"/>
        <w:rPr>
          <w:sz w:val="20"/>
          <w:szCs w:val="20"/>
          <w:color w:val="auto"/>
        </w:rPr>
      </w:pPr>
    </w:p>
    <w:p>
      <w:pPr>
        <w:ind w:left="820" w:right="4780"/>
        <w:spacing w:after="0" w:line="255" w:lineRule="auto"/>
        <w:rPr>
          <w:sz w:val="20"/>
          <w:szCs w:val="20"/>
          <w:color w:val="auto"/>
        </w:rPr>
      </w:pPr>
      <w:r>
        <w:rPr>
          <w:rFonts w:ascii="Arial" w:cs="Arial" w:eastAsia="Arial" w:hAnsi="Arial"/>
          <w:sz w:val="13"/>
          <w:szCs w:val="13"/>
          <w:color w:val="auto"/>
        </w:rPr>
        <w:t>Experience or oversight of innovative technology, privacy, information systems, or cybersecurity</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Global Business</w:t>
      </w:r>
    </w:p>
    <w:p>
      <w:pPr>
        <w:spacing w:after="0" w:line="31" w:lineRule="exact"/>
        <w:rPr>
          <w:sz w:val="20"/>
          <w:szCs w:val="20"/>
          <w:color w:val="auto"/>
        </w:rPr>
      </w:pPr>
    </w:p>
    <w:p>
      <w:pPr>
        <w:ind w:left="820" w:right="4940"/>
        <w:spacing w:after="0" w:line="309" w:lineRule="auto"/>
        <w:rPr>
          <w:sz w:val="20"/>
          <w:szCs w:val="20"/>
          <w:color w:val="auto"/>
        </w:rPr>
      </w:pPr>
      <w:r>
        <w:rPr>
          <w:rFonts w:ascii="Arial" w:cs="Arial" w:eastAsia="Arial" w:hAnsi="Arial"/>
          <w:sz w:val="12"/>
          <w:szCs w:val="12"/>
          <w:color w:val="auto"/>
        </w:rPr>
        <w:t>Leadership experience with multinational companies</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Healthcare</w:t>
      </w:r>
    </w:p>
    <w:p>
      <w:pPr>
        <w:spacing w:after="0" w:line="31" w:lineRule="exact"/>
        <w:rPr>
          <w:sz w:val="20"/>
          <w:szCs w:val="20"/>
          <w:color w:val="auto"/>
        </w:rPr>
      </w:pPr>
    </w:p>
    <w:p>
      <w:pPr>
        <w:ind w:left="820" w:right="4600"/>
        <w:spacing w:after="0" w:line="255" w:lineRule="auto"/>
        <w:rPr>
          <w:sz w:val="20"/>
          <w:szCs w:val="20"/>
          <w:color w:val="auto"/>
        </w:rPr>
      </w:pPr>
      <w:r>
        <w:rPr>
          <w:rFonts w:ascii="Arial" w:cs="Arial" w:eastAsia="Arial" w:hAnsi="Arial"/>
          <w:sz w:val="13"/>
          <w:szCs w:val="13"/>
          <w:color w:val="auto"/>
        </w:rPr>
        <w:t>Industry experience through board or leadership positions with organizations in the healthcare industry</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Higher Education</w:t>
      </w:r>
    </w:p>
    <w:p>
      <w:pPr>
        <w:spacing w:after="0" w:line="31" w:lineRule="exact"/>
        <w:rPr>
          <w:sz w:val="20"/>
          <w:szCs w:val="20"/>
          <w:color w:val="auto"/>
        </w:rPr>
      </w:pPr>
    </w:p>
    <w:p>
      <w:pPr>
        <w:ind w:left="820" w:right="4600"/>
        <w:spacing w:after="0" w:line="256" w:lineRule="auto"/>
        <w:rPr>
          <w:sz w:val="20"/>
          <w:szCs w:val="20"/>
          <w:color w:val="auto"/>
        </w:rPr>
      </w:pPr>
      <w:r>
        <w:rPr>
          <w:rFonts w:ascii="Arial" w:cs="Arial" w:eastAsia="Arial" w:hAnsi="Arial"/>
          <w:sz w:val="13"/>
          <w:szCs w:val="13"/>
          <w:color w:val="auto"/>
        </w:rPr>
        <w:t>Industry experience through board or leadership positions with higher education institutions or organizations serving higher education institutions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Public Company Board</w:t>
      </w:r>
    </w:p>
    <w:p>
      <w:pPr>
        <w:spacing w:after="0" w:line="31" w:lineRule="exact"/>
        <w:rPr>
          <w:sz w:val="20"/>
          <w:szCs w:val="20"/>
          <w:color w:val="auto"/>
        </w:rPr>
      </w:pPr>
    </w:p>
    <w:p>
      <w:pPr>
        <w:ind w:left="820" w:right="4660"/>
        <w:spacing w:after="0" w:line="267" w:lineRule="auto"/>
        <w:rPr>
          <w:sz w:val="20"/>
          <w:szCs w:val="20"/>
          <w:color w:val="auto"/>
        </w:rPr>
      </w:pPr>
      <w:r>
        <w:rPr>
          <w:rFonts w:ascii="Arial" w:cs="Arial" w:eastAsia="Arial" w:hAnsi="Arial"/>
          <w:sz w:val="13"/>
          <w:szCs w:val="13"/>
          <w:color w:val="auto"/>
        </w:rPr>
        <w:t>Experience serving on boards of other public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FFFFFF"/>
        </w:rPr>
        <w:t>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8</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FFFFFF"/>
        </w:rPr>
        <w:t>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FFFFFF"/>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FFFFFF"/>
        </w:rPr>
        <w:t>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FFFFFF"/>
        </w:rPr>
        <w:t>7</w:t>
      </w:r>
    </w:p>
    <w:p>
      <w:pPr>
        <w:spacing w:after="0" w:line="387" w:lineRule="exact"/>
        <w:rPr>
          <w:sz w:val="20"/>
          <w:szCs w:val="20"/>
          <w:color w:val="auto"/>
        </w:rPr>
      </w:pPr>
    </w:p>
    <w:p>
      <w:pPr>
        <w:sectPr>
          <w:pgSz w:w="11900" w:h="16838" w:orient="portrait"/>
          <w:cols w:equalWidth="0" w:num="2">
            <w:col w:w="7300" w:space="720"/>
            <w:col w:w="1039"/>
          </w:cols>
          <w:pgMar w:left="1400" w:top="80" w:right="1440" w:bottom="9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4088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408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ind w:left="60"/>
              <w:spacing w:after="0"/>
              <w:rPr>
                <w:sz w:val="20"/>
                <w:szCs w:val="20"/>
                <w:color w:val="auto"/>
              </w:rPr>
            </w:pPr>
            <w:r>
              <w:rPr>
                <w:rFonts w:ascii="Arial" w:cs="Arial" w:eastAsia="Arial" w:hAnsi="Arial"/>
                <w:sz w:val="13"/>
                <w:szCs w:val="13"/>
                <w:b w:val="1"/>
                <w:bCs w:val="1"/>
                <w:color w:val="B2B3B6"/>
              </w:rPr>
              <w:t>General</w:t>
            </w: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6AAA37"/>
              </w:rPr>
              <w:t>Proposal</w:t>
            </w:r>
          </w:p>
        </w:tc>
        <w:tc>
          <w:tcPr>
            <w:tcW w:w="100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76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200" w:type="dxa"/>
            <w:vAlign w:val="bottom"/>
          </w:tcPr>
          <w:p>
            <w:pPr>
              <w:spacing w:after="0"/>
              <w:rPr>
                <w:sz w:val="12"/>
                <w:szCs w:val="12"/>
                <w:color w:val="auto"/>
              </w:rPr>
            </w:pPr>
          </w:p>
        </w:tc>
        <w:tc>
          <w:tcPr>
            <w:tcW w:w="1060" w:type="dxa"/>
            <w:vAlign w:val="bottom"/>
          </w:tcPr>
          <w:p>
            <w:pPr>
              <w:ind w:left="20"/>
              <w:spacing w:after="0"/>
              <w:rPr>
                <w:sz w:val="20"/>
                <w:szCs w:val="20"/>
                <w:color w:val="auto"/>
              </w:rPr>
            </w:pPr>
            <w:r>
              <w:rPr>
                <w:rFonts w:ascii="Arial" w:cs="Arial" w:eastAsia="Arial" w:hAnsi="Arial"/>
                <w:sz w:val="13"/>
                <w:szCs w:val="13"/>
                <w:b w:val="1"/>
                <w:bCs w:val="1"/>
                <w:color w:val="B2B3B6"/>
              </w:rPr>
              <w:t>Executive</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1660" w:type="dxa"/>
            <w:vAlign w:val="bottom"/>
          </w:tcPr>
          <w:p>
            <w:pPr>
              <w:ind w:left="160"/>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172"/>
        </w:trPr>
        <w:tc>
          <w:tcPr>
            <w:tcW w:w="920" w:type="dxa"/>
            <w:vAlign w:val="bottom"/>
          </w:tcPr>
          <w:p>
            <w:pPr>
              <w:ind w:left="60"/>
              <w:spacing w:after="0"/>
              <w:rPr>
                <w:sz w:val="20"/>
                <w:szCs w:val="20"/>
                <w:color w:val="auto"/>
              </w:rPr>
            </w:pPr>
            <w:r>
              <w:rPr>
                <w:rFonts w:ascii="Arial" w:cs="Arial" w:eastAsia="Arial" w:hAnsi="Arial"/>
                <w:sz w:val="13"/>
                <w:szCs w:val="13"/>
                <w:b w:val="1"/>
                <w:bCs w:val="1"/>
                <w:color w:val="B2B3B6"/>
              </w:rPr>
              <w:t>Information</w:t>
            </w:r>
          </w:p>
        </w:tc>
        <w:tc>
          <w:tcPr>
            <w:tcW w:w="820" w:type="dxa"/>
            <w:vAlign w:val="bottom"/>
          </w:tcPr>
          <w:p>
            <w:pPr>
              <w:jc w:val="right"/>
              <w:ind w:right="357"/>
              <w:spacing w:after="0"/>
              <w:rPr>
                <w:sz w:val="20"/>
                <w:szCs w:val="20"/>
                <w:color w:val="auto"/>
              </w:rPr>
            </w:pPr>
            <w:r>
              <w:rPr>
                <w:rFonts w:ascii="Arial" w:cs="Arial" w:eastAsia="Arial" w:hAnsi="Arial"/>
                <w:sz w:val="13"/>
                <w:szCs w:val="13"/>
                <w:b w:val="1"/>
                <w:bCs w:val="1"/>
                <w:color w:val="6AAA37"/>
              </w:rPr>
              <w:t>One</w:t>
            </w:r>
          </w:p>
        </w:tc>
        <w:tc>
          <w:tcPr>
            <w:tcW w:w="100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760" w:type="dxa"/>
            <w:vAlign w:val="bottom"/>
          </w:tcPr>
          <w:p>
            <w:pPr>
              <w:ind w:left="160"/>
              <w:spacing w:after="0"/>
              <w:rPr>
                <w:sz w:val="20"/>
                <w:szCs w:val="20"/>
                <w:color w:val="auto"/>
              </w:rPr>
            </w:pPr>
            <w:r>
              <w:rPr>
                <w:rFonts w:ascii="Arial" w:cs="Arial" w:eastAsia="Arial" w:hAnsi="Arial"/>
                <w:sz w:val="13"/>
                <w:szCs w:val="13"/>
                <w:b w:val="1"/>
                <w:bCs w:val="1"/>
                <w:color w:val="B2B3B6"/>
              </w:rPr>
              <w:t>Two</w:t>
            </w:r>
          </w:p>
        </w:tc>
        <w:tc>
          <w:tcPr>
            <w:tcW w:w="20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b w:val="1"/>
                <w:bCs w:val="1"/>
                <w:color w:val="B2B3B6"/>
              </w:rPr>
              <w:t>Compensation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Three</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1660" w:type="dxa"/>
            <w:vAlign w:val="bottom"/>
          </w:tcPr>
          <w:p>
            <w:pPr>
              <w:ind w:left="160"/>
              <w:spacing w:after="0"/>
              <w:rPr>
                <w:sz w:val="20"/>
                <w:szCs w:val="20"/>
                <w:color w:val="auto"/>
              </w:rPr>
            </w:pPr>
            <w:r>
              <w:rPr>
                <w:rFonts w:ascii="Arial" w:cs="Arial" w:eastAsia="Arial" w:hAnsi="Arial"/>
                <w:sz w:val="13"/>
                <w:szCs w:val="13"/>
                <w:b w:val="1"/>
                <w:bCs w:val="1"/>
                <w:color w:val="B2B3B6"/>
              </w:rPr>
              <w:t>Matters</w:t>
            </w:r>
          </w:p>
        </w:tc>
        <w:tc>
          <w:tcPr>
            <w:tcW w:w="0" w:type="dxa"/>
            <w:vAlign w:val="bottom"/>
          </w:tcPr>
          <w:p>
            <w:pPr>
              <w:spacing w:after="0"/>
              <w:rPr>
                <w:sz w:val="1"/>
                <w:szCs w:val="1"/>
                <w:color w:val="auto"/>
              </w:rPr>
            </w:pPr>
          </w:p>
        </w:tc>
      </w:tr>
      <w:tr>
        <w:trPr>
          <w:trHeight w:val="442"/>
        </w:trPr>
        <w:tc>
          <w:tcPr>
            <w:tcW w:w="35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Board of Director Nominee Snapshot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(1)</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0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6AAA37"/>
              </w:rPr>
              <w:t>COMMITTEE CHAIRS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gridSpan w:val="2"/>
          </w:tcPr>
          <w:p>
            <w:pPr>
              <w:jc w:val="right"/>
              <w:ind w:right="377"/>
              <w:spacing w:after="0"/>
              <w:rPr>
                <w:sz w:val="20"/>
                <w:szCs w:val="20"/>
                <w:color w:val="auto"/>
              </w:rPr>
            </w:pPr>
            <w:r>
              <w:rPr>
                <w:rFonts w:ascii="Arial" w:cs="Arial" w:eastAsia="Arial" w:hAnsi="Arial"/>
                <w:sz w:val="14"/>
                <w:szCs w:val="14"/>
                <w:b w:val="1"/>
                <w:bCs w:val="1"/>
                <w:color w:val="6AAA37"/>
              </w:rPr>
              <w:t>GENDER</w:t>
            </w:r>
          </w:p>
        </w:tc>
        <w:tc>
          <w:tcPr>
            <w:tcW w:w="100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6AAA37"/>
              </w:rPr>
              <w:t>ETHNICITY</w:t>
            </w:r>
          </w:p>
        </w:tc>
        <w:tc>
          <w:tcPr>
            <w:tcW w:w="1060" w:type="dxa"/>
            <w:vAlign w:val="bottom"/>
          </w:tcPr>
          <w:p>
            <w:pPr>
              <w:spacing w:after="0"/>
              <w:rPr>
                <w:sz w:val="17"/>
                <w:szCs w:val="17"/>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6AAA37"/>
              </w:rPr>
              <w:t>BY GENDER</w:t>
            </w:r>
          </w:p>
        </w:tc>
        <w:tc>
          <w:tcPr>
            <w:tcW w:w="1660" w:type="dxa"/>
            <w:vAlign w:val="bottom"/>
          </w:tcPr>
          <w:p>
            <w:pPr>
              <w:ind w:left="1080"/>
              <w:spacing w:after="0"/>
              <w:rPr>
                <w:sz w:val="20"/>
                <w:szCs w:val="20"/>
                <w:color w:val="auto"/>
              </w:rPr>
            </w:pPr>
            <w:r>
              <w:rPr>
                <w:rFonts w:ascii="Arial" w:cs="Arial" w:eastAsia="Arial" w:hAnsi="Arial"/>
                <w:sz w:val="14"/>
                <w:szCs w:val="14"/>
                <w:b w:val="1"/>
                <w:bCs w:val="1"/>
                <w:color w:val="6AAA37"/>
                <w:w w:val="97"/>
              </w:rPr>
              <w:t>TENURE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59"/>
          </w:cols>
          <w:pgMar w:left="1400" w:top="80" w:right="1440" w:bottom="98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 Data as of March 20, 2026.</w:t>
      </w:r>
    </w:p>
    <w:p>
      <w:pPr>
        <w:sectPr>
          <w:pgSz w:w="11900" w:h="16838" w:orient="portrait"/>
          <w:cols w:equalWidth="0" w:num="1">
            <w:col w:w="9059"/>
          </w:cols>
          <w:pgMar w:left="1400" w:top="80" w:right="1440" w:bottom="984"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768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476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5665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566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Nominees to Board of Directors</w:t>
      </w:r>
    </w:p>
    <w:p>
      <w:pPr>
        <w:spacing w:after="0" w:line="265"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Joy T. Brown</w:t>
      </w:r>
    </w:p>
    <w:p>
      <w:pPr>
        <w:spacing w:after="0" w:line="257"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47 | DIRECTOR SINCE: 2022</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T&amp;IS (CHAIR), C (MEMBER), F&amp;CA (MEMBER)</w:t>
      </w:r>
    </w:p>
    <w:p>
      <w:pPr>
        <w:sectPr>
          <w:pgSz w:w="11900" w:h="16876" w:orient="portrait"/>
          <w:cols w:equalWidth="0" w:num="1">
            <w:col w:w="9059"/>
          </w:cols>
          <w:pgMar w:left="1400" w:top="1440" w:right="1440" w:bottom="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45" w:lineRule="exact"/>
        <w:rPr>
          <w:sz w:val="20"/>
          <w:szCs w:val="20"/>
          <w:color w:val="auto"/>
        </w:rPr>
      </w:pPr>
    </w:p>
    <w:p>
      <w:pPr>
        <w:ind w:left="180" w:right="20" w:hanging="172"/>
        <w:spacing w:after="0" w:line="313" w:lineRule="auto"/>
        <w:tabs>
          <w:tab w:leader="none" w:pos="180" w:val="left"/>
        </w:tabs>
        <w:numPr>
          <w:ilvl w:val="0"/>
          <w:numId w:val="12"/>
        </w:numPr>
        <w:rPr>
          <w:rFonts w:ascii="Arial" w:cs="Arial" w:eastAsia="Arial" w:hAnsi="Arial"/>
          <w:sz w:val="14"/>
          <w:szCs w:val="14"/>
          <w:b w:val="1"/>
          <w:bCs w:val="1"/>
          <w:color w:val="6AAA37"/>
        </w:rPr>
      </w:pPr>
      <w:r>
        <w:rPr>
          <w:rFonts w:ascii="Arial" w:cs="Arial" w:eastAsia="Arial" w:hAnsi="Arial"/>
          <w:sz w:val="14"/>
          <w:szCs w:val="14"/>
          <w:color w:val="auto"/>
        </w:rPr>
        <w:t>SVP and Chief Digital Information Officer, Boston Medical Center Health System since 2024</w:t>
      </w:r>
    </w:p>
    <w:p>
      <w:pPr>
        <w:spacing w:after="0" w:line="4" w:lineRule="exact"/>
        <w:rPr>
          <w:rFonts w:ascii="Arial" w:cs="Arial" w:eastAsia="Arial" w:hAnsi="Arial"/>
          <w:sz w:val="14"/>
          <w:szCs w:val="14"/>
          <w:b w:val="1"/>
          <w:bCs w:val="1"/>
          <w:color w:val="6AAA37"/>
        </w:rPr>
      </w:pPr>
    </w:p>
    <w:p>
      <w:pPr>
        <w:ind w:left="180" w:hanging="172"/>
        <w:spacing w:after="0" w:line="332" w:lineRule="auto"/>
        <w:tabs>
          <w:tab w:leader="none" w:pos="180" w:val="left"/>
        </w:tabs>
        <w:numPr>
          <w:ilvl w:val="0"/>
          <w:numId w:val="12"/>
        </w:numPr>
        <w:rPr>
          <w:rFonts w:ascii="Arial" w:cs="Arial" w:eastAsia="Arial" w:hAnsi="Arial"/>
          <w:sz w:val="14"/>
          <w:szCs w:val="14"/>
          <w:b w:val="1"/>
          <w:bCs w:val="1"/>
          <w:color w:val="6AAA37"/>
        </w:rPr>
      </w:pPr>
      <w:r>
        <w:rPr>
          <w:rFonts w:ascii="Arial" w:cs="Arial" w:eastAsia="Arial" w:hAnsi="Arial"/>
          <w:sz w:val="14"/>
          <w:szCs w:val="14"/>
          <w:color w:val="auto"/>
        </w:rPr>
        <w:t>Verizon’s Media business line, Chief Data Officer from 2020 - 2022</w:t>
      </w:r>
    </w:p>
    <w:p>
      <w:pPr>
        <w:ind w:left="180" w:right="20" w:hanging="172"/>
        <w:spacing w:after="0" w:line="313" w:lineRule="auto"/>
        <w:tabs>
          <w:tab w:leader="none" w:pos="180" w:val="left"/>
        </w:tabs>
        <w:numPr>
          <w:ilvl w:val="0"/>
          <w:numId w:val="12"/>
        </w:numPr>
        <w:rPr>
          <w:rFonts w:ascii="Arial" w:cs="Arial" w:eastAsia="Arial" w:hAnsi="Arial"/>
          <w:sz w:val="14"/>
          <w:szCs w:val="14"/>
          <w:b w:val="1"/>
          <w:bCs w:val="1"/>
          <w:color w:val="6AAA37"/>
        </w:rPr>
      </w:pPr>
      <w:r>
        <w:rPr>
          <w:rFonts w:ascii="Arial" w:cs="Arial" w:eastAsia="Arial" w:hAnsi="Arial"/>
          <w:sz w:val="14"/>
          <w:szCs w:val="14"/>
          <w:color w:val="auto"/>
        </w:rPr>
        <w:t>Capital One Credit Card Businesses Global Data, Analytics and Machine Learning function lead from 2019 to 2020</w:t>
      </w:r>
    </w:p>
    <w:p>
      <w:pPr>
        <w:spacing w:after="0" w:line="4" w:lineRule="exact"/>
        <w:rPr>
          <w:rFonts w:ascii="Arial" w:cs="Arial" w:eastAsia="Arial" w:hAnsi="Arial"/>
          <w:sz w:val="14"/>
          <w:szCs w:val="14"/>
          <w:b w:val="1"/>
          <w:bCs w:val="1"/>
          <w:color w:val="6AAA37"/>
        </w:rPr>
      </w:pPr>
    </w:p>
    <w:p>
      <w:pPr>
        <w:ind w:left="180" w:right="100" w:hanging="172"/>
        <w:spacing w:after="0" w:line="309" w:lineRule="auto"/>
        <w:tabs>
          <w:tab w:leader="none" w:pos="180" w:val="left"/>
        </w:tabs>
        <w:numPr>
          <w:ilvl w:val="0"/>
          <w:numId w:val="12"/>
        </w:numPr>
        <w:rPr>
          <w:rFonts w:ascii="Arial" w:cs="Arial" w:eastAsia="Arial" w:hAnsi="Arial"/>
          <w:sz w:val="14"/>
          <w:szCs w:val="14"/>
          <w:b w:val="1"/>
          <w:bCs w:val="1"/>
          <w:color w:val="6AAA37"/>
        </w:rPr>
      </w:pPr>
      <w:r>
        <w:rPr>
          <w:rFonts w:ascii="Arial" w:cs="Arial" w:eastAsia="Arial" w:hAnsi="Arial"/>
          <w:sz w:val="14"/>
          <w:szCs w:val="14"/>
          <w:color w:val="auto"/>
        </w:rPr>
        <w:t>Previous positions with United Health Group and Vanguard and had roles at General Electric in the financial services businesses and corporate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7" w:right="260"/>
        <w:spacing w:after="0" w:line="314" w:lineRule="auto"/>
        <w:rPr>
          <w:sz w:val="20"/>
          <w:szCs w:val="20"/>
          <w:color w:val="auto"/>
        </w:rPr>
      </w:pPr>
      <w:r>
        <w:rPr>
          <w:rFonts w:ascii="Arial" w:cs="Arial" w:eastAsia="Arial" w:hAnsi="Arial"/>
          <w:sz w:val="16"/>
          <w:szCs w:val="16"/>
          <w:b w:val="1"/>
          <w:bCs w:val="1"/>
          <w:color w:val="00558C"/>
        </w:rPr>
        <w:t>Current Public Company Board Service:</w:t>
      </w:r>
    </w:p>
    <w:p>
      <w:pPr>
        <w:spacing w:after="0" w:line="9" w:lineRule="exact"/>
        <w:rPr>
          <w:sz w:val="20"/>
          <w:szCs w:val="20"/>
          <w:color w:val="auto"/>
        </w:rPr>
      </w:pPr>
    </w:p>
    <w:p>
      <w:pPr>
        <w:ind w:left="167" w:right="60" w:hanging="167"/>
        <w:spacing w:after="0" w:line="325" w:lineRule="auto"/>
        <w:tabs>
          <w:tab w:leader="none" w:pos="167" w:val="left"/>
        </w:tabs>
        <w:numPr>
          <w:ilvl w:val="0"/>
          <w:numId w:val="13"/>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2022</w:t>
      </w:r>
    </w:p>
    <w:p>
      <w:pPr>
        <w:spacing w:after="0" w:line="9" w:lineRule="exact"/>
        <w:rPr>
          <w:rFonts w:ascii="Arial" w:cs="Arial" w:eastAsia="Arial" w:hAnsi="Arial"/>
          <w:sz w:val="14"/>
          <w:szCs w:val="14"/>
          <w:b w:val="1"/>
          <w:bCs w:val="1"/>
          <w:color w:val="6AAA37"/>
        </w:rPr>
      </w:pPr>
    </w:p>
    <w:p>
      <w:pPr>
        <w:ind w:left="167" w:hanging="167"/>
        <w:spacing w:after="0" w:line="313" w:lineRule="auto"/>
        <w:tabs>
          <w:tab w:leader="none" w:pos="167" w:val="left"/>
        </w:tabs>
        <w:numPr>
          <w:ilvl w:val="0"/>
          <w:numId w:val="13"/>
        </w:numPr>
        <w:rPr>
          <w:rFonts w:ascii="Arial" w:cs="Arial" w:eastAsia="Arial" w:hAnsi="Arial"/>
          <w:sz w:val="14"/>
          <w:szCs w:val="14"/>
          <w:b w:val="1"/>
          <w:bCs w:val="1"/>
          <w:color w:val="6AAA37"/>
        </w:rPr>
      </w:pPr>
      <w:r>
        <w:rPr>
          <w:rFonts w:ascii="Arial" w:cs="Arial" w:eastAsia="Arial" w:hAnsi="Arial"/>
          <w:sz w:val="14"/>
          <w:szCs w:val="14"/>
          <w:color w:val="auto"/>
        </w:rPr>
        <w:t>Tractor Supply Company, director since 2021 and member of audit and nomination and governance committee</w:t>
      </w:r>
    </w:p>
    <w:p>
      <w:pPr>
        <w:spacing w:after="0" w:line="40" w:lineRule="exact"/>
        <w:rPr>
          <w:sz w:val="20"/>
          <w:szCs w:val="20"/>
          <w:color w:val="auto"/>
        </w:rPr>
      </w:pPr>
    </w:p>
    <w:p>
      <w:pPr>
        <w:ind w:left="7" w:right="540"/>
        <w:spacing w:after="0" w:line="296"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24" w:lineRule="exact"/>
        <w:rPr>
          <w:sz w:val="20"/>
          <w:szCs w:val="20"/>
          <w:color w:val="auto"/>
        </w:rPr>
      </w:pPr>
    </w:p>
    <w:p>
      <w:pPr>
        <w:ind w:left="167" w:hanging="167"/>
        <w:spacing w:after="0"/>
        <w:tabs>
          <w:tab w:leader="none" w:pos="167" w:val="left"/>
        </w:tabs>
        <w:numPr>
          <w:ilvl w:val="0"/>
          <w:numId w:val="14"/>
        </w:numPr>
        <w:rPr>
          <w:rFonts w:ascii="Arial" w:cs="Arial" w:eastAsia="Arial" w:hAnsi="Arial"/>
          <w:sz w:val="14"/>
          <w:szCs w:val="14"/>
          <w:b w:val="1"/>
          <w:bCs w:val="1"/>
          <w:color w:val="6AAA37"/>
        </w:rPr>
      </w:pPr>
      <w:r>
        <w:rPr>
          <w:rFonts w:ascii="Arial" w:cs="Arial" w:eastAsia="Arial" w:hAnsi="Arial"/>
          <w:sz w:val="14"/>
          <w:szCs w:val="14"/>
          <w:color w:val="auto"/>
        </w:rPr>
        <w:t>ESO Solutions, Inc., director</w:t>
      </w:r>
    </w:p>
    <w:p>
      <w:pPr>
        <w:spacing w:after="0" w:line="82" w:lineRule="exact"/>
        <w:rPr>
          <w:rFonts w:ascii="Arial" w:cs="Arial" w:eastAsia="Arial" w:hAnsi="Arial"/>
          <w:sz w:val="14"/>
          <w:szCs w:val="14"/>
          <w:b w:val="1"/>
          <w:bCs w:val="1"/>
          <w:color w:val="6AAA37"/>
        </w:rPr>
      </w:pPr>
    </w:p>
    <w:p>
      <w:pPr>
        <w:ind w:left="167" w:hanging="167"/>
        <w:spacing w:after="0"/>
        <w:tabs>
          <w:tab w:leader="none" w:pos="167" w:val="left"/>
        </w:tabs>
        <w:numPr>
          <w:ilvl w:val="0"/>
          <w:numId w:val="14"/>
        </w:numPr>
        <w:rPr>
          <w:rFonts w:ascii="Arial" w:cs="Arial" w:eastAsia="Arial" w:hAnsi="Arial"/>
          <w:sz w:val="14"/>
          <w:szCs w:val="14"/>
          <w:b w:val="1"/>
          <w:bCs w:val="1"/>
          <w:color w:val="6AAA37"/>
        </w:rPr>
      </w:pPr>
      <w:r>
        <w:rPr>
          <w:rFonts w:ascii="Arial" w:cs="Arial" w:eastAsia="Arial" w:hAnsi="Arial"/>
          <w:sz w:val="14"/>
          <w:szCs w:val="14"/>
          <w:color w:val="auto"/>
        </w:rPr>
        <w:t>ValidiFI, LLC,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SENIOR EXECUTIVE LEADERSHIP</w:t>
      </w:r>
    </w:p>
    <w:p>
      <w:pPr>
        <w:spacing w:after="0" w:line="122" w:lineRule="exact"/>
        <w:rPr>
          <w:sz w:val="20"/>
          <w:szCs w:val="20"/>
          <w:color w:val="auto"/>
        </w:rPr>
      </w:pPr>
    </w:p>
    <w:p>
      <w:pPr>
        <w:sectPr>
          <w:pgSz w:w="11900" w:h="16876" w:orient="portrait"/>
          <w:cols w:equalWidth="0" w:num="3">
            <w:col w:w="2820" w:space="293"/>
            <w:col w:w="2667" w:space="700"/>
            <w:col w:w="2579"/>
          </w:cols>
          <w:pgMar w:left="1400" w:top="1440" w:right="1440" w:bottom="0" w:gutter="0" w:footer="0" w:header="0"/>
          <w:type w:val="continuous"/>
        </w:sect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B.S., Information Systems and Data</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180"/>
              <w:spacing w:after="0"/>
              <w:rPr>
                <w:sz w:val="20"/>
                <w:szCs w:val="20"/>
                <w:color w:val="auto"/>
              </w:rPr>
            </w:pPr>
            <w:r>
              <w:rPr>
                <w:rFonts w:ascii="Arial" w:cs="Arial" w:eastAsia="Arial" w:hAnsi="Arial"/>
                <w:sz w:val="14"/>
                <w:szCs w:val="14"/>
                <w:color w:val="auto"/>
              </w:rPr>
              <w:t>Engineering, Virginia Commonwealth</w:t>
            </w:r>
          </w:p>
        </w:tc>
        <w:tc>
          <w:tcPr>
            <w:tcW w:w="4120" w:type="dxa"/>
            <w:vAlign w:val="bottom"/>
          </w:tcPr>
          <w:p>
            <w:pPr>
              <w:ind w:left="1960"/>
              <w:spacing w:after="0"/>
              <w:rPr>
                <w:sz w:val="20"/>
                <w:szCs w:val="20"/>
                <w:color w:val="auto"/>
              </w:rPr>
            </w:pPr>
            <w:r>
              <w:rPr>
                <w:rFonts w:ascii="Arial" w:cs="Arial" w:eastAsia="Arial" w:hAnsi="Arial"/>
                <w:sz w:val="13"/>
                <w:szCs w:val="13"/>
                <w:b w:val="1"/>
                <w:bCs w:val="1"/>
                <w:color w:val="6AAA37"/>
                <w:w w:val="96"/>
              </w:rPr>
              <w:t>RISK MANAGEMENT &amp; OVERSIGHT</w:t>
            </w:r>
          </w:p>
        </w:tc>
        <w:tc>
          <w:tcPr>
            <w:tcW w:w="0" w:type="dxa"/>
            <w:vAlign w:val="bottom"/>
          </w:tcPr>
          <w:p>
            <w:pPr>
              <w:spacing w:after="0"/>
              <w:rPr>
                <w:sz w:val="1"/>
                <w:szCs w:val="1"/>
                <w:color w:val="auto"/>
              </w:rPr>
            </w:pPr>
          </w:p>
        </w:tc>
      </w:tr>
      <w:tr>
        <w:trPr>
          <w:trHeight w:val="190"/>
        </w:trPr>
        <w:tc>
          <w:tcPr>
            <w:tcW w:w="4520" w:type="dxa"/>
            <w:vAlign w:val="bottom"/>
          </w:tcPr>
          <w:p>
            <w:pPr>
              <w:ind w:left="180"/>
              <w:spacing w:after="0"/>
              <w:rPr>
                <w:sz w:val="20"/>
                <w:szCs w:val="20"/>
                <w:color w:val="auto"/>
              </w:rPr>
            </w:pPr>
            <w:r>
              <w:rPr>
                <w:rFonts w:ascii="Arial" w:cs="Arial" w:eastAsia="Arial" w:hAnsi="Arial"/>
                <w:sz w:val="14"/>
                <w:szCs w:val="14"/>
                <w:color w:val="auto"/>
              </w:rPr>
              <w:t>University</w:t>
            </w:r>
          </w:p>
        </w:tc>
        <w:tc>
          <w:tcPr>
            <w:tcW w:w="4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20" w:type="dxa"/>
            <w:vAlign w:val="bottom"/>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M.B.A., Saint Joseph’s University,</w:t>
            </w: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180"/>
              <w:spacing w:after="0"/>
              <w:rPr>
                <w:sz w:val="20"/>
                <w:szCs w:val="20"/>
                <w:color w:val="auto"/>
              </w:rPr>
            </w:pPr>
            <w:r>
              <w:rPr>
                <w:rFonts w:ascii="Arial" w:cs="Arial" w:eastAsia="Arial" w:hAnsi="Arial"/>
                <w:sz w:val="14"/>
                <w:szCs w:val="14"/>
                <w:color w:val="auto"/>
              </w:rPr>
              <w:t>Philadelphia</w:t>
            </w:r>
          </w:p>
        </w:tc>
        <w:tc>
          <w:tcPr>
            <w:tcW w:w="4120" w:type="dxa"/>
            <w:vAlign w:val="bottom"/>
            <w:vMerge w:val="restart"/>
          </w:tcPr>
          <w:p>
            <w:pPr>
              <w:ind w:left="1960"/>
              <w:spacing w:after="0"/>
              <w:rPr>
                <w:sz w:val="20"/>
                <w:szCs w:val="20"/>
                <w:color w:val="auto"/>
              </w:rPr>
            </w:pPr>
            <w:r>
              <w:rPr>
                <w:rFonts w:ascii="Arial" w:cs="Arial" w:eastAsia="Arial" w:hAnsi="Arial"/>
                <w:sz w:val="13"/>
                <w:szCs w:val="13"/>
                <w:b w:val="1"/>
                <w:bCs w:val="1"/>
                <w:color w:val="6AAA37"/>
              </w:rPr>
              <w:t>TECHNOLOGY</w:t>
            </w:r>
          </w:p>
        </w:tc>
        <w:tc>
          <w:tcPr>
            <w:tcW w:w="0" w:type="dxa"/>
            <w:vAlign w:val="bottom"/>
          </w:tcPr>
          <w:p>
            <w:pPr>
              <w:spacing w:after="0"/>
              <w:rPr>
                <w:sz w:val="1"/>
                <w:szCs w:val="1"/>
                <w:color w:val="auto"/>
              </w:rPr>
            </w:pPr>
          </w:p>
        </w:tc>
      </w:tr>
      <w:tr>
        <w:trPr>
          <w:trHeight w:val="162"/>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Director Certificate, Harvard Business</w:t>
            </w:r>
          </w:p>
        </w:tc>
        <w:tc>
          <w:tcPr>
            <w:tcW w:w="4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4520" w:type="dxa"/>
            <w:vAlign w:val="bottom"/>
            <w:vMerge w:val="continue"/>
          </w:tcPr>
          <w:p>
            <w:pPr>
              <w:spacing w:after="0"/>
              <w:rPr>
                <w:sz w:val="7"/>
                <w:szCs w:val="7"/>
                <w:color w:val="auto"/>
              </w:rPr>
            </w:pPr>
          </w:p>
        </w:tc>
        <w:tc>
          <w:tcPr>
            <w:tcW w:w="4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180"/>
              <w:spacing w:after="0"/>
              <w:rPr>
                <w:sz w:val="20"/>
                <w:szCs w:val="20"/>
                <w:color w:val="auto"/>
              </w:rPr>
            </w:pPr>
            <w:r>
              <w:rPr>
                <w:rFonts w:ascii="Arial" w:cs="Arial" w:eastAsia="Arial" w:hAnsi="Arial"/>
                <w:sz w:val="14"/>
                <w:szCs w:val="14"/>
                <w:color w:val="auto"/>
              </w:rPr>
              <w:t>School, New Era of Governance</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76" w:orient="portrait"/>
          <w:cols w:equalWidth="0" w:num="1">
            <w:col w:w="9059"/>
          </w:cols>
          <w:pgMar w:left="1400" w:top="1440" w:right="1440" w:bottom="0" w:gutter="0" w:footer="0" w:header="0"/>
          <w:type w:val="continuous"/>
        </w:sectPr>
      </w:pPr>
    </w:p>
    <w:p>
      <w:pPr>
        <w:spacing w:after="0" w:line="141"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6AAA37"/>
        </w:rPr>
        <w:t>GLOBAL BUSINESS</w:t>
      </w:r>
    </w:p>
    <w:p>
      <w:pPr>
        <w:sectPr>
          <w:pgSz w:w="11900" w:h="16876" w:orient="portrait"/>
          <w:cols w:equalWidth="0" w:num="1">
            <w:col w:w="9059"/>
          </w:cols>
          <w:pgMar w:left="1400" w:top="1440" w:right="1440" w:bottom="0" w:gutter="0" w:footer="0" w:header="0"/>
          <w:type w:val="continuous"/>
        </w:sectPr>
      </w:pPr>
    </w:p>
    <w:bookmarkStart w:id="15" w:name="page16"/>
    <w:bookmarkEnd w:id="15"/>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190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319087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80"/>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45"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Ms. Brown is a technology executive with a successful track record guiding Fortune 100 global organizations through innovative digital transformation in a world where data and artificial intelligence are key drivers of achieving B2B and B2C growth and where increasing stockholder value is contingent on meeting corporate performance objectives, delivering value to consumers, and establishing consumer-focused 360-degree leading-edge capabilities. Her hands-on experience evolving digital capabilities in the healthcare industry and proficiency leading digital, technology, cybersecurity and information strategy to enhance operations for patients and members, enables her to contribute a unique perspective to Huron’s efforts in various industries.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02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3360" w:type="dxa"/>
            <w:vAlign w:val="bottom"/>
          </w:tcPr>
          <w:p>
            <w:pPr>
              <w:jc w:val="right"/>
              <w:ind w:right="1797"/>
              <w:spacing w:after="0"/>
              <w:rPr>
                <w:sz w:val="20"/>
                <w:szCs w:val="20"/>
                <w:color w:val="auto"/>
              </w:rPr>
            </w:pPr>
            <w:r>
              <w:rPr>
                <w:rFonts w:ascii="Arial" w:cs="Arial" w:eastAsia="Arial" w:hAnsi="Arial"/>
                <w:sz w:val="13"/>
                <w:szCs w:val="13"/>
                <w:b w:val="1"/>
                <w:bCs w:val="1"/>
                <w:color w:val="00558C"/>
              </w:rPr>
              <w:t>6</w:t>
            </w:r>
          </w:p>
        </w:tc>
        <w:tc>
          <w:tcPr>
            <w:tcW w:w="2600" w:type="dxa"/>
            <w:vAlign w:val="bottom"/>
            <w:gridSpan w:val="2"/>
          </w:tcPr>
          <w:p>
            <w:pPr>
              <w:ind w:left="1340"/>
              <w:spacing w:after="0"/>
              <w:rPr>
                <w:sz w:val="20"/>
                <w:szCs w:val="20"/>
                <w:color w:val="auto"/>
              </w:rPr>
            </w:pPr>
            <w:r>
              <w:rPr>
                <w:rFonts w:ascii="Arial" w:cs="Arial" w:eastAsia="Arial" w:hAnsi="Arial"/>
                <w:sz w:val="13"/>
                <w:szCs w:val="13"/>
                <w:color w:val="auto"/>
                <w:w w:val="96"/>
              </w:rPr>
              <w:t>2026 Proxy Statement</w:t>
            </w:r>
          </w:p>
        </w:tc>
      </w:tr>
      <w:tr>
        <w:trPr>
          <w:trHeight w:val="20"/>
        </w:trPr>
        <w:tc>
          <w:tcPr>
            <w:tcW w:w="3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20" w:type="dxa"/>
            <w:vAlign w:val="bottom"/>
            <w:shd w:val="clear" w:color="auto" w:fill="B2B3B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392430</wp:posOffset>
            </wp:positionV>
            <wp:extent cx="6810375" cy="7242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724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59"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C. Mark Hussey</w:t>
      </w:r>
    </w:p>
    <w:p>
      <w:pPr>
        <w:spacing w:after="0" w:line="149"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FFFFFF"/>
        </w:rPr>
        <w:t>EMPLOYEE DIRECTOR | NOT INDEPENDENT</w:t>
      </w:r>
    </w:p>
    <w:p>
      <w:pPr>
        <w:spacing w:after="0" w:line="204" w:lineRule="exact"/>
        <w:rPr>
          <w:sz w:val="20"/>
          <w:szCs w:val="20"/>
          <w:color w:val="auto"/>
        </w:rPr>
      </w:pPr>
    </w:p>
    <w:p>
      <w:pPr>
        <w:ind w:left="1720" w:right="1200"/>
        <w:spacing w:after="0" w:line="281" w:lineRule="auto"/>
        <w:rPr>
          <w:sz w:val="20"/>
          <w:szCs w:val="20"/>
          <w:color w:val="auto"/>
        </w:rPr>
      </w:pPr>
      <w:r>
        <w:rPr>
          <w:rFonts w:ascii="Arial" w:cs="Arial" w:eastAsia="Arial" w:hAnsi="Arial"/>
          <w:sz w:val="14"/>
          <w:szCs w:val="14"/>
          <w:b w:val="1"/>
          <w:bCs w:val="1"/>
          <w:color w:val="FFFFFF"/>
        </w:rPr>
        <w:t>Chief Executive Officer since January 2023, and President of Huron Consulting Group Inc. and Huron Consulting Services LLC since February 2019</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65  | DIRECTOR SINCE: 2023</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As an employee director, Mr. Hussey does not serve on any committees.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20"/>
                <w:szCs w:val="20"/>
                <w:color w:val="auto"/>
              </w:rPr>
            </w:pPr>
            <w:r>
              <w:rPr>
                <w:rFonts w:ascii="Arial" w:cs="Arial" w:eastAsia="Arial" w:hAnsi="Arial"/>
                <w:sz w:val="16"/>
                <w:szCs w:val="16"/>
                <w:b w:val="1"/>
                <w:bCs w:val="1"/>
                <w:color w:val="00558C"/>
              </w:rPr>
              <w:t>Professional Experience:</w:t>
            </w:r>
          </w:p>
        </w:tc>
        <w:tc>
          <w:tcPr>
            <w:tcW w:w="3460" w:type="dxa"/>
            <w:vAlign w:val="bottom"/>
          </w:tcPr>
          <w:p>
            <w:pPr>
              <w:ind w:left="140"/>
              <w:spacing w:after="0"/>
              <w:rPr>
                <w:sz w:val="20"/>
                <w:szCs w:val="20"/>
                <w:color w:val="auto"/>
              </w:rPr>
            </w:pPr>
            <w:r>
              <w:rPr>
                <w:rFonts w:ascii="Arial" w:cs="Arial" w:eastAsia="Arial" w:hAnsi="Arial"/>
                <w:sz w:val="16"/>
                <w:szCs w:val="16"/>
                <w:b w:val="1"/>
                <w:bCs w:val="1"/>
                <w:color w:val="00558C"/>
              </w:rPr>
              <w:t>Current Public Company Board</w:t>
            </w:r>
          </w:p>
        </w:tc>
        <w:tc>
          <w:tcPr>
            <w:tcW w:w="2420" w:type="dxa"/>
            <w:vAlign w:val="bottom"/>
            <w:vMerge w:val="restart"/>
          </w:tcPr>
          <w:p>
            <w:pPr>
              <w:ind w:left="40"/>
              <w:spacing w:after="0"/>
              <w:rPr>
                <w:sz w:val="20"/>
                <w:szCs w:val="20"/>
                <w:color w:val="auto"/>
              </w:rPr>
            </w:pPr>
            <w:r>
              <w:rPr>
                <w:rFonts w:ascii="Arial" w:cs="Arial" w:eastAsia="Arial" w:hAnsi="Arial"/>
                <w:sz w:val="22"/>
                <w:szCs w:val="22"/>
                <w:b w:val="1"/>
                <w:bCs w:val="1"/>
                <w:color w:val="B2B3B6"/>
              </w:rPr>
              <w:t>Key Skills Sets:</w:t>
            </w:r>
          </w:p>
        </w:tc>
        <w:tc>
          <w:tcPr>
            <w:tcW w:w="0" w:type="dxa"/>
            <w:vAlign w:val="bottom"/>
          </w:tcPr>
          <w:p>
            <w:pPr>
              <w:spacing w:after="0"/>
              <w:rPr>
                <w:sz w:val="1"/>
                <w:szCs w:val="1"/>
                <w:color w:val="auto"/>
              </w:rPr>
            </w:pPr>
          </w:p>
        </w:tc>
      </w:tr>
      <w:tr>
        <w:trPr>
          <w:trHeight w:val="243"/>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Chief Executive Officer since 2023, and</w:t>
            </w:r>
          </w:p>
        </w:tc>
        <w:tc>
          <w:tcPr>
            <w:tcW w:w="3460" w:type="dxa"/>
            <w:vAlign w:val="bottom"/>
          </w:tcPr>
          <w:p>
            <w:pPr>
              <w:ind w:left="140"/>
              <w:spacing w:after="0"/>
              <w:rPr>
                <w:sz w:val="20"/>
                <w:szCs w:val="20"/>
                <w:color w:val="auto"/>
              </w:rPr>
            </w:pPr>
            <w:r>
              <w:rPr>
                <w:rFonts w:ascii="Arial" w:cs="Arial" w:eastAsia="Arial" w:hAnsi="Arial"/>
                <w:sz w:val="16"/>
                <w:szCs w:val="16"/>
                <w:b w:val="1"/>
                <w:bCs w:val="1"/>
                <w:color w:val="00558C"/>
              </w:rPr>
              <w:t>Service:</w:t>
            </w: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298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180"/>
              <w:spacing w:after="0"/>
              <w:rPr>
                <w:sz w:val="20"/>
                <w:szCs w:val="20"/>
                <w:color w:val="auto"/>
              </w:rPr>
            </w:pPr>
            <w:r>
              <w:rPr>
                <w:rFonts w:ascii="Arial" w:cs="Arial" w:eastAsia="Arial" w:hAnsi="Arial"/>
                <w:sz w:val="14"/>
                <w:szCs w:val="14"/>
                <w:color w:val="auto"/>
              </w:rPr>
              <w:t>President since 2019, Huron Consulting</w:t>
            </w:r>
          </w:p>
        </w:tc>
        <w:tc>
          <w:tcPr>
            <w:tcW w:w="3460" w:type="dxa"/>
            <w:vAlign w:val="bottom"/>
          </w:tcPr>
          <w:p>
            <w:pPr>
              <w:ind w:left="140"/>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Director, Huron Consulting Group Inc.,</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180"/>
              <w:spacing w:after="0"/>
              <w:rPr>
                <w:sz w:val="20"/>
                <w:szCs w:val="20"/>
                <w:color w:val="auto"/>
              </w:rPr>
            </w:pPr>
            <w:r>
              <w:rPr>
                <w:rFonts w:ascii="Arial" w:cs="Arial" w:eastAsia="Arial" w:hAnsi="Arial"/>
                <w:sz w:val="14"/>
                <w:szCs w:val="14"/>
                <w:color w:val="auto"/>
              </w:rPr>
              <w:t>Group Inc. and Huron Consulting Services</w:t>
            </w:r>
          </w:p>
        </w:tc>
        <w:tc>
          <w:tcPr>
            <w:tcW w:w="3460" w:type="dxa"/>
            <w:vAlign w:val="bottom"/>
          </w:tcPr>
          <w:p>
            <w:pPr>
              <w:ind w:left="300"/>
              <w:spacing w:after="0"/>
              <w:rPr>
                <w:sz w:val="20"/>
                <w:szCs w:val="20"/>
                <w:color w:val="auto"/>
              </w:rPr>
            </w:pPr>
            <w:r>
              <w:rPr>
                <w:rFonts w:ascii="Arial" w:cs="Arial" w:eastAsia="Arial" w:hAnsi="Arial"/>
                <w:sz w:val="14"/>
                <w:szCs w:val="14"/>
                <w:color w:val="auto"/>
              </w:rPr>
              <w:t>since 2023</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4"/>
                <w:szCs w:val="14"/>
                <w:color w:val="auto"/>
              </w:rPr>
              <w:t>LLC, our principal operating subsidiary</w:t>
            </w:r>
          </w:p>
        </w:tc>
        <w:tc>
          <w:tcPr>
            <w:tcW w:w="3460" w:type="dxa"/>
            <w:vAlign w:val="bottom"/>
          </w:tcPr>
          <w:p>
            <w:pPr>
              <w:spacing w:after="0"/>
              <w:rPr>
                <w:sz w:val="19"/>
                <w:szCs w:val="19"/>
                <w:color w:val="auto"/>
              </w:rPr>
            </w:pPr>
          </w:p>
        </w:tc>
        <w:tc>
          <w:tcPr>
            <w:tcW w:w="2420" w:type="dxa"/>
            <w:vAlign w:val="bottom"/>
          </w:tcPr>
          <w:p>
            <w:pPr>
              <w:ind w:left="40"/>
              <w:spacing w:after="0"/>
              <w:rPr>
                <w:sz w:val="20"/>
                <w:szCs w:val="20"/>
                <w:color w:val="auto"/>
              </w:rPr>
            </w:pPr>
            <w:r>
              <w:rPr>
                <w:rFonts w:ascii="Arial" w:cs="Arial" w:eastAsia="Arial" w:hAnsi="Arial"/>
                <w:sz w:val="13"/>
                <w:szCs w:val="13"/>
                <w:b w:val="1"/>
                <w:bCs w:val="1"/>
                <w:color w:val="6AAA37"/>
              </w:rPr>
              <w:t>ACCOUNTING | FINANCE</w:t>
            </w:r>
          </w:p>
        </w:tc>
        <w:tc>
          <w:tcPr>
            <w:tcW w:w="0" w:type="dxa"/>
            <w:vAlign w:val="bottom"/>
          </w:tcPr>
          <w:p>
            <w:pPr>
              <w:spacing w:after="0"/>
              <w:rPr>
                <w:sz w:val="1"/>
                <w:szCs w:val="1"/>
                <w:color w:val="auto"/>
              </w:rPr>
            </w:pPr>
          </w:p>
        </w:tc>
      </w:tr>
      <w:tr>
        <w:trPr>
          <w:trHeight w:val="143"/>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Prior roles at Huron include: Chief</w:t>
            </w:r>
          </w:p>
        </w:tc>
        <w:tc>
          <w:tcPr>
            <w:tcW w:w="3460" w:type="dxa"/>
            <w:vAlign w:val="bottom"/>
          </w:tcPr>
          <w:p>
            <w:pPr>
              <w:spacing w:after="0"/>
              <w:rPr>
                <w:sz w:val="12"/>
                <w:szCs w:val="12"/>
                <w:color w:val="auto"/>
              </w:rPr>
            </w:pPr>
          </w:p>
        </w:tc>
        <w:tc>
          <w:tcPr>
            <w:tcW w:w="2420" w:type="dxa"/>
            <w:vAlign w:val="bottom"/>
            <w:tcBorders>
              <w:bottom w:val="single" w:sz="8" w:color="B2B3B6"/>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980" w:type="dxa"/>
            <w:vAlign w:val="bottom"/>
            <w:vMerge w:val="continue"/>
          </w:tcPr>
          <w:p>
            <w:pPr>
              <w:spacing w:after="0"/>
              <w:rPr>
                <w:sz w:val="4"/>
                <w:szCs w:val="4"/>
                <w:color w:val="auto"/>
              </w:rPr>
            </w:pPr>
          </w:p>
        </w:tc>
        <w:tc>
          <w:tcPr>
            <w:tcW w:w="34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180"/>
              <w:spacing w:after="0"/>
              <w:rPr>
                <w:sz w:val="20"/>
                <w:szCs w:val="20"/>
                <w:color w:val="auto"/>
              </w:rPr>
            </w:pPr>
            <w:r>
              <w:rPr>
                <w:rFonts w:ascii="Arial" w:cs="Arial" w:eastAsia="Arial" w:hAnsi="Arial"/>
                <w:sz w:val="14"/>
                <w:szCs w:val="14"/>
                <w:color w:val="auto"/>
              </w:rPr>
              <w:t>Operating Officer, 2014 – 2022, including</w:t>
            </w:r>
          </w:p>
        </w:tc>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tcPr>
          <w:p>
            <w:pPr>
              <w:ind w:left="180"/>
              <w:spacing w:after="0"/>
              <w:rPr>
                <w:sz w:val="20"/>
                <w:szCs w:val="20"/>
                <w:color w:val="auto"/>
              </w:rPr>
            </w:pPr>
            <w:r>
              <w:rPr>
                <w:rFonts w:ascii="Arial" w:cs="Arial" w:eastAsia="Arial" w:hAnsi="Arial"/>
                <w:sz w:val="14"/>
                <w:szCs w:val="14"/>
                <w:color w:val="auto"/>
              </w:rPr>
              <w:t>interim leader of the Healthcare segment</w:t>
            </w:r>
          </w:p>
        </w:tc>
        <w:tc>
          <w:tcPr>
            <w:tcW w:w="3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180"/>
              <w:spacing w:after="0"/>
              <w:rPr>
                <w:sz w:val="20"/>
                <w:szCs w:val="20"/>
                <w:color w:val="auto"/>
              </w:rPr>
            </w:pPr>
            <w:r>
              <w:rPr>
                <w:rFonts w:ascii="Arial" w:cs="Arial" w:eastAsia="Arial" w:hAnsi="Arial"/>
                <w:sz w:val="14"/>
                <w:szCs w:val="14"/>
                <w:color w:val="auto"/>
              </w:rPr>
              <w:t>from 2017 - 2019; Executive Vice</w:t>
            </w:r>
          </w:p>
        </w:tc>
        <w:tc>
          <w:tcPr>
            <w:tcW w:w="3460" w:type="dxa"/>
            <w:vAlign w:val="bottom"/>
          </w:tcPr>
          <w:p>
            <w:pPr>
              <w:spacing w:after="0"/>
              <w:rPr>
                <w:sz w:val="16"/>
                <w:szCs w:val="16"/>
                <w:color w:val="auto"/>
              </w:rPr>
            </w:pPr>
          </w:p>
        </w:tc>
        <w:tc>
          <w:tcPr>
            <w:tcW w:w="2420" w:type="dxa"/>
            <w:vAlign w:val="bottom"/>
          </w:tcPr>
          <w:p>
            <w:pPr>
              <w:ind w:left="40"/>
              <w:spacing w:after="0"/>
              <w:rPr>
                <w:sz w:val="20"/>
                <w:szCs w:val="20"/>
                <w:color w:val="auto"/>
              </w:rPr>
            </w:pPr>
            <w:r>
              <w:rPr>
                <w:rFonts w:ascii="Arial" w:cs="Arial" w:eastAsia="Arial" w:hAnsi="Arial"/>
                <w:sz w:val="13"/>
                <w:szCs w:val="13"/>
                <w:b w:val="1"/>
                <w:bCs w:val="1"/>
                <w:color w:val="6AAA37"/>
              </w:rPr>
              <w:t>CORPORATE GOVERNANCE | LAW</w:t>
            </w:r>
          </w:p>
        </w:tc>
        <w:tc>
          <w:tcPr>
            <w:tcW w:w="0" w:type="dxa"/>
            <w:vAlign w:val="bottom"/>
          </w:tcPr>
          <w:p>
            <w:pPr>
              <w:spacing w:after="0"/>
              <w:rPr>
                <w:sz w:val="1"/>
                <w:szCs w:val="1"/>
                <w:color w:val="auto"/>
              </w:rPr>
            </w:pPr>
          </w:p>
        </w:tc>
      </w:tr>
      <w:tr>
        <w:trPr>
          <w:trHeight w:val="143"/>
        </w:trPr>
        <w:tc>
          <w:tcPr>
            <w:tcW w:w="2980" w:type="dxa"/>
            <w:vAlign w:val="bottom"/>
          </w:tcPr>
          <w:p>
            <w:pPr>
              <w:ind w:left="180"/>
              <w:spacing w:after="0" w:line="137" w:lineRule="exact"/>
              <w:rPr>
                <w:sz w:val="20"/>
                <w:szCs w:val="20"/>
                <w:color w:val="auto"/>
              </w:rPr>
            </w:pPr>
            <w:r>
              <w:rPr>
                <w:rFonts w:ascii="Arial" w:cs="Arial" w:eastAsia="Arial" w:hAnsi="Arial"/>
                <w:sz w:val="14"/>
                <w:szCs w:val="14"/>
                <w:color w:val="auto"/>
              </w:rPr>
              <w:t>President, 2011 – 2019; Chief Financial</w:t>
            </w:r>
          </w:p>
        </w:tc>
        <w:tc>
          <w:tcPr>
            <w:tcW w:w="3460" w:type="dxa"/>
            <w:vAlign w:val="bottom"/>
          </w:tcPr>
          <w:p>
            <w:pPr>
              <w:spacing w:after="0"/>
              <w:rPr>
                <w:sz w:val="12"/>
                <w:szCs w:val="12"/>
                <w:color w:val="auto"/>
              </w:rPr>
            </w:pPr>
          </w:p>
        </w:tc>
        <w:tc>
          <w:tcPr>
            <w:tcW w:w="2420" w:type="dxa"/>
            <w:vAlign w:val="bottom"/>
            <w:tcBorders>
              <w:bottom w:val="single" w:sz="8" w:color="B2B3B6"/>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980" w:type="dxa"/>
            <w:vAlign w:val="bottom"/>
          </w:tcPr>
          <w:p>
            <w:pPr>
              <w:ind w:left="180"/>
              <w:spacing w:after="0"/>
              <w:rPr>
                <w:sz w:val="20"/>
                <w:szCs w:val="20"/>
                <w:color w:val="auto"/>
              </w:rPr>
            </w:pPr>
            <w:r>
              <w:rPr>
                <w:rFonts w:ascii="Arial" w:cs="Arial" w:eastAsia="Arial" w:hAnsi="Arial"/>
                <w:sz w:val="14"/>
                <w:szCs w:val="14"/>
                <w:color w:val="auto"/>
              </w:rPr>
              <w:t>Officer, 2011 – 2017 and Treasurer, 2011</w:t>
            </w:r>
          </w:p>
        </w:tc>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180"/>
              <w:spacing w:after="0"/>
              <w:rPr>
                <w:sz w:val="20"/>
                <w:szCs w:val="20"/>
                <w:color w:val="auto"/>
              </w:rPr>
            </w:pPr>
            <w:r>
              <w:rPr>
                <w:rFonts w:ascii="Arial" w:cs="Arial" w:eastAsia="Arial" w:hAnsi="Arial"/>
                <w:sz w:val="14"/>
                <w:szCs w:val="14"/>
                <w:color w:val="auto"/>
              </w:rPr>
              <w:t>– 2016</w:t>
            </w:r>
          </w:p>
        </w:tc>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ectPr>
          <w:pgSz w:w="11900" w:h="16845" w:orient="portrait"/>
          <w:cols w:equalWidth="0" w:num="1">
            <w:col w:w="9080"/>
          </w:cols>
          <w:pgMar w:left="1400" w:top="756" w:right="1419" w:bottom="0" w:gutter="0" w:footer="0" w:header="0"/>
        </w:sectPr>
      </w:pPr>
    </w:p>
    <w:p>
      <w:pPr>
        <w:spacing w:after="0" w:line="22" w:lineRule="exact"/>
        <w:rPr>
          <w:sz w:val="20"/>
          <w:szCs w:val="20"/>
          <w:color w:val="auto"/>
        </w:rPr>
      </w:pPr>
    </w:p>
    <w:p>
      <w:pPr>
        <w:ind w:left="180" w:right="3460" w:hanging="172"/>
        <w:spacing w:after="0" w:line="325" w:lineRule="auto"/>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Chief Financial Officer, Crosscom National, LLC, 2002 – 2011</w:t>
      </w:r>
    </w:p>
    <w:p>
      <w:pPr>
        <w:spacing w:after="0" w:line="9" w:lineRule="exact"/>
        <w:rPr>
          <w:rFonts w:ascii="Arial" w:cs="Arial" w:eastAsia="Arial" w:hAnsi="Arial"/>
          <w:sz w:val="14"/>
          <w:szCs w:val="14"/>
          <w:b w:val="1"/>
          <w:bCs w:val="1"/>
          <w:color w:val="6AAA37"/>
        </w:rPr>
      </w:pPr>
    </w:p>
    <w:p>
      <w:pPr>
        <w:jc w:val="both"/>
        <w:ind w:left="180" w:right="2940" w:hanging="172"/>
        <w:spacing w:after="0" w:line="282" w:lineRule="auto"/>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Executive Vice President, Chief Financial Officer, Information Resources, Inc., 2000</w:t>
      </w:r>
    </w:p>
    <w:p>
      <w:pPr>
        <w:ind w:left="180"/>
        <w:spacing w:after="0"/>
        <w:rPr>
          <w:rFonts w:ascii="Arial" w:cs="Arial" w:eastAsia="Arial" w:hAnsi="Arial"/>
          <w:sz w:val="14"/>
          <w:szCs w:val="14"/>
          <w:b w:val="1"/>
          <w:bCs w:val="1"/>
          <w:color w:val="6AAA37"/>
        </w:rPr>
      </w:pPr>
      <w:r>
        <w:rPr>
          <w:rFonts w:ascii="Arial" w:cs="Arial" w:eastAsia="Arial" w:hAnsi="Arial"/>
          <w:sz w:val="14"/>
          <w:szCs w:val="14"/>
          <w:color w:val="auto"/>
        </w:rPr>
        <w:t>– 2002</w:t>
      </w:r>
    </w:p>
    <w:p>
      <w:pPr>
        <w:spacing w:after="0" w:line="94" w:lineRule="exact"/>
        <w:rPr>
          <w:rFonts w:ascii="Arial" w:cs="Arial" w:eastAsia="Arial" w:hAnsi="Arial"/>
          <w:sz w:val="14"/>
          <w:szCs w:val="14"/>
          <w:b w:val="1"/>
          <w:bCs w:val="1"/>
          <w:color w:val="6AAA37"/>
        </w:rPr>
      </w:pPr>
    </w:p>
    <w:p>
      <w:pPr>
        <w:ind w:left="180" w:right="2900" w:hanging="172"/>
        <w:spacing w:after="0" w:line="301" w:lineRule="auto"/>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Held senior finance, accounting and investor relations positions at entities such as EZLinks Golf, Inc., Dominick’s Finer Foods, Inc. and the Quaker Oats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367" w:lineRule="exact"/>
        <w:rPr>
          <w:sz w:val="20"/>
          <w:szCs w:val="20"/>
          <w:color w:val="auto"/>
        </w:rPr>
      </w:pPr>
    </w:p>
    <w:p>
      <w:pPr>
        <w:sectPr>
          <w:pgSz w:w="11900" w:h="16845" w:orient="portrait"/>
          <w:cols w:equalWidth="0" w:num="2">
            <w:col w:w="5760" w:space="720"/>
            <w:col w:w="2600"/>
          </w:cols>
          <w:pgMar w:left="1400" w:top="756" w:right="1419"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0" w:type="dxa"/>
            <w:vAlign w:val="bottom"/>
          </w:tcPr>
          <w:p>
            <w:pPr>
              <w:spacing w:after="0"/>
              <w:rPr>
                <w:sz w:val="20"/>
                <w:szCs w:val="20"/>
                <w:color w:val="auto"/>
              </w:rPr>
            </w:pPr>
            <w:r>
              <w:rPr>
                <w:rFonts w:ascii="Arial" w:cs="Arial" w:eastAsia="Arial" w:hAnsi="Arial"/>
                <w:sz w:val="14"/>
                <w:szCs w:val="14"/>
                <w:b w:val="1"/>
                <w:bCs w:val="1"/>
                <w:color w:val="6AAA37"/>
              </w:rPr>
              <w:t>•</w:t>
            </w:r>
          </w:p>
        </w:tc>
        <w:tc>
          <w:tcPr>
            <w:tcW w:w="6320" w:type="dxa"/>
            <w:vAlign w:val="bottom"/>
          </w:tcPr>
          <w:p>
            <w:pPr>
              <w:ind w:left="60"/>
              <w:spacing w:after="0"/>
              <w:rPr>
                <w:sz w:val="20"/>
                <w:szCs w:val="20"/>
                <w:color w:val="auto"/>
              </w:rPr>
            </w:pPr>
            <w:r>
              <w:rPr>
                <w:rFonts w:ascii="Arial" w:cs="Arial" w:eastAsia="Arial" w:hAnsi="Arial"/>
                <w:sz w:val="14"/>
                <w:szCs w:val="14"/>
                <w:color w:val="auto"/>
              </w:rPr>
              <w:t>B.S., Accountancy, University of Illinois,</w:t>
            </w:r>
          </w:p>
        </w:tc>
        <w:tc>
          <w:tcPr>
            <w:tcW w:w="2420" w:type="dxa"/>
            <w:vAlign w:val="bottom"/>
          </w:tcPr>
          <w:p>
            <w:pPr>
              <w:ind w:left="40"/>
              <w:spacing w:after="0"/>
              <w:rPr>
                <w:sz w:val="20"/>
                <w:szCs w:val="20"/>
                <w:color w:val="auto"/>
              </w:rPr>
            </w:pPr>
            <w:r>
              <w:rPr>
                <w:rFonts w:ascii="Arial" w:cs="Arial" w:eastAsia="Arial" w:hAnsi="Arial"/>
                <w:sz w:val="13"/>
                <w:szCs w:val="13"/>
                <w:b w:val="1"/>
                <w:bCs w:val="1"/>
                <w:color w:val="6AAA37"/>
              </w:rPr>
              <w:t>GLOBAL BUSINESS</w:t>
            </w:r>
          </w:p>
        </w:tc>
        <w:tc>
          <w:tcPr>
            <w:tcW w:w="0" w:type="dxa"/>
            <w:vAlign w:val="bottom"/>
          </w:tcPr>
          <w:p>
            <w:pPr>
              <w:spacing w:after="0"/>
              <w:rPr>
                <w:sz w:val="1"/>
                <w:szCs w:val="1"/>
                <w:color w:val="auto"/>
              </w:rPr>
            </w:pPr>
          </w:p>
        </w:tc>
      </w:tr>
      <w:tr>
        <w:trPr>
          <w:trHeight w:val="104"/>
        </w:trPr>
        <w:tc>
          <w:tcPr>
            <w:tcW w:w="120" w:type="dxa"/>
            <w:vAlign w:val="bottom"/>
          </w:tcPr>
          <w:p>
            <w:pPr>
              <w:spacing w:after="0"/>
              <w:rPr>
                <w:sz w:val="9"/>
                <w:szCs w:val="9"/>
                <w:color w:val="auto"/>
              </w:rPr>
            </w:pPr>
          </w:p>
        </w:tc>
        <w:tc>
          <w:tcPr>
            <w:tcW w:w="6320" w:type="dxa"/>
            <w:vAlign w:val="bottom"/>
            <w:vMerge w:val="restart"/>
          </w:tcPr>
          <w:p>
            <w:pPr>
              <w:ind w:left="60"/>
              <w:spacing w:after="0"/>
              <w:rPr>
                <w:sz w:val="20"/>
                <w:szCs w:val="20"/>
                <w:color w:val="auto"/>
              </w:rPr>
            </w:pPr>
            <w:r>
              <w:rPr>
                <w:rFonts w:ascii="Arial" w:cs="Arial" w:eastAsia="Arial" w:hAnsi="Arial"/>
                <w:sz w:val="14"/>
                <w:szCs w:val="14"/>
                <w:color w:val="auto"/>
              </w:rPr>
              <w:t>Urbana-Champaign</w:t>
            </w:r>
          </w:p>
        </w:tc>
        <w:tc>
          <w:tcPr>
            <w:tcW w:w="2420" w:type="dxa"/>
            <w:vAlign w:val="bottom"/>
            <w:tcBorders>
              <w:bottom w:val="single" w:sz="8" w:color="B2B3B6"/>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20" w:type="dxa"/>
            <w:vAlign w:val="bottom"/>
          </w:tcPr>
          <w:p>
            <w:pPr>
              <w:spacing w:after="0"/>
              <w:rPr>
                <w:sz w:val="5"/>
                <w:szCs w:val="5"/>
                <w:color w:val="auto"/>
              </w:rPr>
            </w:pPr>
          </w:p>
        </w:tc>
        <w:tc>
          <w:tcPr>
            <w:tcW w:w="6320" w:type="dxa"/>
            <w:vAlign w:val="bottom"/>
            <w:vMerge w:val="continue"/>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440" w:type="dxa"/>
            <w:vAlign w:val="bottom"/>
            <w:gridSpan w:val="2"/>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M.B.A., Finance, University of Chicago</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320" w:type="dxa"/>
            <w:vAlign w:val="bottom"/>
          </w:tcPr>
          <w:p>
            <w:pPr>
              <w:ind w:left="60"/>
              <w:spacing w:after="0"/>
              <w:rPr>
                <w:sz w:val="20"/>
                <w:szCs w:val="20"/>
                <w:color w:val="auto"/>
              </w:rPr>
            </w:pPr>
            <w:r>
              <w:rPr>
                <w:rFonts w:ascii="Arial" w:cs="Arial" w:eastAsia="Arial" w:hAnsi="Arial"/>
                <w:sz w:val="14"/>
                <w:szCs w:val="14"/>
                <w:color w:val="auto"/>
              </w:rPr>
              <w:t>Graduate School of Business</w:t>
            </w:r>
          </w:p>
        </w:tc>
        <w:tc>
          <w:tcPr>
            <w:tcW w:w="2420" w:type="dxa"/>
            <w:vAlign w:val="bottom"/>
            <w:vMerge w:val="restart"/>
          </w:tcPr>
          <w:p>
            <w:pPr>
              <w:ind w:left="40"/>
              <w:spacing w:after="0"/>
              <w:rPr>
                <w:sz w:val="20"/>
                <w:szCs w:val="20"/>
                <w:color w:val="auto"/>
              </w:rPr>
            </w:pPr>
            <w:r>
              <w:rPr>
                <w:rFonts w:ascii="Arial" w:cs="Arial" w:eastAsia="Arial" w:hAnsi="Arial"/>
                <w:sz w:val="13"/>
                <w:szCs w:val="13"/>
                <w:b w:val="1"/>
                <w:bCs w:val="1"/>
                <w:color w:val="6AAA37"/>
              </w:rPr>
              <w:t>HEALTHCARE</w:t>
            </w:r>
          </w:p>
        </w:tc>
        <w:tc>
          <w:tcPr>
            <w:tcW w:w="0" w:type="dxa"/>
            <w:vAlign w:val="bottom"/>
          </w:tcPr>
          <w:p>
            <w:pPr>
              <w:spacing w:after="0"/>
              <w:rPr>
                <w:sz w:val="1"/>
                <w:szCs w:val="1"/>
                <w:color w:val="auto"/>
              </w:rPr>
            </w:pPr>
          </w:p>
        </w:tc>
      </w:tr>
      <w:tr>
        <w:trPr>
          <w:trHeight w:val="121"/>
        </w:trPr>
        <w:tc>
          <w:tcPr>
            <w:tcW w:w="120" w:type="dxa"/>
            <w:vAlign w:val="bottom"/>
            <w:vMerge w:val="restart"/>
          </w:tcPr>
          <w:p>
            <w:pPr>
              <w:spacing w:after="0"/>
              <w:rPr>
                <w:sz w:val="20"/>
                <w:szCs w:val="20"/>
                <w:color w:val="auto"/>
              </w:rPr>
            </w:pPr>
            <w:r>
              <w:rPr>
                <w:rFonts w:ascii="Arial" w:cs="Arial" w:eastAsia="Arial" w:hAnsi="Arial"/>
                <w:sz w:val="14"/>
                <w:szCs w:val="14"/>
                <w:b w:val="1"/>
                <w:bCs w:val="1"/>
                <w:color w:val="6AAA37"/>
              </w:rPr>
              <w:t>•</w:t>
            </w:r>
          </w:p>
        </w:tc>
        <w:tc>
          <w:tcPr>
            <w:tcW w:w="6320" w:type="dxa"/>
            <w:vAlign w:val="bottom"/>
            <w:vMerge w:val="restart"/>
          </w:tcPr>
          <w:p>
            <w:pPr>
              <w:ind w:left="60"/>
              <w:spacing w:after="0"/>
              <w:rPr>
                <w:sz w:val="20"/>
                <w:szCs w:val="20"/>
                <w:color w:val="auto"/>
              </w:rPr>
            </w:pPr>
            <w:r>
              <w:rPr>
                <w:rFonts w:ascii="Arial" w:cs="Arial" w:eastAsia="Arial" w:hAnsi="Arial"/>
                <w:sz w:val="14"/>
                <w:szCs w:val="14"/>
                <w:color w:val="auto"/>
              </w:rPr>
              <w:t>Chartered Financial Analyst</w:t>
            </w: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0" w:type="dxa"/>
            <w:vAlign w:val="bottom"/>
            <w:vMerge w:val="continue"/>
          </w:tcPr>
          <w:p>
            <w:pPr>
              <w:spacing w:after="0"/>
              <w:rPr>
                <w:sz w:val="11"/>
                <w:szCs w:val="11"/>
                <w:color w:val="auto"/>
              </w:rPr>
            </w:pPr>
          </w:p>
        </w:tc>
        <w:tc>
          <w:tcPr>
            <w:tcW w:w="6320" w:type="dxa"/>
            <w:vAlign w:val="bottom"/>
            <w:vMerge w:val="continue"/>
          </w:tcPr>
          <w:p>
            <w:pPr>
              <w:spacing w:after="0"/>
              <w:rPr>
                <w:sz w:val="11"/>
                <w:szCs w:val="11"/>
                <w:color w:val="auto"/>
              </w:rPr>
            </w:pPr>
          </w:p>
        </w:tc>
        <w:tc>
          <w:tcPr>
            <w:tcW w:w="2420" w:type="dxa"/>
            <w:vAlign w:val="bottom"/>
            <w:tcBorders>
              <w:bottom w:val="single" w:sz="8" w:color="B2B3B6"/>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20"/>
                <w:szCs w:val="20"/>
                <w:color w:val="auto"/>
              </w:rPr>
            </w:pPr>
            <w:r>
              <w:rPr>
                <w:rFonts w:ascii="Arial" w:cs="Arial" w:eastAsia="Arial" w:hAnsi="Arial"/>
                <w:sz w:val="14"/>
                <w:szCs w:val="14"/>
                <w:b w:val="1"/>
                <w:bCs w:val="1"/>
                <w:color w:val="6AAA37"/>
              </w:rPr>
              <w:t>•</w:t>
            </w:r>
          </w:p>
        </w:tc>
        <w:tc>
          <w:tcPr>
            <w:tcW w:w="6320" w:type="dxa"/>
            <w:vAlign w:val="bottom"/>
          </w:tcPr>
          <w:p>
            <w:pPr>
              <w:ind w:left="60"/>
              <w:spacing w:after="0"/>
              <w:rPr>
                <w:sz w:val="20"/>
                <w:szCs w:val="20"/>
                <w:color w:val="auto"/>
              </w:rPr>
            </w:pPr>
            <w:r>
              <w:rPr>
                <w:rFonts w:ascii="Arial" w:cs="Arial" w:eastAsia="Arial" w:hAnsi="Arial"/>
                <w:sz w:val="14"/>
                <w:szCs w:val="14"/>
                <w:color w:val="auto"/>
              </w:rPr>
              <w:t>Certified Management Accountant</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Certified Public Accountant (inactive)</w:t>
            </w:r>
          </w:p>
        </w:tc>
        <w:tc>
          <w:tcPr>
            <w:tcW w:w="2420" w:type="dxa"/>
            <w:vAlign w:val="bottom"/>
            <w:vMerge w:val="restart"/>
          </w:tcPr>
          <w:p>
            <w:pPr>
              <w:ind w:left="40"/>
              <w:spacing w:after="0"/>
              <w:rPr>
                <w:sz w:val="20"/>
                <w:szCs w:val="20"/>
                <w:color w:val="auto"/>
              </w:rPr>
            </w:pPr>
            <w:r>
              <w:rPr>
                <w:rFonts w:ascii="Arial" w:cs="Arial" w:eastAsia="Arial" w:hAnsi="Arial"/>
                <w:sz w:val="13"/>
                <w:szCs w:val="13"/>
                <w:b w:val="1"/>
                <w:bCs w:val="1"/>
                <w:color w:val="6AAA37"/>
              </w:rPr>
              <w:t>HIGHER EDUCATION</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ectPr>
          <w:pgSz w:w="11900" w:h="16845" w:orient="portrait"/>
          <w:cols w:equalWidth="0" w:num="1">
            <w:col w:w="9080"/>
          </w:cols>
          <w:pgMar w:left="1400" w:top="756" w:right="1419" w:bottom="0" w:gutter="0" w:footer="0" w:header="0"/>
          <w:type w:val="continuous"/>
        </w:sectPr>
      </w:pPr>
    </w:p>
    <w:p>
      <w:pPr>
        <w:spacing w:after="0" w:line="145" w:lineRule="exact"/>
        <w:rPr>
          <w:sz w:val="20"/>
          <w:szCs w:val="20"/>
          <w:color w:val="auto"/>
        </w:rPr>
      </w:pPr>
    </w:p>
    <w:p>
      <w:pPr>
        <w:ind w:right="20"/>
        <w:spacing w:after="0" w:line="325" w:lineRule="auto"/>
        <w:rPr>
          <w:sz w:val="20"/>
          <w:szCs w:val="20"/>
          <w:color w:val="auto"/>
        </w:rPr>
      </w:pPr>
      <w:r>
        <w:rPr>
          <w:rFonts w:ascii="Arial" w:cs="Arial" w:eastAsia="Arial" w:hAnsi="Arial"/>
          <w:sz w:val="14"/>
          <w:szCs w:val="14"/>
          <w:color w:val="auto"/>
        </w:rPr>
        <w:t>Through his distinguished career at Huron, Mr. Hussey brings to the board his hands-on perspective of the Company's strategy and operations. Along with his prior executive roles in finance, administration and in professional IT services, Mr. Hussey contributes to the board a</w:t>
      </w:r>
    </w:p>
    <w:p>
      <w:pPr>
        <w:sectPr>
          <w:pgSz w:w="11900" w:h="16845" w:orient="portrait"/>
          <w:cols w:equalWidth="0" w:num="1">
            <w:col w:w="9080"/>
          </w:cols>
          <w:pgMar w:left="1400" w:top="756" w:right="141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auto"/>
        </w:rPr>
        <w:t>unique understanding of the Huron organization, the consulting business, and the businesses of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1613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161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7</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20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882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H. Eugene Lockhart</w:t>
      </w:r>
    </w:p>
    <w:p>
      <w:pPr>
        <w:spacing w:after="0" w:line="230"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190"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76 | DIRECTOR SINCE: DECEMBER 2006</w:t>
      </w:r>
    </w:p>
    <w:p>
      <w:pPr>
        <w:spacing w:after="0" w:line="42"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F&amp;CA (CHAIR), A (MEMBER), C (MEMBER)</w:t>
      </w:r>
    </w:p>
    <w:p>
      <w:pPr>
        <w:sectPr>
          <w:pgSz w:w="11900" w:h="16838" w:orient="portrait"/>
          <w:cols w:equalWidth="0" w:num="1">
            <w:col w:w="9059"/>
          </w:cols>
          <w:pgMar w:left="140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45" w:lineRule="exact"/>
        <w:rPr>
          <w:sz w:val="20"/>
          <w:szCs w:val="20"/>
          <w:color w:val="auto"/>
        </w:rPr>
      </w:pPr>
    </w:p>
    <w:p>
      <w:pPr>
        <w:ind w:left="180" w:right="200" w:hanging="172"/>
        <w:spacing w:after="0" w:line="298" w:lineRule="auto"/>
        <w:tabs>
          <w:tab w:leader="none" w:pos="180"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Chairman Emeritus, Co-Founder and General Partner, MissionOG LLC, a venture capital firm with significant operational and investment experience across the financial services and payments industries since 2013</w:t>
      </w:r>
    </w:p>
    <w:p>
      <w:pPr>
        <w:spacing w:after="0" w:line="15" w:lineRule="exact"/>
        <w:rPr>
          <w:rFonts w:ascii="Arial" w:cs="Arial" w:eastAsia="Arial" w:hAnsi="Arial"/>
          <w:sz w:val="14"/>
          <w:szCs w:val="14"/>
          <w:b w:val="1"/>
          <w:bCs w:val="1"/>
          <w:color w:val="6AAA37"/>
        </w:rPr>
      </w:pPr>
    </w:p>
    <w:p>
      <w:pPr>
        <w:ind w:left="180" w:hanging="172"/>
        <w:spacing w:after="0" w:line="302" w:lineRule="auto"/>
        <w:tabs>
          <w:tab w:leader="none" w:pos="180"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Operating partner, Welsh, Carson, Anderson &amp; Stowe since 2025, a private equity firm focused on the technology and healthcare industries</w:t>
      </w:r>
    </w:p>
    <w:p>
      <w:pPr>
        <w:spacing w:after="0" w:line="26" w:lineRule="exact"/>
        <w:rPr>
          <w:rFonts w:ascii="Arial" w:cs="Arial" w:eastAsia="Arial" w:hAnsi="Arial"/>
          <w:sz w:val="14"/>
          <w:szCs w:val="14"/>
          <w:b w:val="1"/>
          <w:bCs w:val="1"/>
          <w:color w:val="6AAA37"/>
        </w:rPr>
      </w:pPr>
    </w:p>
    <w:p>
      <w:pPr>
        <w:ind w:left="180" w:hanging="172"/>
        <w:spacing w:after="0" w:line="302" w:lineRule="auto"/>
        <w:tabs>
          <w:tab w:leader="none" w:pos="180"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Senior advisor, Blackstone Group, with a focus on Blackstone Growth and Blackstone Tactical Opportunities, 2020 to 2025</w:t>
      </w:r>
    </w:p>
    <w:p>
      <w:pPr>
        <w:spacing w:after="0" w:line="13" w:lineRule="exact"/>
        <w:rPr>
          <w:rFonts w:ascii="Arial" w:cs="Arial" w:eastAsia="Arial" w:hAnsi="Arial"/>
          <w:sz w:val="14"/>
          <w:szCs w:val="14"/>
          <w:b w:val="1"/>
          <w:bCs w:val="1"/>
          <w:color w:val="6AAA37"/>
        </w:rPr>
      </w:pPr>
    </w:p>
    <w:p>
      <w:pPr>
        <w:ind w:left="180" w:right="140" w:hanging="172"/>
        <w:spacing w:after="0" w:line="313" w:lineRule="auto"/>
        <w:tabs>
          <w:tab w:leader="none" w:pos="180"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Special adviser, General Atlantic LLC, a global growth investment firm, 2012 to 2019</w:t>
      </w:r>
    </w:p>
    <w:p>
      <w:pPr>
        <w:spacing w:after="0" w:line="4" w:lineRule="exact"/>
        <w:rPr>
          <w:rFonts w:ascii="Arial" w:cs="Arial" w:eastAsia="Arial" w:hAnsi="Arial"/>
          <w:sz w:val="14"/>
          <w:szCs w:val="14"/>
          <w:b w:val="1"/>
          <w:bCs w:val="1"/>
          <w:color w:val="6AAA37"/>
        </w:rPr>
      </w:pPr>
    </w:p>
    <w:p>
      <w:pPr>
        <w:ind w:left="180" w:right="340" w:hanging="172"/>
        <w:spacing w:after="0" w:line="332" w:lineRule="auto"/>
        <w:tabs>
          <w:tab w:leader="none" w:pos="180"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Operating partner at Oak Investment Partners, 2002 until 2012</w:t>
      </w:r>
    </w:p>
    <w:p>
      <w:pPr>
        <w:ind w:left="180" w:hanging="172"/>
        <w:spacing w:after="0" w:line="299" w:lineRule="auto"/>
        <w:tabs>
          <w:tab w:leader="none" w:pos="180"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Through the above-mentioned investment firms, Mr. Lockhart has been actively involved in overseeing the management of high growth companies, including NetSpend, Argus Information, Metro Bank PLC, CLIP, DemystData, Factor Trust, Avant, BillDesk, and others</w:t>
      </w:r>
    </w:p>
    <w:p>
      <w:pPr>
        <w:spacing w:after="0" w:line="13" w:lineRule="exact"/>
        <w:rPr>
          <w:rFonts w:ascii="Arial" w:cs="Arial" w:eastAsia="Arial" w:hAnsi="Arial"/>
          <w:sz w:val="14"/>
          <w:szCs w:val="14"/>
          <w:b w:val="1"/>
          <w:bCs w:val="1"/>
          <w:color w:val="6AAA37"/>
        </w:rPr>
      </w:pPr>
    </w:p>
    <w:p>
      <w:pPr>
        <w:ind w:left="180" w:right="220" w:hanging="172"/>
        <w:spacing w:after="0" w:line="298" w:lineRule="auto"/>
        <w:tabs>
          <w:tab w:leader="none" w:pos="180"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Prior leadership positions include president of Global Retail and Commercial Bank at Bank of America, president and chief executive officer of MasterCard International, and chief executive officer of Midland Bank plc.</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145" w:lineRule="exact"/>
        <w:rPr>
          <w:sz w:val="20"/>
          <w:szCs w:val="20"/>
          <w:color w:val="auto"/>
        </w:rPr>
      </w:pPr>
    </w:p>
    <w:p>
      <w:pPr>
        <w:ind w:left="180" w:right="80" w:hanging="172"/>
        <w:spacing w:after="0" w:line="325" w:lineRule="auto"/>
        <w:tabs>
          <w:tab w:leader="none" w:pos="180" w:val="left"/>
        </w:tabs>
        <w:numPr>
          <w:ilvl w:val="0"/>
          <w:numId w:val="17"/>
        </w:numPr>
        <w:rPr>
          <w:rFonts w:ascii="Arial" w:cs="Arial" w:eastAsia="Arial" w:hAnsi="Arial"/>
          <w:sz w:val="14"/>
          <w:szCs w:val="14"/>
          <w:b w:val="1"/>
          <w:bCs w:val="1"/>
          <w:color w:val="6AAA37"/>
        </w:rPr>
      </w:pPr>
      <w:r>
        <w:rPr>
          <w:rFonts w:ascii="Arial" w:cs="Arial" w:eastAsia="Arial" w:hAnsi="Arial"/>
          <w:sz w:val="14"/>
          <w:szCs w:val="14"/>
          <w:color w:val="auto"/>
        </w:rPr>
        <w:t>B.S., Mechanical Engineering, University of Virginia</w:t>
      </w:r>
    </w:p>
    <w:p>
      <w:pPr>
        <w:spacing w:after="0" w:line="9" w:lineRule="exact"/>
        <w:rPr>
          <w:rFonts w:ascii="Arial" w:cs="Arial" w:eastAsia="Arial" w:hAnsi="Arial"/>
          <w:sz w:val="14"/>
          <w:szCs w:val="14"/>
          <w:b w:val="1"/>
          <w:bCs w:val="1"/>
          <w:color w:val="6AAA37"/>
        </w:rPr>
      </w:pPr>
    </w:p>
    <w:p>
      <w:pPr>
        <w:ind w:left="180" w:right="120" w:hanging="172"/>
        <w:spacing w:after="0" w:line="322" w:lineRule="auto"/>
        <w:tabs>
          <w:tab w:leader="none" w:pos="180" w:val="left"/>
        </w:tabs>
        <w:numPr>
          <w:ilvl w:val="0"/>
          <w:numId w:val="17"/>
        </w:numPr>
        <w:rPr>
          <w:rFonts w:ascii="Arial" w:cs="Arial" w:eastAsia="Arial" w:hAnsi="Arial"/>
          <w:sz w:val="14"/>
          <w:szCs w:val="14"/>
          <w:b w:val="1"/>
          <w:bCs w:val="1"/>
          <w:color w:val="6AAA37"/>
        </w:rPr>
      </w:pPr>
      <w:r>
        <w:rPr>
          <w:rFonts w:ascii="Arial" w:cs="Arial" w:eastAsia="Arial" w:hAnsi="Arial"/>
          <w:sz w:val="14"/>
          <w:szCs w:val="14"/>
          <w:color w:val="auto"/>
        </w:rPr>
        <w:t>M.B.A., The Darden Graduate School of Business, University of Virginia</w:t>
      </w:r>
    </w:p>
    <w:p>
      <w:pPr>
        <w:ind w:left="180" w:hanging="172"/>
        <w:spacing w:after="0"/>
        <w:tabs>
          <w:tab w:leader="none" w:pos="180" w:val="left"/>
        </w:tabs>
        <w:numPr>
          <w:ilvl w:val="0"/>
          <w:numId w:val="17"/>
        </w:numPr>
        <w:rPr>
          <w:rFonts w:ascii="Arial" w:cs="Arial" w:eastAsia="Arial" w:hAnsi="Arial"/>
          <w:sz w:val="14"/>
          <w:szCs w:val="14"/>
          <w:b w:val="1"/>
          <w:bCs w:val="1"/>
          <w:color w:val="6AAA37"/>
        </w:rPr>
      </w:pPr>
      <w:r>
        <w:rPr>
          <w:rFonts w:ascii="Arial" w:cs="Arial" w:eastAsia="Arial" w:hAnsi="Arial"/>
          <w:sz w:val="14"/>
          <w:szCs w:val="14"/>
          <w:color w:val="auto"/>
        </w:rPr>
        <w:t>Certified Public Accountant (inactive)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7" w:right="740"/>
        <w:spacing w:after="0" w:line="296" w:lineRule="auto"/>
        <w:rPr>
          <w:sz w:val="20"/>
          <w:szCs w:val="20"/>
          <w:color w:val="auto"/>
        </w:rPr>
      </w:pPr>
      <w:r>
        <w:rPr>
          <w:rFonts w:ascii="Arial" w:cs="Arial" w:eastAsia="Arial" w:hAnsi="Arial"/>
          <w:sz w:val="16"/>
          <w:szCs w:val="16"/>
          <w:b w:val="1"/>
          <w:bCs w:val="1"/>
          <w:color w:val="00558C"/>
        </w:rPr>
        <w:t>Current Public Company Board Service:</w:t>
      </w:r>
    </w:p>
    <w:p>
      <w:pPr>
        <w:spacing w:after="0" w:line="24" w:lineRule="exact"/>
        <w:rPr>
          <w:sz w:val="20"/>
          <w:szCs w:val="20"/>
          <w:color w:val="auto"/>
        </w:rPr>
      </w:pPr>
    </w:p>
    <w:p>
      <w:pPr>
        <w:ind w:left="167" w:right="40" w:hanging="167"/>
        <w:spacing w:after="0" w:line="345" w:lineRule="auto"/>
        <w:tabs>
          <w:tab w:leader="none" w:pos="167" w:val="left"/>
        </w:tabs>
        <w:numPr>
          <w:ilvl w:val="0"/>
          <w:numId w:val="18"/>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2006</w:t>
      </w:r>
    </w:p>
    <w:p>
      <w:pPr>
        <w:spacing w:after="0" w:line="18" w:lineRule="exact"/>
        <w:rPr>
          <w:sz w:val="20"/>
          <w:szCs w:val="20"/>
          <w:color w:val="auto"/>
        </w:rPr>
      </w:pPr>
    </w:p>
    <w:p>
      <w:pPr>
        <w:ind w:left="7" w:right="140"/>
        <w:spacing w:after="0" w:line="280" w:lineRule="auto"/>
        <w:rPr>
          <w:sz w:val="20"/>
          <w:szCs w:val="20"/>
          <w:color w:val="auto"/>
        </w:rPr>
      </w:pPr>
      <w:r>
        <w:rPr>
          <w:rFonts w:ascii="Arial" w:cs="Arial" w:eastAsia="Arial" w:hAnsi="Arial"/>
          <w:sz w:val="16"/>
          <w:szCs w:val="16"/>
          <w:b w:val="1"/>
          <w:bCs w:val="1"/>
          <w:color w:val="00558C"/>
        </w:rPr>
        <w:t>Previous Public Company Board Experience during the last five years:</w:t>
      </w:r>
    </w:p>
    <w:p>
      <w:pPr>
        <w:spacing w:after="0" w:line="63" w:lineRule="exact"/>
        <w:rPr>
          <w:sz w:val="20"/>
          <w:szCs w:val="20"/>
          <w:color w:val="auto"/>
        </w:rPr>
      </w:pPr>
    </w:p>
    <w:p>
      <w:pPr>
        <w:ind w:left="167" w:hanging="167"/>
        <w:spacing w:after="0"/>
        <w:tabs>
          <w:tab w:leader="none" w:pos="167" w:val="left"/>
        </w:tabs>
        <w:numPr>
          <w:ilvl w:val="0"/>
          <w:numId w:val="19"/>
        </w:numPr>
        <w:rPr>
          <w:rFonts w:ascii="Arial" w:cs="Arial" w:eastAsia="Arial" w:hAnsi="Arial"/>
          <w:sz w:val="14"/>
          <w:szCs w:val="14"/>
          <w:b w:val="1"/>
          <w:bCs w:val="1"/>
          <w:color w:val="6AAA37"/>
        </w:rPr>
      </w:pPr>
      <w:r>
        <w:rPr>
          <w:rFonts w:ascii="Arial" w:cs="Arial" w:eastAsia="Arial" w:hAnsi="Arial"/>
          <w:sz w:val="14"/>
          <w:szCs w:val="14"/>
          <w:color w:val="auto"/>
        </w:rPr>
        <w:t>Alkami Technology, Inc., 2021 – 2022</w:t>
      </w:r>
    </w:p>
    <w:p>
      <w:pPr>
        <w:spacing w:after="0" w:line="374" w:lineRule="exact"/>
        <w:rPr>
          <w:sz w:val="20"/>
          <w:szCs w:val="20"/>
          <w:color w:val="auto"/>
        </w:rPr>
      </w:pPr>
    </w:p>
    <w:p>
      <w:pPr>
        <w:ind w:left="7" w:right="520"/>
        <w:spacing w:after="0" w:line="296"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64" w:lineRule="exact"/>
        <w:rPr>
          <w:sz w:val="20"/>
          <w:szCs w:val="20"/>
          <w:color w:val="auto"/>
        </w:rPr>
      </w:pPr>
    </w:p>
    <w:p>
      <w:pPr>
        <w:ind w:left="167" w:right="60" w:hanging="167"/>
        <w:spacing w:after="0" w:line="325" w:lineRule="auto"/>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Community Choice Financial, director, 2018 - 2025</w:t>
      </w:r>
    </w:p>
    <w:p>
      <w:pPr>
        <w:spacing w:after="0" w:line="9" w:lineRule="exact"/>
        <w:rPr>
          <w:rFonts w:ascii="Arial" w:cs="Arial" w:eastAsia="Arial" w:hAnsi="Arial"/>
          <w:sz w:val="14"/>
          <w:szCs w:val="14"/>
          <w:b w:val="1"/>
          <w:bCs w:val="1"/>
          <w:color w:val="6AAA37"/>
        </w:rPr>
      </w:pPr>
    </w:p>
    <w:p>
      <w:pPr>
        <w:ind w:left="167" w:hanging="167"/>
        <w:spacing w:after="0"/>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Ingo Payments, director since 2015</w:t>
      </w:r>
    </w:p>
    <w:p>
      <w:pPr>
        <w:spacing w:after="0" w:line="82" w:lineRule="exact"/>
        <w:rPr>
          <w:rFonts w:ascii="Arial" w:cs="Arial" w:eastAsia="Arial" w:hAnsi="Arial"/>
          <w:sz w:val="14"/>
          <w:szCs w:val="14"/>
          <w:b w:val="1"/>
          <w:bCs w:val="1"/>
          <w:color w:val="6AAA37"/>
        </w:rPr>
      </w:pPr>
    </w:p>
    <w:p>
      <w:pPr>
        <w:ind w:left="167" w:hanging="167"/>
        <w:spacing w:after="0"/>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Featurespace, director since 2019</w:t>
      </w:r>
    </w:p>
    <w:p>
      <w:pPr>
        <w:spacing w:after="0" w:line="95" w:lineRule="exact"/>
        <w:rPr>
          <w:rFonts w:ascii="Arial" w:cs="Arial" w:eastAsia="Arial" w:hAnsi="Arial"/>
          <w:sz w:val="14"/>
          <w:szCs w:val="14"/>
          <w:b w:val="1"/>
          <w:bCs w:val="1"/>
          <w:color w:val="6AAA37"/>
        </w:rPr>
      </w:pPr>
    </w:p>
    <w:p>
      <w:pPr>
        <w:ind w:left="167" w:right="100" w:hanging="167"/>
        <w:spacing w:after="0" w:line="322" w:lineRule="auto"/>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Thredd, director since 2022, currently serves as Chair</w:t>
      </w:r>
    </w:p>
    <w:p>
      <w:pPr>
        <w:ind w:left="167" w:hanging="167"/>
        <w:spacing w:after="0"/>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PayCargo LLC, director since 2022</w:t>
      </w:r>
    </w:p>
    <w:p>
      <w:pPr>
        <w:spacing w:after="0" w:line="95" w:lineRule="exact"/>
        <w:rPr>
          <w:rFonts w:ascii="Arial" w:cs="Arial" w:eastAsia="Arial" w:hAnsi="Arial"/>
          <w:sz w:val="14"/>
          <w:szCs w:val="14"/>
          <w:b w:val="1"/>
          <w:bCs w:val="1"/>
          <w:color w:val="6AAA37"/>
        </w:rPr>
      </w:pPr>
    </w:p>
    <w:p>
      <w:pPr>
        <w:ind w:left="167" w:right="40" w:hanging="167"/>
        <w:spacing w:after="0" w:line="313" w:lineRule="auto"/>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The Thomas Jefferson Foundation (Monticello), 2007 - 2013, Chair 2011 - 2012, Chairman Emeritus 2015 - 2017</w:t>
      </w:r>
    </w:p>
    <w:p>
      <w:pPr>
        <w:spacing w:after="0" w:line="4" w:lineRule="exact"/>
        <w:rPr>
          <w:rFonts w:ascii="Arial" w:cs="Arial" w:eastAsia="Arial" w:hAnsi="Arial"/>
          <w:sz w:val="14"/>
          <w:szCs w:val="14"/>
          <w:b w:val="1"/>
          <w:bCs w:val="1"/>
          <w:color w:val="6AAA37"/>
        </w:rPr>
      </w:pPr>
    </w:p>
    <w:p>
      <w:pPr>
        <w:ind w:left="167" w:right="320" w:hanging="167"/>
        <w:spacing w:after="0" w:line="313" w:lineRule="auto"/>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The Darden School Foundation, University of Virginia, 1997 - 2008 including service as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1141" w:lineRule="exact"/>
        <w:rPr>
          <w:sz w:val="20"/>
          <w:szCs w:val="20"/>
          <w:color w:val="auto"/>
        </w:rPr>
      </w:pPr>
    </w:p>
    <w:p>
      <w:pPr>
        <w:sectPr>
          <w:pgSz w:w="11900" w:h="16838" w:orient="portrait"/>
          <w:cols w:equalWidth="0" w:num="3">
            <w:col w:w="2840" w:space="273"/>
            <w:col w:w="2647" w:space="720"/>
            <w:col w:w="2579"/>
          </w:cols>
          <w:pgMar w:left="1400" w:top="118" w:right="1440" w:bottom="0" w:gutter="0" w:footer="0" w:header="0"/>
          <w:type w:val="continuous"/>
        </w:sectPr>
      </w:pPr>
    </w:p>
    <w:p>
      <w:pPr>
        <w:ind w:right="119"/>
        <w:spacing w:after="0" w:line="302" w:lineRule="auto"/>
        <w:rPr>
          <w:sz w:val="20"/>
          <w:szCs w:val="20"/>
          <w:color w:val="auto"/>
        </w:rPr>
      </w:pPr>
      <w:r>
        <w:rPr>
          <w:rFonts w:ascii="Arial" w:cs="Arial" w:eastAsia="Arial" w:hAnsi="Arial"/>
          <w:sz w:val="14"/>
          <w:szCs w:val="14"/>
          <w:color w:val="auto"/>
        </w:rPr>
        <w:t>Mr. Lockhart brings to the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a broad array of contacts to Huron.</w:t>
      </w:r>
    </w:p>
    <w:p>
      <w:pPr>
        <w:sectPr>
          <w:pgSz w:w="11900" w:h="16838" w:orient="portrait"/>
          <w:cols w:equalWidth="0" w:num="1">
            <w:col w:w="9059"/>
          </w:cols>
          <w:pgMar w:left="1400" w:top="118" w:right="1440" w:bottom="0" w:gutter="0" w:footer="0" w:header="0"/>
          <w:type w:val="continuous"/>
        </w:sectPr>
      </w:pPr>
    </w:p>
    <w:p>
      <w:pPr>
        <w:spacing w:after="0" w:line="315"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8</w:t>
      </w:r>
      <w:r>
        <w:rPr>
          <w:sz w:val="20"/>
          <w:szCs w:val="20"/>
          <w:color w:val="auto"/>
        </w:rPr>
        <w:tab/>
      </w:r>
      <w:r>
        <w:rPr>
          <w:rFonts w:ascii="Arial" w:cs="Arial" w:eastAsia="Arial" w:hAnsi="Arial"/>
          <w:sz w:val="12"/>
          <w:szCs w:val="12"/>
          <w:color w:val="auto"/>
        </w:rPr>
        <w:t>2026 Proxy Statement</w:t>
      </w:r>
    </w:p>
    <w:p>
      <w:pPr>
        <w:sectPr>
          <w:pgSz w:w="11900" w:h="16838" w:orient="portrait"/>
          <w:cols w:equalWidth="0" w:num="1">
            <w:col w:w="9059"/>
          </w:cols>
          <w:pgMar w:left="1400" w:top="118" w:right="1440" w:bottom="0" w:gutter="0" w:footer="0" w:header="0"/>
          <w:type w:val="continuous"/>
        </w:sectPr>
      </w:pPr>
    </w:p>
    <w:bookmarkStart w:id="17" w:name="page18"/>
    <w:bookmarkEnd w:id="17"/>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985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8985885"/>
                    </a:xfrm>
                    <a:prstGeom prst="rect">
                      <a:avLst/>
                    </a:prstGeom>
                    <a:noFill/>
                  </pic:spPr>
                </pic:pic>
              </a:graphicData>
            </a:graphic>
          </wp:anchor>
        </w:drawing>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Peter K. Markell</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1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70  | DIRECTOR SINCE: MARCH 2022</w:t>
      </w:r>
    </w:p>
    <w:p>
      <w:pPr>
        <w:spacing w:after="0" w:line="42"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A (CHAIR) | N&amp;CG (MEMBER) | T&amp;IS (MEMBER)</w:t>
      </w:r>
    </w:p>
    <w:p>
      <w:pPr>
        <w:sectPr>
          <w:pgSz w:w="11900" w:h="16838" w:orient="portrait"/>
          <w:cols w:equalWidth="0" w:num="1">
            <w:col w:w="9080"/>
          </w:cols>
          <w:pgMar w:left="1400" w:top="78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45" w:lineRule="exact"/>
        <w:rPr>
          <w:sz w:val="20"/>
          <w:szCs w:val="20"/>
          <w:color w:val="auto"/>
        </w:rPr>
      </w:pPr>
    </w:p>
    <w:p>
      <w:pPr>
        <w:ind w:left="180" w:right="340" w:hanging="172"/>
        <w:spacing w:after="0" w:line="322" w:lineRule="auto"/>
        <w:tabs>
          <w:tab w:leader="none" w:pos="180" w:val="left"/>
        </w:tabs>
        <w:numPr>
          <w:ilvl w:val="0"/>
          <w:numId w:val="21"/>
        </w:numPr>
        <w:rPr>
          <w:rFonts w:ascii="Arial" w:cs="Arial" w:eastAsia="Arial" w:hAnsi="Arial"/>
          <w:sz w:val="14"/>
          <w:szCs w:val="14"/>
          <w:b w:val="1"/>
          <w:bCs w:val="1"/>
          <w:color w:val="6AAA37"/>
        </w:rPr>
      </w:pPr>
      <w:r>
        <w:rPr>
          <w:rFonts w:ascii="Arial" w:cs="Arial" w:eastAsia="Arial" w:hAnsi="Arial"/>
          <w:sz w:val="14"/>
          <w:szCs w:val="14"/>
          <w:color w:val="auto"/>
        </w:rPr>
        <w:t>Executive Vice President and CFO of Brown University Health, since 2023</w:t>
      </w:r>
    </w:p>
    <w:p>
      <w:pPr>
        <w:ind w:left="180" w:hanging="172"/>
        <w:spacing w:after="0" w:line="309" w:lineRule="auto"/>
        <w:tabs>
          <w:tab w:leader="none" w:pos="180" w:val="left"/>
        </w:tabs>
        <w:numPr>
          <w:ilvl w:val="0"/>
          <w:numId w:val="21"/>
        </w:numPr>
        <w:rPr>
          <w:rFonts w:ascii="Arial" w:cs="Arial" w:eastAsia="Arial" w:hAnsi="Arial"/>
          <w:sz w:val="14"/>
          <w:szCs w:val="14"/>
          <w:b w:val="1"/>
          <w:bCs w:val="1"/>
          <w:color w:val="6AAA37"/>
        </w:rPr>
      </w:pPr>
      <w:r>
        <w:rPr>
          <w:rFonts w:ascii="Arial" w:cs="Arial" w:eastAsia="Arial" w:hAnsi="Arial"/>
          <w:sz w:val="14"/>
          <w:szCs w:val="14"/>
          <w:color w:val="auto"/>
        </w:rPr>
        <w:t>Executive Vice President of Administration and Finance, CFO and Treasurer at Mass General Brigham (formally Partners HealthCare), 1999 – 2021</w:t>
      </w:r>
    </w:p>
    <w:p>
      <w:pPr>
        <w:spacing w:after="0" w:line="7" w:lineRule="exact"/>
        <w:rPr>
          <w:rFonts w:ascii="Arial" w:cs="Arial" w:eastAsia="Arial" w:hAnsi="Arial"/>
          <w:sz w:val="14"/>
          <w:szCs w:val="14"/>
          <w:b w:val="1"/>
          <w:bCs w:val="1"/>
          <w:color w:val="6AAA37"/>
        </w:rPr>
      </w:pPr>
    </w:p>
    <w:p>
      <w:pPr>
        <w:ind w:left="180" w:hanging="172"/>
        <w:spacing w:after="0"/>
        <w:tabs>
          <w:tab w:leader="none" w:pos="180" w:val="left"/>
        </w:tabs>
        <w:numPr>
          <w:ilvl w:val="0"/>
          <w:numId w:val="21"/>
        </w:numPr>
        <w:rPr>
          <w:rFonts w:ascii="Arial" w:cs="Arial" w:eastAsia="Arial" w:hAnsi="Arial"/>
          <w:sz w:val="14"/>
          <w:szCs w:val="14"/>
          <w:b w:val="1"/>
          <w:bCs w:val="1"/>
          <w:color w:val="6AAA37"/>
        </w:rPr>
      </w:pPr>
      <w:r>
        <w:rPr>
          <w:rFonts w:ascii="Arial" w:cs="Arial" w:eastAsia="Arial" w:hAnsi="Arial"/>
          <w:sz w:val="14"/>
          <w:szCs w:val="14"/>
          <w:color w:val="auto"/>
        </w:rPr>
        <w:t>Audit Partner at Ernst and Young LLP</w:t>
      </w:r>
    </w:p>
    <w:p>
      <w:pPr>
        <w:spacing w:after="0" w:line="82" w:lineRule="exact"/>
        <w:rPr>
          <w:rFonts w:ascii="Arial" w:cs="Arial" w:eastAsia="Arial" w:hAnsi="Arial"/>
          <w:sz w:val="14"/>
          <w:szCs w:val="14"/>
          <w:b w:val="1"/>
          <w:bCs w:val="1"/>
          <w:color w:val="6AAA37"/>
        </w:rPr>
      </w:pPr>
    </w:p>
    <w:p>
      <w:pPr>
        <w:ind w:left="180" w:right="640" w:hanging="172"/>
        <w:spacing w:after="0" w:line="328" w:lineRule="auto"/>
        <w:tabs>
          <w:tab w:leader="none" w:pos="180" w:val="left"/>
        </w:tabs>
        <w:numPr>
          <w:ilvl w:val="0"/>
          <w:numId w:val="21"/>
        </w:numPr>
        <w:rPr>
          <w:rFonts w:ascii="Arial" w:cs="Arial" w:eastAsia="Arial" w:hAnsi="Arial"/>
          <w:sz w:val="14"/>
          <w:szCs w:val="14"/>
          <w:b w:val="1"/>
          <w:bCs w:val="1"/>
          <w:color w:val="6AAA37"/>
        </w:rPr>
      </w:pPr>
      <w:r>
        <w:rPr>
          <w:rFonts w:ascii="Arial" w:cs="Arial" w:eastAsia="Arial" w:hAnsi="Arial"/>
          <w:sz w:val="14"/>
          <w:szCs w:val="14"/>
          <w:color w:val="auto"/>
        </w:rPr>
        <w:t>Interim Chief Financial Officer, Massachusetts General Hospital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104" w:lineRule="exact"/>
        <w:rPr>
          <w:sz w:val="20"/>
          <w:szCs w:val="20"/>
          <w:color w:val="auto"/>
        </w:rPr>
      </w:pPr>
    </w:p>
    <w:p>
      <w:pPr>
        <w:ind w:left="180" w:right="120" w:hanging="172"/>
        <w:spacing w:after="0" w:line="332" w:lineRule="auto"/>
        <w:tabs>
          <w:tab w:leader="none" w:pos="180" w:val="left"/>
        </w:tabs>
        <w:numPr>
          <w:ilvl w:val="0"/>
          <w:numId w:val="22"/>
        </w:numPr>
        <w:rPr>
          <w:rFonts w:ascii="Arial" w:cs="Arial" w:eastAsia="Arial" w:hAnsi="Arial"/>
          <w:sz w:val="14"/>
          <w:szCs w:val="14"/>
          <w:b w:val="1"/>
          <w:bCs w:val="1"/>
          <w:color w:val="6AAA37"/>
        </w:rPr>
      </w:pPr>
      <w:r>
        <w:rPr>
          <w:rFonts w:ascii="Arial" w:cs="Arial" w:eastAsia="Arial" w:hAnsi="Arial"/>
          <w:sz w:val="14"/>
          <w:szCs w:val="14"/>
          <w:color w:val="auto"/>
        </w:rPr>
        <w:t>B.S./B.A., with concentrations in Accounting and Finance, Boston College</w:t>
      </w:r>
    </w:p>
    <w:p>
      <w:pPr>
        <w:ind w:left="180" w:hanging="172"/>
        <w:spacing w:after="0"/>
        <w:tabs>
          <w:tab w:leader="none" w:pos="180" w:val="left"/>
        </w:tabs>
        <w:numPr>
          <w:ilvl w:val="0"/>
          <w:numId w:val="22"/>
        </w:numPr>
        <w:rPr>
          <w:rFonts w:ascii="Arial" w:cs="Arial" w:eastAsia="Arial" w:hAnsi="Arial"/>
          <w:sz w:val="14"/>
          <w:szCs w:val="14"/>
          <w:b w:val="1"/>
          <w:bCs w:val="1"/>
          <w:color w:val="6AAA37"/>
        </w:rPr>
      </w:pPr>
      <w:r>
        <w:rPr>
          <w:rFonts w:ascii="Arial" w:cs="Arial" w:eastAsia="Arial" w:hAnsi="Arial"/>
          <w:sz w:val="14"/>
          <w:szCs w:val="14"/>
          <w:color w:val="auto"/>
        </w:rPr>
        <w:t>Certified Public Accountant (inactive)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7" w:right="400"/>
        <w:spacing w:after="0" w:line="296" w:lineRule="auto"/>
        <w:rPr>
          <w:sz w:val="20"/>
          <w:szCs w:val="20"/>
          <w:color w:val="auto"/>
        </w:rPr>
      </w:pPr>
      <w:r>
        <w:rPr>
          <w:rFonts w:ascii="Arial" w:cs="Arial" w:eastAsia="Arial" w:hAnsi="Arial"/>
          <w:sz w:val="16"/>
          <w:szCs w:val="16"/>
          <w:b w:val="1"/>
          <w:bCs w:val="1"/>
          <w:color w:val="00558C"/>
        </w:rPr>
        <w:t>Current Public Company Board Service:</w:t>
      </w:r>
    </w:p>
    <w:p>
      <w:pPr>
        <w:spacing w:after="0" w:line="24" w:lineRule="exact"/>
        <w:rPr>
          <w:sz w:val="20"/>
          <w:szCs w:val="20"/>
          <w:color w:val="auto"/>
        </w:rPr>
      </w:pPr>
    </w:p>
    <w:p>
      <w:pPr>
        <w:ind w:left="167" w:right="200" w:hanging="167"/>
        <w:spacing w:after="0" w:line="332" w:lineRule="auto"/>
        <w:tabs>
          <w:tab w:leader="none" w:pos="167" w:val="left"/>
        </w:tabs>
        <w:numPr>
          <w:ilvl w:val="0"/>
          <w:numId w:val="23"/>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2022</w:t>
      </w:r>
    </w:p>
    <w:p>
      <w:pPr>
        <w:ind w:left="167" w:hanging="167"/>
        <w:spacing w:after="0" w:line="302" w:lineRule="auto"/>
        <w:tabs>
          <w:tab w:leader="none" w:pos="167" w:val="left"/>
        </w:tabs>
        <w:numPr>
          <w:ilvl w:val="0"/>
          <w:numId w:val="23"/>
        </w:numPr>
        <w:rPr>
          <w:rFonts w:ascii="Arial" w:cs="Arial" w:eastAsia="Arial" w:hAnsi="Arial"/>
          <w:sz w:val="14"/>
          <w:szCs w:val="14"/>
          <w:b w:val="1"/>
          <w:bCs w:val="1"/>
          <w:color w:val="6AAA37"/>
        </w:rPr>
      </w:pPr>
      <w:r>
        <w:rPr>
          <w:rFonts w:ascii="Arial" w:cs="Arial" w:eastAsia="Arial" w:hAnsi="Arial"/>
          <w:sz w:val="14"/>
          <w:szCs w:val="14"/>
          <w:color w:val="auto"/>
        </w:rPr>
        <w:t>Eastern Bankshares, Inc. since 2006; currently the chair of the audit committee; member of compensation committee, and risk management committee</w:t>
      </w:r>
    </w:p>
    <w:p>
      <w:pPr>
        <w:spacing w:after="0" w:line="49" w:lineRule="exact"/>
        <w:rPr>
          <w:sz w:val="20"/>
          <w:szCs w:val="20"/>
          <w:color w:val="auto"/>
        </w:rPr>
      </w:pPr>
    </w:p>
    <w:p>
      <w:pPr>
        <w:ind w:left="7" w:right="680"/>
        <w:spacing w:after="0" w:line="314"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50" w:lineRule="exact"/>
        <w:rPr>
          <w:sz w:val="20"/>
          <w:szCs w:val="20"/>
          <w:color w:val="auto"/>
        </w:rPr>
      </w:pPr>
    </w:p>
    <w:p>
      <w:pPr>
        <w:ind w:left="167" w:right="720" w:hanging="167"/>
        <w:spacing w:after="0" w:line="322" w:lineRule="auto"/>
        <w:tabs>
          <w:tab w:leader="none" w:pos="167" w:val="left"/>
        </w:tabs>
        <w:numPr>
          <w:ilvl w:val="0"/>
          <w:numId w:val="24"/>
        </w:numPr>
        <w:rPr>
          <w:rFonts w:ascii="Arial" w:cs="Arial" w:eastAsia="Arial" w:hAnsi="Arial"/>
          <w:sz w:val="14"/>
          <w:szCs w:val="14"/>
          <w:b w:val="1"/>
          <w:bCs w:val="1"/>
          <w:color w:val="6AAA37"/>
        </w:rPr>
      </w:pPr>
      <w:r>
        <w:rPr>
          <w:rFonts w:ascii="Arial" w:cs="Arial" w:eastAsia="Arial" w:hAnsi="Arial"/>
          <w:sz w:val="14"/>
          <w:szCs w:val="14"/>
          <w:color w:val="auto"/>
        </w:rPr>
        <w:t>Board of Trustees and Former Chairperson, Boston College</w:t>
      </w:r>
    </w:p>
    <w:p>
      <w:pPr>
        <w:ind w:left="167" w:right="460" w:hanging="167"/>
        <w:spacing w:after="0" w:line="345" w:lineRule="auto"/>
        <w:tabs>
          <w:tab w:leader="none" w:pos="167" w:val="left"/>
        </w:tabs>
        <w:numPr>
          <w:ilvl w:val="0"/>
          <w:numId w:val="24"/>
        </w:numPr>
        <w:rPr>
          <w:rFonts w:ascii="Arial" w:cs="Arial" w:eastAsia="Arial" w:hAnsi="Arial"/>
          <w:sz w:val="14"/>
          <w:szCs w:val="14"/>
          <w:b w:val="1"/>
          <w:bCs w:val="1"/>
          <w:color w:val="6AAA37"/>
        </w:rPr>
      </w:pPr>
      <w:r>
        <w:rPr>
          <w:rFonts w:ascii="Arial" w:cs="Arial" w:eastAsia="Arial" w:hAnsi="Arial"/>
          <w:sz w:val="14"/>
          <w:szCs w:val="14"/>
          <w:color w:val="auto"/>
        </w:rPr>
        <w:t>CodaMetrix board of directors and member of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ectPr>
          <w:pgSz w:w="11900" w:h="16838" w:orient="portrait"/>
          <w:cols w:equalWidth="0" w:num="3">
            <w:col w:w="2880" w:space="233"/>
            <w:col w:w="2807" w:space="560"/>
            <w:col w:w="2600"/>
          </w:cols>
          <w:pgMar w:left="1400" w:top="783" w:right="1419" w:bottom="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Mr. Markell brings to the board, and the Audit Committee in particular, his prior experience as chief financial officer and executive administrative officer of a large hospital where his responsibilities included financial oversight of $14 billion in operations and assets of approximately $21 billion and management within the areas of corporate finance, research management, information systems, real estate, treasury and human resources. This professional experience as well as his prior board service to a major U.S. college has enabled him to contribute to Huron’s Healthcare and Education industries. In addition, Mr. Markell is based in Boston, where he is in close proximity to Huron’s Innosight Strategy and Innovation team located in Boston,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9</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1447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144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783"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ectPr>
          <w:pgSz w:w="11900" w:h="16838" w:orient="portrait"/>
          <w:cols w:equalWidth="0" w:num="1">
            <w:col w:w="9080"/>
          </w:cols>
          <w:pgMar w:left="1400" w:top="783" w:right="1419" w:bottom="0" w:gutter="0" w:footer="0" w:header="0"/>
          <w:type w:val="continuous"/>
        </w:sectPr>
      </w:pPr>
    </w:p>
    <w:bookmarkStart w:id="18" w:name="page19"/>
    <w:bookmarkEnd w:id="1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408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740854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47"/>
          <w:szCs w:val="47"/>
          <w:color w:val="FFFFFF"/>
        </w:rPr>
        <w:t>John McCartney</w:t>
      </w:r>
    </w:p>
    <w:p>
      <w:pPr>
        <w:spacing w:after="0" w:line="374" w:lineRule="exact"/>
        <w:rPr>
          <w:sz w:val="20"/>
          <w:szCs w:val="20"/>
          <w:color w:val="auto"/>
        </w:rPr>
      </w:pPr>
    </w:p>
    <w:p>
      <w:pPr>
        <w:spacing w:after="0"/>
        <w:tabs>
          <w:tab w:leader="none" w:pos="3100" w:val="left"/>
        </w:tabs>
        <w:rPr>
          <w:sz w:val="20"/>
          <w:szCs w:val="20"/>
          <w:color w:val="auto"/>
        </w:rPr>
      </w:pPr>
      <w:r>
        <w:rPr>
          <w:rFonts w:ascii="Arial" w:cs="Arial" w:eastAsia="Arial" w:hAnsi="Arial"/>
          <w:sz w:val="16"/>
          <w:szCs w:val="16"/>
          <w:b w:val="1"/>
          <w:bCs w:val="1"/>
          <w:color w:val="00558C"/>
        </w:rPr>
        <w:t>Professional Experience:</w:t>
      </w:r>
      <w:r>
        <w:rPr>
          <w:sz w:val="20"/>
          <w:szCs w:val="20"/>
          <w:color w:val="auto"/>
        </w:rPr>
        <w:tab/>
      </w:r>
      <w:r>
        <w:rPr>
          <w:rFonts w:ascii="Arial" w:cs="Arial" w:eastAsia="Arial" w:hAnsi="Arial"/>
          <w:sz w:val="16"/>
          <w:szCs w:val="16"/>
          <w:b w:val="1"/>
          <w:bCs w:val="1"/>
          <w:color w:val="00558C"/>
        </w:rPr>
        <w:t>Previous Public Company</w:t>
      </w:r>
    </w:p>
    <w:p>
      <w:pPr>
        <w:ind w:left="1720"/>
        <w:spacing w:after="0" w:line="207" w:lineRule="auto"/>
        <w:rPr>
          <w:sz w:val="20"/>
          <w:szCs w:val="20"/>
          <w:color w:val="auto"/>
        </w:rPr>
      </w:pPr>
      <w:r>
        <w:rPr>
          <w:rFonts w:ascii="Arial" w:cs="Arial" w:eastAsia="Arial" w:hAnsi="Arial"/>
          <w:sz w:val="14"/>
          <w:szCs w:val="14"/>
          <w:b w:val="1"/>
          <w:bCs w:val="1"/>
          <w:color w:val="FFFFFF"/>
        </w:rPr>
        <w:t>AGE: 73 | DIRECTOR</w:t>
      </w:r>
      <w:r>
        <w:rPr>
          <w:rFonts w:ascii="Arial" w:cs="Arial" w:eastAsia="Arial" w:hAnsi="Arial"/>
          <w:sz w:val="16"/>
          <w:szCs w:val="16"/>
          <w:b w:val="1"/>
          <w:bCs w:val="1"/>
          <w:color w:val="00558C"/>
        </w:rPr>
        <w:t>Board</w:t>
      </w:r>
      <w:r>
        <w:rPr>
          <w:rFonts w:ascii="Arial" w:cs="Arial" w:eastAsia="Arial" w:hAnsi="Arial"/>
          <w:sz w:val="14"/>
          <w:szCs w:val="14"/>
          <w:b w:val="1"/>
          <w:bCs w:val="1"/>
          <w:color w:val="FFFFFF"/>
        </w:rPr>
        <w:t>SINC</w:t>
      </w:r>
      <w:r>
        <w:rPr>
          <w:rFonts w:ascii="Arial" w:cs="Arial" w:eastAsia="Arial" w:hAnsi="Arial"/>
          <w:sz w:val="16"/>
          <w:szCs w:val="16"/>
          <w:b w:val="1"/>
          <w:bCs w:val="1"/>
          <w:color w:val="00558C"/>
        </w:rPr>
        <w:t>Experience</w:t>
      </w:r>
      <w:r>
        <w:rPr>
          <w:rFonts w:ascii="Arial" w:cs="Arial" w:eastAsia="Arial" w:hAnsi="Arial"/>
          <w:sz w:val="14"/>
          <w:szCs w:val="14"/>
          <w:b w:val="1"/>
          <w:bCs w:val="1"/>
          <w:color w:val="FFFFFF"/>
        </w:rPr>
        <w:t xml:space="preserve">:2004 </w:t>
      </w:r>
      <w:r>
        <w:rPr>
          <w:rFonts w:ascii="Arial" w:cs="Arial" w:eastAsia="Arial" w:hAnsi="Arial"/>
          <w:sz w:val="16"/>
          <w:szCs w:val="16"/>
          <w:b w:val="1"/>
          <w:bCs w:val="1"/>
          <w:color w:val="00558C"/>
        </w:rPr>
        <w:t>during</w:t>
      </w:r>
    </w:p>
    <w:tbl>
      <w:tblPr>
        <w:tblLayout w:type="fixed"/>
        <w:tblInd w:w="0" w:type="dxa"/>
        <w:tblCellMar>
          <w:top w:w="0" w:type="dxa"/>
          <w:left w:w="0" w:type="dxa"/>
          <w:bottom w:w="0" w:type="dxa"/>
          <w:right w:w="0" w:type="dxa"/>
        </w:tblCellMar>
      </w:tblPr>
      <w:tr>
        <w:trPr>
          <w:trHeight w:val="130"/>
        </w:trPr>
        <w:tc>
          <w:tcPr>
            <w:tcW w:w="2960" w:type="dxa"/>
            <w:vAlign w:val="bottom"/>
          </w:tcPr>
          <w:p>
            <w:pPr>
              <w:spacing w:after="0" w:line="131" w:lineRule="exact"/>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3Com Corporation (post-merger with</w:t>
            </w:r>
          </w:p>
        </w:tc>
        <w:tc>
          <w:tcPr>
            <w:tcW w:w="2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880" w:type="dxa"/>
            <w:vAlign w:val="bottom"/>
            <w:gridSpan w:val="2"/>
          </w:tcPr>
          <w:p>
            <w:pPr>
              <w:ind w:left="1720"/>
              <w:spacing w:after="0" w:line="81" w:lineRule="exact"/>
              <w:rPr>
                <w:sz w:val="20"/>
                <w:szCs w:val="20"/>
                <w:color w:val="auto"/>
              </w:rPr>
            </w:pPr>
            <w:r>
              <w:rPr>
                <w:rFonts w:ascii="Arial" w:cs="Arial" w:eastAsia="Arial" w:hAnsi="Arial"/>
                <w:sz w:val="8"/>
                <w:szCs w:val="8"/>
                <w:b w:val="1"/>
                <w:bCs w:val="1"/>
                <w:color w:val="FFFFFF"/>
              </w:rPr>
              <w:t>COMMITTEES: A (MEMBER),</w:t>
            </w:r>
            <w:r>
              <w:rPr>
                <w:rFonts w:ascii="Arial" w:cs="Arial" w:eastAsia="Arial" w:hAnsi="Arial"/>
                <w:sz w:val="9"/>
                <w:szCs w:val="9"/>
                <w:b w:val="1"/>
                <w:bCs w:val="1"/>
                <w:color w:val="00558C"/>
              </w:rPr>
              <w:t>thelast five</w:t>
            </w:r>
            <w:r>
              <w:rPr>
                <w:rFonts w:ascii="Arial" w:cs="Arial" w:eastAsia="Arial" w:hAnsi="Arial"/>
                <w:sz w:val="8"/>
                <w:szCs w:val="8"/>
                <w:b w:val="1"/>
                <w:bCs w:val="1"/>
                <w:color w:val="FFFFFF"/>
              </w:rPr>
              <w:t>N&amp;CG</w:t>
            </w:r>
            <w:r>
              <w:rPr>
                <w:rFonts w:ascii="Arial" w:cs="Arial" w:eastAsia="Arial" w:hAnsi="Arial"/>
                <w:sz w:val="9"/>
                <w:szCs w:val="9"/>
                <w:b w:val="1"/>
                <w:bCs w:val="1"/>
                <w:color w:val="00558C"/>
              </w:rPr>
              <w:t>years:</w:t>
            </w:r>
            <w:r>
              <w:rPr>
                <w:rFonts w:ascii="Arial" w:cs="Arial" w:eastAsia="Arial" w:hAnsi="Arial"/>
                <w:sz w:val="8"/>
                <w:szCs w:val="8"/>
                <w:b w:val="1"/>
                <w:bCs w:val="1"/>
                <w:color w:val="FFFFFF"/>
              </w:rPr>
              <w:t>(MEMBER)</w:t>
            </w:r>
          </w:p>
        </w:tc>
        <w:tc>
          <w:tcPr>
            <w:tcW w:w="0" w:type="dxa"/>
            <w:vAlign w:val="bottom"/>
          </w:tcPr>
          <w:p>
            <w:pPr>
              <w:spacing w:after="0"/>
              <w:rPr>
                <w:sz w:val="1"/>
                <w:szCs w:val="1"/>
                <w:color w:val="auto"/>
              </w:rPr>
            </w:pPr>
          </w:p>
        </w:tc>
      </w:tr>
      <w:tr>
        <w:trPr>
          <w:trHeight w:val="153"/>
        </w:trPr>
        <w:tc>
          <w:tcPr>
            <w:tcW w:w="2960" w:type="dxa"/>
            <w:vAlign w:val="bottom"/>
          </w:tcPr>
          <w:p>
            <w:pPr>
              <w:ind w:left="180"/>
              <w:spacing w:after="0" w:line="153" w:lineRule="exact"/>
              <w:rPr>
                <w:sz w:val="20"/>
                <w:szCs w:val="20"/>
                <w:color w:val="auto"/>
              </w:rPr>
            </w:pPr>
            <w:r>
              <w:rPr>
                <w:rFonts w:ascii="Arial" w:cs="Arial" w:eastAsia="Arial" w:hAnsi="Arial"/>
                <w:sz w:val="14"/>
                <w:szCs w:val="14"/>
                <w:color w:val="auto"/>
              </w:rPr>
              <w:t>USRobotics) President, Client Access</w:t>
            </w:r>
          </w:p>
        </w:tc>
        <w:tc>
          <w:tcPr>
            <w:tcW w:w="2920" w:type="dxa"/>
            <w:vAlign w:val="bottom"/>
            <w:vMerge w:val="restart"/>
          </w:tcPr>
          <w:p>
            <w:pPr>
              <w:ind w:left="160"/>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Datatec Limited, 2007 – 2023; served as</w:t>
            </w:r>
          </w:p>
        </w:tc>
        <w:tc>
          <w:tcPr>
            <w:tcW w:w="0" w:type="dxa"/>
            <w:vAlign w:val="bottom"/>
          </w:tcPr>
          <w:p>
            <w:pPr>
              <w:spacing w:after="0"/>
              <w:rPr>
                <w:sz w:val="1"/>
                <w:szCs w:val="1"/>
                <w:color w:val="auto"/>
              </w:rPr>
            </w:pPr>
          </w:p>
        </w:tc>
      </w:tr>
      <w:tr>
        <w:trPr>
          <w:trHeight w:val="162"/>
        </w:trPr>
        <w:tc>
          <w:tcPr>
            <w:tcW w:w="2960" w:type="dxa"/>
            <w:vAlign w:val="bottom"/>
          </w:tcPr>
          <w:p>
            <w:pPr>
              <w:ind w:left="180"/>
              <w:spacing w:after="0"/>
              <w:rPr>
                <w:sz w:val="20"/>
                <w:szCs w:val="20"/>
                <w:color w:val="auto"/>
              </w:rPr>
            </w:pPr>
            <w:r>
              <w:rPr>
                <w:rFonts w:ascii="Arial" w:cs="Arial" w:eastAsia="Arial" w:hAnsi="Arial"/>
                <w:sz w:val="14"/>
                <w:szCs w:val="14"/>
                <w:color w:val="auto"/>
              </w:rPr>
              <w:t>Unit, 1997 – 1998</w:t>
            </w:r>
          </w:p>
        </w:tc>
        <w:tc>
          <w:tcPr>
            <w:tcW w:w="2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USRobotics, joined as vice president and</w:t>
            </w:r>
          </w:p>
        </w:tc>
        <w:tc>
          <w:tcPr>
            <w:tcW w:w="2920" w:type="dxa"/>
            <w:vAlign w:val="bottom"/>
          </w:tcPr>
          <w:p>
            <w:pPr>
              <w:ind w:left="320"/>
              <w:spacing w:after="0"/>
              <w:rPr>
                <w:sz w:val="20"/>
                <w:szCs w:val="20"/>
                <w:color w:val="auto"/>
              </w:rPr>
            </w:pPr>
            <w:r>
              <w:rPr>
                <w:rFonts w:ascii="Arial" w:cs="Arial" w:eastAsia="Arial" w:hAnsi="Arial"/>
                <w:sz w:val="14"/>
                <w:szCs w:val="14"/>
                <w:color w:val="auto"/>
              </w:rPr>
              <w:t>member of nominating committee and as</w:t>
            </w:r>
          </w:p>
        </w:tc>
        <w:tc>
          <w:tcPr>
            <w:tcW w:w="0" w:type="dxa"/>
            <w:vAlign w:val="bottom"/>
          </w:tcPr>
          <w:p>
            <w:pPr>
              <w:spacing w:after="0"/>
              <w:rPr>
                <w:sz w:val="1"/>
                <w:szCs w:val="1"/>
                <w:color w:val="auto"/>
              </w:rPr>
            </w:pPr>
          </w:p>
        </w:tc>
      </w:tr>
      <w:tr>
        <w:trPr>
          <w:trHeight w:val="93"/>
        </w:trPr>
        <w:tc>
          <w:tcPr>
            <w:tcW w:w="2960" w:type="dxa"/>
            <w:vAlign w:val="bottom"/>
            <w:vMerge w:val="continue"/>
          </w:tcPr>
          <w:p>
            <w:pPr>
              <w:spacing w:after="0"/>
              <w:rPr>
                <w:sz w:val="8"/>
                <w:szCs w:val="8"/>
                <w:color w:val="auto"/>
              </w:rPr>
            </w:pPr>
          </w:p>
        </w:tc>
        <w:tc>
          <w:tcPr>
            <w:tcW w:w="2920" w:type="dxa"/>
            <w:vAlign w:val="bottom"/>
            <w:vMerge w:val="restart"/>
          </w:tcPr>
          <w:p>
            <w:pPr>
              <w:ind w:left="320"/>
              <w:spacing w:after="0"/>
              <w:rPr>
                <w:sz w:val="20"/>
                <w:szCs w:val="20"/>
                <w:color w:val="auto"/>
              </w:rPr>
            </w:pPr>
            <w:r>
              <w:rPr>
                <w:rFonts w:ascii="Arial" w:cs="Arial" w:eastAsia="Arial" w:hAnsi="Arial"/>
                <w:sz w:val="14"/>
                <w:szCs w:val="14"/>
                <w:color w:val="auto"/>
              </w:rPr>
              <w:t>chair of remuneration committee</w:t>
            </w:r>
          </w:p>
        </w:tc>
        <w:tc>
          <w:tcPr>
            <w:tcW w:w="0" w:type="dxa"/>
            <w:vAlign w:val="bottom"/>
          </w:tcPr>
          <w:p>
            <w:pPr>
              <w:spacing w:after="0"/>
              <w:rPr>
                <w:sz w:val="1"/>
                <w:szCs w:val="1"/>
                <w:color w:val="auto"/>
              </w:rPr>
            </w:pPr>
          </w:p>
        </w:tc>
      </w:tr>
      <w:tr>
        <w:trPr>
          <w:trHeight w:val="109"/>
        </w:trPr>
        <w:tc>
          <w:tcPr>
            <w:tcW w:w="2960" w:type="dxa"/>
            <w:vAlign w:val="bottom"/>
            <w:vMerge w:val="restart"/>
          </w:tcPr>
          <w:p>
            <w:pPr>
              <w:ind w:left="180"/>
              <w:spacing w:after="0"/>
              <w:rPr>
                <w:sz w:val="20"/>
                <w:szCs w:val="20"/>
                <w:color w:val="auto"/>
              </w:rPr>
            </w:pPr>
            <w:r>
              <w:rPr>
                <w:rFonts w:ascii="Arial" w:cs="Arial" w:eastAsia="Arial" w:hAnsi="Arial"/>
                <w:sz w:val="14"/>
                <w:szCs w:val="14"/>
                <w:color w:val="auto"/>
              </w:rPr>
              <w:t>chief financial officer in 1984 and served</w:t>
            </w: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96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ind w:left="180"/>
              <w:spacing w:after="0"/>
              <w:rPr>
                <w:sz w:val="20"/>
                <w:szCs w:val="20"/>
                <w:color w:val="auto"/>
              </w:rPr>
            </w:pPr>
            <w:r>
              <w:rPr>
                <w:rFonts w:ascii="Arial" w:cs="Arial" w:eastAsia="Arial" w:hAnsi="Arial"/>
                <w:sz w:val="14"/>
                <w:szCs w:val="14"/>
                <w:color w:val="auto"/>
              </w:rPr>
              <w:t>in various executive capacities including</w:t>
            </w:r>
          </w:p>
        </w:tc>
        <w:tc>
          <w:tcPr>
            <w:tcW w:w="3040" w:type="dxa"/>
            <w:vAlign w:val="bottom"/>
          </w:tcPr>
          <w:p>
            <w:pPr>
              <w:ind w:left="200"/>
              <w:spacing w:after="0"/>
              <w:rPr>
                <w:sz w:val="20"/>
                <w:szCs w:val="20"/>
                <w:color w:val="auto"/>
              </w:rPr>
            </w:pPr>
            <w:r>
              <w:rPr>
                <w:rFonts w:ascii="Arial" w:cs="Arial" w:eastAsia="Arial" w:hAnsi="Arial"/>
                <w:sz w:val="16"/>
                <w:szCs w:val="16"/>
                <w:b w:val="1"/>
                <w:bCs w:val="1"/>
                <w:color w:val="00558C"/>
              </w:rPr>
              <w:t>Non-public board and other</w:t>
            </w:r>
          </w:p>
        </w:tc>
        <w:tc>
          <w:tcPr>
            <w:tcW w:w="0" w:type="dxa"/>
            <w:vAlign w:val="bottom"/>
          </w:tcPr>
          <w:p>
            <w:pPr>
              <w:spacing w:after="0"/>
              <w:rPr>
                <w:sz w:val="1"/>
                <w:szCs w:val="1"/>
                <w:color w:val="auto"/>
              </w:rPr>
            </w:pPr>
          </w:p>
        </w:tc>
      </w:tr>
      <w:tr>
        <w:trPr>
          <w:trHeight w:val="194"/>
        </w:trPr>
        <w:tc>
          <w:tcPr>
            <w:tcW w:w="2920" w:type="dxa"/>
            <w:vAlign w:val="bottom"/>
          </w:tcPr>
          <w:p>
            <w:pPr>
              <w:ind w:left="180"/>
              <w:spacing w:after="0"/>
              <w:rPr>
                <w:sz w:val="20"/>
                <w:szCs w:val="20"/>
                <w:color w:val="auto"/>
              </w:rPr>
            </w:pPr>
            <w:r>
              <w:rPr>
                <w:rFonts w:ascii="Arial" w:cs="Arial" w:eastAsia="Arial" w:hAnsi="Arial"/>
                <w:sz w:val="14"/>
                <w:szCs w:val="14"/>
                <w:color w:val="auto"/>
              </w:rPr>
              <w:t>as president and chief operating officer</w:t>
            </w:r>
          </w:p>
        </w:tc>
        <w:tc>
          <w:tcPr>
            <w:tcW w:w="3040" w:type="dxa"/>
            <w:vAlign w:val="bottom"/>
          </w:tcPr>
          <w:p>
            <w:pPr>
              <w:ind w:left="200"/>
              <w:spacing w:after="0"/>
              <w:rPr>
                <w:sz w:val="20"/>
                <w:szCs w:val="20"/>
                <w:color w:val="auto"/>
              </w:rPr>
            </w:pPr>
            <w:r>
              <w:rPr>
                <w:rFonts w:ascii="Arial" w:cs="Arial" w:eastAsia="Arial" w:hAnsi="Arial"/>
                <w:sz w:val="16"/>
                <w:szCs w:val="16"/>
                <w:b w:val="1"/>
                <w:bCs w:val="1"/>
                <w:color w:val="00558C"/>
              </w:rPr>
              <w:t>advisory services:</w:t>
            </w:r>
          </w:p>
        </w:tc>
        <w:tc>
          <w:tcPr>
            <w:tcW w:w="0" w:type="dxa"/>
            <w:vAlign w:val="bottom"/>
          </w:tcPr>
          <w:p>
            <w:pPr>
              <w:spacing w:after="0"/>
              <w:rPr>
                <w:sz w:val="1"/>
                <w:szCs w:val="1"/>
                <w:color w:val="auto"/>
              </w:rPr>
            </w:pPr>
          </w:p>
        </w:tc>
      </w:tr>
      <w:tr>
        <w:trPr>
          <w:trHeight w:val="190"/>
        </w:trPr>
        <w:tc>
          <w:tcPr>
            <w:tcW w:w="2920" w:type="dxa"/>
            <w:vAlign w:val="bottom"/>
          </w:tcPr>
          <w:p>
            <w:pPr>
              <w:ind w:left="180"/>
              <w:spacing w:after="0"/>
              <w:rPr>
                <w:sz w:val="20"/>
                <w:szCs w:val="20"/>
                <w:color w:val="auto"/>
              </w:rPr>
            </w:pPr>
            <w:r>
              <w:rPr>
                <w:rFonts w:ascii="Arial" w:cs="Arial" w:eastAsia="Arial" w:hAnsi="Arial"/>
                <w:sz w:val="14"/>
                <w:szCs w:val="14"/>
                <w:color w:val="auto"/>
              </w:rPr>
              <w:t>from 1996 to 1997</w:t>
            </w:r>
          </w:p>
        </w:tc>
        <w:tc>
          <w:tcPr>
            <w:tcW w:w="3040" w:type="dxa"/>
            <w:vAlign w:val="bottom"/>
            <w:vMerge w:val="restart"/>
          </w:tcPr>
          <w:p>
            <w:pPr>
              <w:ind w:left="200"/>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Davidson College, board of trustees, 1998</w:t>
            </w:r>
          </w:p>
        </w:tc>
        <w:tc>
          <w:tcPr>
            <w:tcW w:w="0" w:type="dxa"/>
            <w:vAlign w:val="bottom"/>
          </w:tcPr>
          <w:p>
            <w:pPr>
              <w:spacing w:after="0"/>
              <w:rPr>
                <w:sz w:val="1"/>
                <w:szCs w:val="1"/>
                <w:color w:val="auto"/>
              </w:rPr>
            </w:pPr>
          </w:p>
        </w:tc>
      </w:tr>
      <w:tr>
        <w:trPr>
          <w:trHeight w:val="134"/>
        </w:trPr>
        <w:tc>
          <w:tcPr>
            <w:tcW w:w="2920" w:type="dxa"/>
            <w:vAlign w:val="bottom"/>
            <w:vMerge w:val="restart"/>
          </w:tcPr>
          <w:p>
            <w:pPr>
              <w:spacing w:after="0"/>
              <w:rPr>
                <w:sz w:val="20"/>
                <w:szCs w:val="20"/>
                <w:color w:val="auto"/>
              </w:rPr>
            </w:pPr>
            <w:r>
              <w:rPr>
                <w:rFonts w:ascii="Arial" w:cs="Arial" w:eastAsia="Arial" w:hAnsi="Arial"/>
                <w:sz w:val="16"/>
                <w:szCs w:val="16"/>
                <w:b w:val="1"/>
                <w:bCs w:val="1"/>
                <w:color w:val="00558C"/>
              </w:rPr>
              <w:t>Education/Certifications:</w:t>
            </w: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- 2008; served as chairman, 2004 - 2008</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B.A., Philosophy, Davidson College</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M.B.A., The Wharton School of the</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20" w:type="dxa"/>
            <w:vAlign w:val="bottom"/>
          </w:tcPr>
          <w:p>
            <w:pPr>
              <w:ind w:left="180"/>
              <w:spacing w:after="0"/>
              <w:rPr>
                <w:sz w:val="20"/>
                <w:szCs w:val="20"/>
                <w:color w:val="auto"/>
              </w:rPr>
            </w:pPr>
            <w:r>
              <w:rPr>
                <w:rFonts w:ascii="Arial" w:cs="Arial" w:eastAsia="Arial" w:hAnsi="Arial"/>
                <w:sz w:val="14"/>
                <w:szCs w:val="14"/>
                <w:color w:val="auto"/>
              </w:rPr>
              <w:t>University of Pennsylvania</w:t>
            </w: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920" w:type="dxa"/>
            <w:vAlign w:val="bottom"/>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Certified Public Accountant (inactive)</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20" w:type="dxa"/>
            <w:vAlign w:val="bottom"/>
          </w:tcPr>
          <w:p>
            <w:pPr>
              <w:spacing w:after="0"/>
              <w:rPr>
                <w:sz w:val="20"/>
                <w:szCs w:val="20"/>
                <w:color w:val="auto"/>
              </w:rPr>
            </w:pPr>
            <w:r>
              <w:rPr>
                <w:rFonts w:ascii="Arial" w:cs="Arial" w:eastAsia="Arial" w:hAnsi="Arial"/>
                <w:sz w:val="16"/>
                <w:szCs w:val="16"/>
                <w:b w:val="1"/>
                <w:bCs w:val="1"/>
                <w:color w:val="00558C"/>
              </w:rPr>
              <w:t>Current Public Company Board</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6"/>
                <w:szCs w:val="16"/>
                <w:b w:val="1"/>
                <w:bCs w:val="1"/>
                <w:color w:val="00558C"/>
              </w:rPr>
              <w:t>Service:</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80" w:right="3360" w:hanging="172"/>
        <w:spacing w:after="0" w:line="325" w:lineRule="auto"/>
        <w:tabs>
          <w:tab w:leader="none" w:pos="180" w:val="left"/>
        </w:tabs>
        <w:numPr>
          <w:ilvl w:val="0"/>
          <w:numId w:val="25"/>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2004</w:t>
      </w:r>
    </w:p>
    <w:p>
      <w:pPr>
        <w:spacing w:after="0" w:line="9" w:lineRule="exact"/>
        <w:rPr>
          <w:rFonts w:ascii="Arial" w:cs="Arial" w:eastAsia="Arial" w:hAnsi="Arial"/>
          <w:sz w:val="14"/>
          <w:szCs w:val="14"/>
          <w:b w:val="1"/>
          <w:bCs w:val="1"/>
          <w:color w:val="6AAA37"/>
        </w:rPr>
      </w:pPr>
    </w:p>
    <w:p>
      <w:pPr>
        <w:ind w:left="180" w:right="3120" w:hanging="172"/>
        <w:spacing w:after="0" w:line="302" w:lineRule="auto"/>
        <w:tabs>
          <w:tab w:leader="none" w:pos="180" w:val="left"/>
        </w:tabs>
        <w:numPr>
          <w:ilvl w:val="0"/>
          <w:numId w:val="25"/>
        </w:numPr>
        <w:rPr>
          <w:rFonts w:ascii="Arial" w:cs="Arial" w:eastAsia="Arial" w:hAnsi="Arial"/>
          <w:sz w:val="14"/>
          <w:szCs w:val="14"/>
          <w:b w:val="1"/>
          <w:bCs w:val="1"/>
          <w:color w:val="6AAA37"/>
        </w:rPr>
      </w:pPr>
      <w:r>
        <w:rPr>
          <w:rFonts w:ascii="Arial" w:cs="Arial" w:eastAsia="Arial" w:hAnsi="Arial"/>
          <w:sz w:val="14"/>
          <w:szCs w:val="14"/>
          <w:color w:val="auto"/>
        </w:rPr>
        <w:t>EQT, Corp., since 2019; previous chairman; member, nominating and corporate governance, and environmental and public policy committees</w:t>
      </w:r>
    </w:p>
    <w:p>
      <w:pPr>
        <w:spacing w:after="0" w:line="13" w:lineRule="exact"/>
        <w:rPr>
          <w:rFonts w:ascii="Arial" w:cs="Arial" w:eastAsia="Arial" w:hAnsi="Arial"/>
          <w:sz w:val="14"/>
          <w:szCs w:val="14"/>
          <w:b w:val="1"/>
          <w:bCs w:val="1"/>
          <w:color w:val="6AAA37"/>
        </w:rPr>
      </w:pPr>
    </w:p>
    <w:p>
      <w:pPr>
        <w:ind w:left="180" w:right="3400" w:hanging="172"/>
        <w:spacing w:after="0" w:line="309" w:lineRule="auto"/>
        <w:tabs>
          <w:tab w:leader="none" w:pos="180" w:val="left"/>
        </w:tabs>
        <w:numPr>
          <w:ilvl w:val="0"/>
          <w:numId w:val="25"/>
        </w:numPr>
        <w:rPr>
          <w:rFonts w:ascii="Arial" w:cs="Arial" w:eastAsia="Arial" w:hAnsi="Arial"/>
          <w:sz w:val="14"/>
          <w:szCs w:val="14"/>
          <w:b w:val="1"/>
          <w:bCs w:val="1"/>
          <w:color w:val="6AAA37"/>
        </w:rPr>
      </w:pPr>
      <w:r>
        <w:rPr>
          <w:rFonts w:ascii="Arial" w:cs="Arial" w:eastAsia="Arial" w:hAnsi="Arial"/>
          <w:sz w:val="14"/>
          <w:szCs w:val="14"/>
          <w:color w:val="auto"/>
        </w:rPr>
        <w:t>Granite Ridge Resources, Inc. since 2022; lead independent director since 2022 and member, audit and compensation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2"/>
          <w:szCs w:val="12"/>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ectPr>
          <w:pgSz w:w="11900" w:h="16871" w:orient="portrait"/>
          <w:cols w:equalWidth="0" w:num="2">
            <w:col w:w="5960" w:space="520"/>
            <w:col w:w="2579"/>
          </w:cols>
          <w:pgMar w:left="1400" w:top="264" w:right="1440" w:bottom="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31" w:lineRule="exact"/>
        <w:rPr>
          <w:sz w:val="20"/>
          <w:szCs w:val="20"/>
          <w:color w:val="auto"/>
        </w:rPr>
      </w:pPr>
    </w:p>
    <w:p>
      <w:pPr>
        <w:ind w:right="119"/>
        <w:spacing w:after="0" w:line="298" w:lineRule="auto"/>
        <w:rPr>
          <w:sz w:val="20"/>
          <w:szCs w:val="20"/>
          <w:color w:val="auto"/>
        </w:rPr>
      </w:pPr>
      <w:r>
        <w:rPr>
          <w:rFonts w:ascii="Arial" w:cs="Arial" w:eastAsia="Arial" w:hAnsi="Arial"/>
          <w:sz w:val="14"/>
          <w:szCs w:val="14"/>
          <w:color w:val="auto"/>
        </w:rPr>
        <w:t>Mr. McCartney has served as a director, chairman and vice chairman of the boards of a number of public and private organizations, including companies with a focus on healthcare and drug development and an institution of higher education. Mr. McCartney, a former certified public accountant, brings to the board his prior experience as chief financial officer and chief operating officer of a public company, which has enabled him to contribute to Huron’s development into a prominent consultancy. In addition, Mr. McCartney’s role as non-executive chairman of the board from 2009 through 2024, provides him a unique understanding of Huron’s strategy, operations and culture that makes him an important contributor to the board.</w:t>
      </w: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10</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025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James H. Roth</w:t>
      </w:r>
    </w:p>
    <w:p>
      <w:pPr>
        <w:spacing w:after="0" w:line="20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FFFFFF"/>
        </w:rPr>
        <w:t>EMPLOYEE DIRECTOR | NOT INDEPENDENT</w:t>
      </w:r>
    </w:p>
    <w:p>
      <w:pPr>
        <w:spacing w:after="0" w:line="21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68 | DIRECTOR SINCE: NOVEMBER 2009, VICE CHAIRMAN SINCE 2023</w:t>
      </w:r>
    </w:p>
    <w:p>
      <w:pPr>
        <w:spacing w:after="0" w:line="42"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As an employee director, Mr. Roth does not serve on any committees.</w:t>
      </w:r>
    </w:p>
    <w:p>
      <w:pPr>
        <w:sectPr>
          <w:pgSz w:w="11900" w:h="16871" w:orient="portrait"/>
          <w:cols w:equalWidth="0" w:num="1">
            <w:col w:w="9059"/>
          </w:cols>
          <w:pgMar w:left="1400" w:top="26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45" w:lineRule="exact"/>
        <w:rPr>
          <w:sz w:val="20"/>
          <w:szCs w:val="20"/>
          <w:color w:val="auto"/>
        </w:rPr>
      </w:pPr>
    </w:p>
    <w:p>
      <w:pPr>
        <w:ind w:left="180" w:right="100" w:hanging="172"/>
        <w:spacing w:after="0" w:line="322" w:lineRule="auto"/>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Vice Chairman, Client Services, Huron, since 2023</w:t>
      </w:r>
    </w:p>
    <w:p>
      <w:pPr>
        <w:ind w:left="180" w:hanging="172"/>
        <w:spacing w:after="0" w:line="313" w:lineRule="auto"/>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Founding member of Huron and served as CEO from 2009 to 2022, as President from 2011 to 2019, as a Managing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189"/>
        </w:trPr>
        <w:tc>
          <w:tcPr>
            <w:tcW w:w="2880" w:type="dxa"/>
            <w:vAlign w:val="bottom"/>
          </w:tcPr>
          <w:p>
            <w:pPr>
              <w:spacing w:after="0"/>
              <w:rPr>
                <w:sz w:val="20"/>
                <w:szCs w:val="20"/>
                <w:color w:val="auto"/>
              </w:rPr>
            </w:pPr>
            <w:r>
              <w:rPr>
                <w:rFonts w:ascii="Arial" w:cs="Arial" w:eastAsia="Arial" w:hAnsi="Arial"/>
                <w:sz w:val="16"/>
                <w:szCs w:val="16"/>
                <w:b w:val="1"/>
                <w:bCs w:val="1"/>
                <w:color w:val="00558C"/>
              </w:rPr>
              <w:t>Current Public Company Board</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6"/>
                <w:szCs w:val="16"/>
                <w:b w:val="1"/>
                <w:bCs w:val="1"/>
                <w:color w:val="00558C"/>
              </w:rPr>
              <w:t>Service:</w:t>
            </w:r>
          </w:p>
        </w:tc>
        <w:tc>
          <w:tcPr>
            <w:tcW w:w="2100" w:type="dxa"/>
            <w:vAlign w:val="bottom"/>
            <w:vMerge w:val="restart"/>
          </w:tcPr>
          <w:p>
            <w:pPr>
              <w:ind w:left="480"/>
              <w:spacing w:after="0"/>
              <w:rPr>
                <w:sz w:val="20"/>
                <w:szCs w:val="20"/>
                <w:color w:val="auto"/>
              </w:rPr>
            </w:pPr>
            <w:r>
              <w:rPr>
                <w:rFonts w:ascii="Arial" w:cs="Arial" w:eastAsia="Arial" w:hAnsi="Arial"/>
                <w:sz w:val="22"/>
                <w:szCs w:val="22"/>
                <w:b w:val="1"/>
                <w:bCs w:val="1"/>
                <w:color w:val="B2B3B6"/>
                <w:w w:val="97"/>
              </w:rPr>
              <w:t>Key Skills Sets:</w:t>
            </w: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67" w:right="3339" w:hanging="167"/>
        <w:spacing w:after="0" w:line="324" w:lineRule="auto"/>
        <w:tabs>
          <w:tab w:leader="none" w:pos="167" w:val="left"/>
        </w:tabs>
        <w:numPr>
          <w:ilvl w:val="0"/>
          <w:numId w:val="27"/>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2009</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Arial" w:cs="Arial" w:eastAsia="Arial" w:hAnsi="Arial"/>
                <w:sz w:val="16"/>
                <w:szCs w:val="16"/>
                <w:b w:val="1"/>
                <w:bCs w:val="1"/>
                <w:color w:val="00558C"/>
              </w:rPr>
              <w:t>Non-public board and other</w:t>
            </w:r>
          </w:p>
        </w:tc>
        <w:tc>
          <w:tcPr>
            <w:tcW w:w="2140" w:type="dxa"/>
            <w:vAlign w:val="bottom"/>
          </w:tcPr>
          <w:p>
            <w:pPr>
              <w:ind w:left="620"/>
              <w:spacing w:after="0"/>
              <w:rPr>
                <w:sz w:val="20"/>
                <w:szCs w:val="20"/>
                <w:color w:val="auto"/>
              </w:rPr>
            </w:pPr>
            <w:r>
              <w:rPr>
                <w:rFonts w:ascii="Arial" w:cs="Arial" w:eastAsia="Arial" w:hAnsi="Arial"/>
                <w:sz w:val="13"/>
                <w:szCs w:val="13"/>
                <w:b w:val="1"/>
                <w:bCs w:val="1"/>
                <w:color w:val="6AAA37"/>
                <w:w w:val="95"/>
              </w:rPr>
              <w:t>ACCOUNTING | FINANCE</w:t>
            </w:r>
          </w:p>
        </w:tc>
      </w:tr>
      <w:tr>
        <w:trPr>
          <w:trHeight w:val="223"/>
        </w:trPr>
        <w:tc>
          <w:tcPr>
            <w:tcW w:w="2740" w:type="dxa"/>
            <w:vAlign w:val="bottom"/>
          </w:tcPr>
          <w:p>
            <w:pPr>
              <w:spacing w:after="0"/>
              <w:rPr>
                <w:sz w:val="20"/>
                <w:szCs w:val="20"/>
                <w:color w:val="auto"/>
              </w:rPr>
            </w:pPr>
            <w:r>
              <w:rPr>
                <w:rFonts w:ascii="Arial" w:cs="Arial" w:eastAsia="Arial" w:hAnsi="Arial"/>
                <w:sz w:val="16"/>
                <w:szCs w:val="16"/>
                <w:b w:val="1"/>
                <w:bCs w:val="1"/>
                <w:color w:val="00558C"/>
              </w:rPr>
              <w:t>advisory services:</w:t>
            </w:r>
          </w:p>
        </w:tc>
        <w:tc>
          <w:tcPr>
            <w:tcW w:w="2140" w:type="dxa"/>
            <w:vAlign w:val="bottom"/>
          </w:tcPr>
          <w:p>
            <w:pPr>
              <w:spacing w:after="0"/>
              <w:rPr>
                <w:sz w:val="19"/>
                <w:szCs w:val="19"/>
                <w:color w:val="auto"/>
              </w:rPr>
            </w:pPr>
          </w:p>
        </w:tc>
      </w:tr>
    </w:tbl>
    <w:p>
      <w:pPr>
        <w:sectPr>
          <w:pgSz w:w="11900" w:h="16871" w:orient="portrait"/>
          <w:cols w:equalWidth="0" w:num="2">
            <w:col w:w="2760" w:space="353"/>
            <w:col w:w="5946"/>
          </w:cols>
          <w:pgMar w:left="1400" w:top="264" w:right="1440" w:bottom="0" w:gutter="0" w:footer="0" w:header="0"/>
          <w:type w:val="continuous"/>
        </w:sectPr>
      </w:pPr>
    </w:p>
    <w:bookmarkStart w:id="19" w:name="page20"/>
    <w:bookmarkEnd w:id="19"/>
    <w:p>
      <w:pPr>
        <w:ind w:left="180" w:right="60"/>
        <w:spacing w:after="0" w:line="231" w:lineRule="auto"/>
        <w:rPr>
          <w:sz w:val="20"/>
          <w:szCs w:val="20"/>
          <w:color w:val="auto"/>
        </w:rPr>
      </w:pPr>
      <w:r>
        <w:rPr>
          <w:rFonts w:ascii="Arial" w:cs="Arial" w:eastAsia="Arial" w:hAnsi="Arial"/>
          <w:sz w:val="14"/>
          <w:szCs w:val="14"/>
          <w:color w:val="auto"/>
        </w:rPr>
        <w:t>Director and practice leader of the Higher Education consulting practice from 2002</w:t>
      </w:r>
    </w:p>
    <w:p>
      <w:pPr>
        <w:spacing w:after="0" w:line="1" w:lineRule="exact"/>
        <w:rPr>
          <w:sz w:val="20"/>
          <w:szCs w:val="20"/>
          <w:color w:val="auto"/>
        </w:rPr>
      </w:pPr>
    </w:p>
    <w:p>
      <w:pPr>
        <w:ind w:left="180"/>
        <w:spacing w:after="0" w:line="297" w:lineRule="auto"/>
        <w:rPr>
          <w:sz w:val="20"/>
          <w:szCs w:val="20"/>
          <w:color w:val="auto"/>
        </w:rPr>
      </w:pPr>
      <w:r>
        <w:rPr>
          <w:rFonts w:ascii="Arial" w:cs="Arial" w:eastAsia="Arial" w:hAnsi="Arial"/>
          <w:sz w:val="14"/>
          <w:szCs w:val="14"/>
          <w:color w:val="auto"/>
        </w:rPr>
        <w:t>to 2009, and as vice president, Health and Education Consulting from 2007 to 2009. Under his leadership, Huron was named one of Forbes’ Best Management Consulting Firms, one of Forbes’ America’s Best Employers and as one of the Best Firms to Work For by Consulting Magazine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Awards:</w:t>
      </w:r>
    </w:p>
    <w:p>
      <w:pPr>
        <w:spacing w:after="0" w:line="145" w:lineRule="exact"/>
        <w:rPr>
          <w:sz w:val="20"/>
          <w:szCs w:val="20"/>
          <w:color w:val="auto"/>
        </w:rPr>
      </w:pPr>
    </w:p>
    <w:p>
      <w:pPr>
        <w:ind w:left="180" w:right="260" w:hanging="172"/>
        <w:spacing w:after="0" w:line="312" w:lineRule="auto"/>
        <w:tabs>
          <w:tab w:leader="none" w:pos="180" w:val="left"/>
        </w:tabs>
        <w:numPr>
          <w:ilvl w:val="0"/>
          <w:numId w:val="28"/>
        </w:numPr>
        <w:rPr>
          <w:rFonts w:ascii="Arial" w:cs="Arial" w:eastAsia="Arial" w:hAnsi="Arial"/>
          <w:sz w:val="14"/>
          <w:szCs w:val="14"/>
          <w:b w:val="1"/>
          <w:bCs w:val="1"/>
          <w:color w:val="6AAA37"/>
        </w:rPr>
      </w:pPr>
      <w:r>
        <w:rPr>
          <w:rFonts w:ascii="Arial" w:cs="Arial" w:eastAsia="Arial" w:hAnsi="Arial"/>
          <w:sz w:val="14"/>
          <w:szCs w:val="14"/>
          <w:color w:val="auto"/>
        </w:rPr>
        <w:t>Consulting Magazine, twice named as one of the Top 25 Most Influential Consultants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104" w:lineRule="exact"/>
        <w:rPr>
          <w:sz w:val="20"/>
          <w:szCs w:val="20"/>
          <w:color w:val="auto"/>
        </w:rPr>
      </w:pPr>
    </w:p>
    <w:p>
      <w:pPr>
        <w:ind w:left="180" w:right="220" w:hanging="172"/>
        <w:spacing w:after="0" w:line="332" w:lineRule="auto"/>
        <w:tabs>
          <w:tab w:leader="none" w:pos="180" w:val="left"/>
        </w:tabs>
        <w:numPr>
          <w:ilvl w:val="0"/>
          <w:numId w:val="29"/>
        </w:numPr>
        <w:rPr>
          <w:rFonts w:ascii="Arial" w:cs="Arial" w:eastAsia="Arial" w:hAnsi="Arial"/>
          <w:sz w:val="14"/>
          <w:szCs w:val="14"/>
          <w:b w:val="1"/>
          <w:bCs w:val="1"/>
          <w:color w:val="6AAA37"/>
        </w:rPr>
      </w:pPr>
      <w:r>
        <w:rPr>
          <w:rFonts w:ascii="Arial" w:cs="Arial" w:eastAsia="Arial" w:hAnsi="Arial"/>
          <w:sz w:val="14"/>
          <w:szCs w:val="14"/>
          <w:color w:val="auto"/>
        </w:rPr>
        <w:t>B.A., Political Science and Economics, Vanderbilt University</w:t>
      </w:r>
    </w:p>
    <w:p>
      <w:pPr>
        <w:ind w:left="180" w:hanging="172"/>
        <w:spacing w:after="0"/>
        <w:tabs>
          <w:tab w:leader="none" w:pos="180" w:val="left"/>
        </w:tabs>
        <w:numPr>
          <w:ilvl w:val="0"/>
          <w:numId w:val="29"/>
        </w:numPr>
        <w:rPr>
          <w:rFonts w:ascii="Arial" w:cs="Arial" w:eastAsia="Arial" w:hAnsi="Arial"/>
          <w:sz w:val="14"/>
          <w:szCs w:val="14"/>
          <w:b w:val="1"/>
          <w:bCs w:val="1"/>
          <w:color w:val="6AAA37"/>
        </w:rPr>
      </w:pPr>
      <w:r>
        <w:rPr>
          <w:rFonts w:ascii="Arial" w:cs="Arial" w:eastAsia="Arial" w:hAnsi="Arial"/>
          <w:sz w:val="14"/>
          <w:szCs w:val="14"/>
          <w:color w:val="auto"/>
        </w:rPr>
        <w:t>M.B.A., Southern Methodist University</w:t>
      </w:r>
    </w:p>
    <w:p>
      <w:pPr>
        <w:spacing w:after="0" w:line="95" w:lineRule="exact"/>
        <w:rPr>
          <w:rFonts w:ascii="Arial" w:cs="Arial" w:eastAsia="Arial" w:hAnsi="Arial"/>
          <w:sz w:val="14"/>
          <w:szCs w:val="14"/>
          <w:b w:val="1"/>
          <w:bCs w:val="1"/>
          <w:color w:val="6AAA37"/>
        </w:rPr>
      </w:pPr>
    </w:p>
    <w:p>
      <w:pPr>
        <w:ind w:left="180" w:hanging="172"/>
        <w:spacing w:after="0"/>
        <w:tabs>
          <w:tab w:leader="none" w:pos="180" w:val="left"/>
        </w:tabs>
        <w:numPr>
          <w:ilvl w:val="0"/>
          <w:numId w:val="29"/>
        </w:numPr>
        <w:rPr>
          <w:rFonts w:ascii="Arial" w:cs="Arial" w:eastAsia="Arial" w:hAnsi="Arial"/>
          <w:sz w:val="14"/>
          <w:szCs w:val="14"/>
          <w:b w:val="1"/>
          <w:bCs w:val="1"/>
          <w:color w:val="6AAA37"/>
        </w:rPr>
      </w:pPr>
      <w:r>
        <w:rPr>
          <w:rFonts w:ascii="Arial" w:cs="Arial" w:eastAsia="Arial" w:hAnsi="Arial"/>
          <w:sz w:val="14"/>
          <w:szCs w:val="14"/>
          <w:color w:val="auto"/>
        </w:rPr>
        <w:t>Certified Public Accountant (inactive)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67" w:hanging="167"/>
        <w:spacing w:after="0" w:line="325" w:lineRule="auto"/>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Chicago Council on Global Affairs, since 2025</w:t>
      </w:r>
    </w:p>
    <w:p>
      <w:pPr>
        <w:spacing w:after="0" w:line="9" w:lineRule="exact"/>
        <w:rPr>
          <w:rFonts w:ascii="Arial" w:cs="Arial" w:eastAsia="Arial" w:hAnsi="Arial"/>
          <w:sz w:val="14"/>
          <w:szCs w:val="14"/>
          <w:b w:val="1"/>
          <w:bCs w:val="1"/>
          <w:color w:val="6AAA37"/>
        </w:rPr>
      </w:pPr>
    </w:p>
    <w:p>
      <w:pPr>
        <w:ind w:left="167" w:hanging="167"/>
        <w:spacing w:after="0"/>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Shorelight Holdings LLC, since 2014</w:t>
      </w:r>
    </w:p>
    <w:p>
      <w:pPr>
        <w:spacing w:after="0" w:line="82" w:lineRule="exact"/>
        <w:rPr>
          <w:rFonts w:ascii="Arial" w:cs="Arial" w:eastAsia="Arial" w:hAnsi="Arial"/>
          <w:sz w:val="14"/>
          <w:szCs w:val="14"/>
          <w:b w:val="1"/>
          <w:bCs w:val="1"/>
          <w:color w:val="6AAA37"/>
        </w:rPr>
      </w:pPr>
    </w:p>
    <w:p>
      <w:pPr>
        <w:ind w:left="167" w:right="180" w:hanging="167"/>
        <w:spacing w:after="0" w:line="332" w:lineRule="auto"/>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Lurie Children's Medical Group, since 2025</w:t>
      </w:r>
    </w:p>
    <w:p>
      <w:pPr>
        <w:ind w:left="167" w:right="220" w:hanging="167"/>
        <w:spacing w:after="0" w:line="325" w:lineRule="auto"/>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Lurie Children's Pediatric Anesthesia Associates, 2019 - 2024</w:t>
      </w:r>
    </w:p>
    <w:p>
      <w:pPr>
        <w:spacing w:after="0" w:line="9" w:lineRule="exact"/>
        <w:rPr>
          <w:rFonts w:ascii="Arial" w:cs="Arial" w:eastAsia="Arial" w:hAnsi="Arial"/>
          <w:sz w:val="14"/>
          <w:szCs w:val="14"/>
          <w:b w:val="1"/>
          <w:bCs w:val="1"/>
          <w:color w:val="6AAA37"/>
        </w:rPr>
      </w:pPr>
    </w:p>
    <w:p>
      <w:pPr>
        <w:ind w:left="167" w:hanging="167"/>
        <w:spacing w:after="0"/>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Gift of Adoption, since 2019</w:t>
      </w:r>
    </w:p>
    <w:p>
      <w:pPr>
        <w:spacing w:after="0" w:line="82" w:lineRule="exact"/>
        <w:rPr>
          <w:rFonts w:ascii="Arial" w:cs="Arial" w:eastAsia="Arial" w:hAnsi="Arial"/>
          <w:sz w:val="14"/>
          <w:szCs w:val="14"/>
          <w:b w:val="1"/>
          <w:bCs w:val="1"/>
          <w:color w:val="6AAA37"/>
        </w:rPr>
      </w:pPr>
    </w:p>
    <w:p>
      <w:pPr>
        <w:ind w:left="167" w:right="460" w:hanging="167"/>
        <w:spacing w:after="0" w:line="332" w:lineRule="auto"/>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Women's Health Access Matters, since 2023</w:t>
      </w:r>
    </w:p>
    <w:p>
      <w:pPr>
        <w:ind w:left="167" w:right="380" w:hanging="167"/>
        <w:spacing w:after="0" w:line="325" w:lineRule="auto"/>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Keypath Education Holdings, LLC, 2016 - 2021</w:t>
      </w:r>
    </w:p>
    <w:p>
      <w:pPr>
        <w:spacing w:after="0" w:line="9" w:lineRule="exact"/>
        <w:rPr>
          <w:rFonts w:ascii="Arial" w:cs="Arial" w:eastAsia="Arial" w:hAnsi="Arial"/>
          <w:sz w:val="14"/>
          <w:szCs w:val="14"/>
          <w:b w:val="1"/>
          <w:bCs w:val="1"/>
          <w:color w:val="6AAA37"/>
        </w:rPr>
      </w:pPr>
    </w:p>
    <w:p>
      <w:pPr>
        <w:ind w:left="167" w:hanging="167"/>
        <w:spacing w:after="0"/>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Aviv REIT, 2012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-1844675</wp:posOffset>
            </wp:positionV>
            <wp:extent cx="6810375" cy="5831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5831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ectPr>
          <w:pgSz w:w="11900" w:h="16838" w:orient="portrait"/>
          <w:cols w:equalWidth="0" w:num="3">
            <w:col w:w="2860" w:space="253"/>
            <w:col w:w="2727" w:space="640"/>
            <w:col w:w="2579"/>
          </w:cols>
          <w:pgMar w:left="140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45" w:lineRule="exact"/>
        <w:rPr>
          <w:sz w:val="20"/>
          <w:szCs w:val="20"/>
          <w:color w:val="auto"/>
        </w:rPr>
      </w:pPr>
    </w:p>
    <w:p>
      <w:pPr>
        <w:ind w:right="19"/>
        <w:spacing w:after="0" w:line="302" w:lineRule="auto"/>
        <w:rPr>
          <w:sz w:val="20"/>
          <w:szCs w:val="20"/>
          <w:color w:val="auto"/>
        </w:rPr>
      </w:pPr>
      <w:r>
        <w:rPr>
          <w:rFonts w:ascii="Arial" w:cs="Arial" w:eastAsia="Arial" w:hAnsi="Arial"/>
          <w:sz w:val="14"/>
          <w:szCs w:val="14"/>
          <w:color w:val="auto"/>
        </w:rPr>
        <w:t>Through his distinguished career as an officer and consultant at Huron, Mr. Roth brings to the board his hands-on perspective of the strategy and operations of institutions of higher education and academic medical centers, including their research facilities. Twice named by Consulting magazine as one of the Top 25 Most Influential Consultants, Mr. Roth contributes to the board a unique understanding of the Huron organization, the consulting business, and the businesses of our clients.</w:t>
      </w: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11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4602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460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Hugh E. Sawyer</w:t>
      </w:r>
    </w:p>
    <w:p>
      <w:pPr>
        <w:spacing w:after="0" w:line="14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71  | DIRECTOR SINCE: FEBRUARY 2018</w:t>
      </w:r>
    </w:p>
    <w:p>
      <w:pPr>
        <w:spacing w:after="0" w:line="42"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NON-EXECUTIVE CHAIRMAN OF THE BOARD (JANUARY 2025)</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A (MEMBER), F&amp;CA (MEMBER), N&amp;CG (MEMBER)</w:t>
      </w:r>
    </w:p>
    <w:p>
      <w:pPr>
        <w:sectPr>
          <w:pgSz w:w="11900" w:h="16838" w:orient="portrait"/>
          <w:cols w:equalWidth="0" w:num="1">
            <w:col w:w="9059"/>
          </w:cols>
          <w:pgMar w:left="140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45" w:lineRule="exact"/>
        <w:rPr>
          <w:sz w:val="20"/>
          <w:szCs w:val="20"/>
          <w:color w:val="auto"/>
        </w:rPr>
      </w:pPr>
    </w:p>
    <w:p>
      <w:pPr>
        <w:ind w:left="180" w:right="20" w:hanging="172"/>
        <w:spacing w:after="0" w:line="303" w:lineRule="auto"/>
        <w:tabs>
          <w:tab w:leader="none" w:pos="180" w:val="left"/>
        </w:tabs>
        <w:numPr>
          <w:ilvl w:val="0"/>
          <w:numId w:val="31"/>
        </w:numPr>
        <w:rPr>
          <w:rFonts w:ascii="Arial" w:cs="Arial" w:eastAsia="Arial" w:hAnsi="Arial"/>
          <w:sz w:val="14"/>
          <w:szCs w:val="14"/>
          <w:b w:val="1"/>
          <w:bCs w:val="1"/>
          <w:color w:val="6AAA37"/>
        </w:rPr>
      </w:pPr>
      <w:r>
        <w:rPr>
          <w:rFonts w:ascii="Arial" w:cs="Arial" w:eastAsia="Arial" w:hAnsi="Arial"/>
          <w:sz w:val="14"/>
          <w:szCs w:val="14"/>
          <w:color w:val="auto"/>
        </w:rPr>
        <w:t>Chairman, President and Chief Executive Officer of Regis Corporation, 2017 until retirement in 2020</w:t>
      </w:r>
    </w:p>
    <w:p>
      <w:pPr>
        <w:spacing w:after="0" w:line="24" w:lineRule="exact"/>
        <w:rPr>
          <w:rFonts w:ascii="Arial" w:cs="Arial" w:eastAsia="Arial" w:hAnsi="Arial"/>
          <w:sz w:val="14"/>
          <w:szCs w:val="14"/>
          <w:b w:val="1"/>
          <w:bCs w:val="1"/>
          <w:color w:val="6AAA37"/>
        </w:rPr>
      </w:pPr>
    </w:p>
    <w:p>
      <w:pPr>
        <w:ind w:left="180" w:hanging="172"/>
        <w:spacing w:after="0"/>
        <w:tabs>
          <w:tab w:leader="none" w:pos="180" w:val="left"/>
        </w:tabs>
        <w:numPr>
          <w:ilvl w:val="0"/>
          <w:numId w:val="31"/>
        </w:numPr>
        <w:rPr>
          <w:rFonts w:ascii="Arial" w:cs="Arial" w:eastAsia="Arial" w:hAnsi="Arial"/>
          <w:sz w:val="14"/>
          <w:szCs w:val="14"/>
          <w:b w:val="1"/>
          <w:bCs w:val="1"/>
          <w:color w:val="6AAA37"/>
        </w:rPr>
      </w:pPr>
      <w:r>
        <w:rPr>
          <w:rFonts w:ascii="Arial" w:cs="Arial" w:eastAsia="Arial" w:hAnsi="Arial"/>
          <w:sz w:val="14"/>
          <w:szCs w:val="14"/>
          <w:color w:val="auto"/>
        </w:rPr>
        <w:t>Managing Director, Huron, 2010 – 2017</w:t>
      </w:r>
    </w:p>
    <w:p>
      <w:pPr>
        <w:spacing w:after="0" w:line="82" w:lineRule="exact"/>
        <w:rPr>
          <w:rFonts w:ascii="Arial" w:cs="Arial" w:eastAsia="Arial" w:hAnsi="Arial"/>
          <w:sz w:val="14"/>
          <w:szCs w:val="14"/>
          <w:b w:val="1"/>
          <w:bCs w:val="1"/>
          <w:color w:val="6AAA37"/>
        </w:rPr>
      </w:pPr>
    </w:p>
    <w:p>
      <w:pPr>
        <w:ind w:left="180"/>
        <w:spacing w:after="0" w:line="332" w:lineRule="auto"/>
        <w:rPr>
          <w:rFonts w:ascii="Arial" w:cs="Arial" w:eastAsia="Arial" w:hAnsi="Arial"/>
          <w:sz w:val="14"/>
          <w:szCs w:val="14"/>
          <w:b w:val="1"/>
          <w:bCs w:val="1"/>
          <w:color w:val="6AAA37"/>
        </w:rPr>
      </w:pPr>
      <w:r>
        <w:rPr>
          <w:rFonts w:ascii="Arial" w:cs="Arial" w:eastAsia="Arial" w:hAnsi="Arial"/>
          <w:sz w:val="14"/>
          <w:szCs w:val="14"/>
          <w:color w:val="auto"/>
        </w:rPr>
        <w:t>While at Huron, he served in the following roles for clients:</w:t>
      </w:r>
    </w:p>
    <w:p>
      <w:pPr>
        <w:jc w:val="right"/>
        <w:ind w:left="340" w:right="20" w:hanging="162"/>
        <w:spacing w:after="0" w:line="325" w:lineRule="auto"/>
        <w:rPr>
          <w:rFonts w:ascii="Arial" w:cs="Arial" w:eastAsia="Arial" w:hAnsi="Arial"/>
          <w:sz w:val="14"/>
          <w:szCs w:val="14"/>
          <w:b w:val="1"/>
          <w:bCs w:val="1"/>
          <w:color w:val="6AAA37"/>
        </w:rPr>
      </w:pPr>
      <w:r>
        <w:rPr>
          <w:rFonts w:ascii="Arial" w:cs="Arial" w:eastAsia="Arial" w:hAnsi="Arial"/>
          <w:sz w:val="14"/>
          <w:szCs w:val="14"/>
          <w:color w:val="auto"/>
        </w:rPr>
        <w:t>– JHT Holdings, Inc. – Interim President and CEO, January 2010 - March 2012;</w:t>
      </w:r>
    </w:p>
    <w:p>
      <w:pPr>
        <w:spacing w:after="0" w:line="9" w:lineRule="exact"/>
        <w:rPr>
          <w:rFonts w:ascii="Arial" w:cs="Arial" w:eastAsia="Arial" w:hAnsi="Arial"/>
          <w:sz w:val="14"/>
          <w:szCs w:val="14"/>
          <w:b w:val="1"/>
          <w:bCs w:val="1"/>
          <w:color w:val="6AAA37"/>
        </w:rPr>
      </w:pPr>
    </w:p>
    <w:p>
      <w:pPr>
        <w:ind w:left="340" w:right="100" w:hanging="162"/>
        <w:spacing w:after="0" w:line="297" w:lineRule="auto"/>
        <w:rPr>
          <w:rFonts w:ascii="Arial" w:cs="Arial" w:eastAsia="Arial" w:hAnsi="Arial"/>
          <w:sz w:val="14"/>
          <w:szCs w:val="14"/>
          <w:b w:val="1"/>
          <w:bCs w:val="1"/>
          <w:color w:val="6AAA37"/>
        </w:rPr>
      </w:pPr>
      <w:r>
        <w:rPr>
          <w:rFonts w:ascii="Arial" w:cs="Arial" w:eastAsia="Arial" w:hAnsi="Arial"/>
          <w:sz w:val="14"/>
          <w:szCs w:val="14"/>
          <w:color w:val="auto"/>
        </w:rPr>
        <w:t>– Fisker Automotive Inc. – Chief Administrative Officer, January 2013 - March 2013, Chief Restructuring Officer, March 2013 - October 2013; and</w:t>
      </w:r>
    </w:p>
    <w:p>
      <w:pPr>
        <w:spacing w:after="0" w:line="29" w:lineRule="exact"/>
        <w:rPr>
          <w:rFonts w:ascii="Arial" w:cs="Arial" w:eastAsia="Arial" w:hAnsi="Arial"/>
          <w:sz w:val="14"/>
          <w:szCs w:val="14"/>
          <w:b w:val="1"/>
          <w:bCs w:val="1"/>
          <w:color w:val="6AAA37"/>
        </w:rPr>
      </w:pPr>
    </w:p>
    <w:p>
      <w:pPr>
        <w:ind w:left="340" w:right="200" w:hanging="162"/>
        <w:spacing w:after="0" w:line="313" w:lineRule="auto"/>
        <w:rPr>
          <w:rFonts w:ascii="Arial" w:cs="Arial" w:eastAsia="Arial" w:hAnsi="Arial"/>
          <w:sz w:val="14"/>
          <w:szCs w:val="14"/>
          <w:b w:val="1"/>
          <w:bCs w:val="1"/>
          <w:color w:val="6AAA37"/>
        </w:rPr>
      </w:pPr>
      <w:r>
        <w:rPr>
          <w:rFonts w:ascii="Arial" w:cs="Arial" w:eastAsia="Arial" w:hAnsi="Arial"/>
          <w:sz w:val="14"/>
          <w:szCs w:val="14"/>
          <w:color w:val="auto"/>
        </w:rPr>
        <w:t>– Euramax International Inc. – Interim President, February 2014 - August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Education/Certifications:</w:t>
      </w:r>
    </w:p>
    <w:p>
      <w:pPr>
        <w:spacing w:after="0" w:line="104" w:lineRule="exact"/>
        <w:rPr>
          <w:sz w:val="20"/>
          <w:szCs w:val="20"/>
          <w:color w:val="auto"/>
        </w:rPr>
      </w:pPr>
    </w:p>
    <w:p>
      <w:pPr>
        <w:ind w:left="167" w:hanging="167"/>
        <w:spacing w:after="0"/>
        <w:tabs>
          <w:tab w:leader="none" w:pos="167" w:val="left"/>
        </w:tabs>
        <w:numPr>
          <w:ilvl w:val="0"/>
          <w:numId w:val="32"/>
        </w:numPr>
        <w:rPr>
          <w:rFonts w:ascii="Arial" w:cs="Arial" w:eastAsia="Arial" w:hAnsi="Arial"/>
          <w:sz w:val="14"/>
          <w:szCs w:val="14"/>
          <w:b w:val="1"/>
          <w:bCs w:val="1"/>
          <w:color w:val="6AAA37"/>
        </w:rPr>
      </w:pPr>
      <w:r>
        <w:rPr>
          <w:rFonts w:ascii="Arial" w:cs="Arial" w:eastAsia="Arial" w:hAnsi="Arial"/>
          <w:sz w:val="14"/>
          <w:szCs w:val="14"/>
          <w:color w:val="auto"/>
        </w:rPr>
        <w:t>B.A., with Honors, University of Florida</w:t>
      </w:r>
    </w:p>
    <w:p>
      <w:pPr>
        <w:spacing w:after="0" w:line="82" w:lineRule="exact"/>
        <w:rPr>
          <w:rFonts w:ascii="Arial" w:cs="Arial" w:eastAsia="Arial" w:hAnsi="Arial"/>
          <w:sz w:val="14"/>
          <w:szCs w:val="14"/>
          <w:b w:val="1"/>
          <w:bCs w:val="1"/>
          <w:color w:val="6AAA37"/>
        </w:rPr>
      </w:pPr>
    </w:p>
    <w:p>
      <w:pPr>
        <w:ind w:left="167" w:right="500" w:hanging="167"/>
        <w:spacing w:after="0" w:line="328" w:lineRule="auto"/>
        <w:tabs>
          <w:tab w:leader="none" w:pos="167" w:val="left"/>
        </w:tabs>
        <w:numPr>
          <w:ilvl w:val="0"/>
          <w:numId w:val="32"/>
        </w:numPr>
        <w:rPr>
          <w:rFonts w:ascii="Arial" w:cs="Arial" w:eastAsia="Arial" w:hAnsi="Arial"/>
          <w:sz w:val="14"/>
          <w:szCs w:val="14"/>
          <w:b w:val="1"/>
          <w:bCs w:val="1"/>
          <w:color w:val="6AAA37"/>
        </w:rPr>
      </w:pPr>
      <w:r>
        <w:rPr>
          <w:rFonts w:ascii="Arial" w:cs="Arial" w:eastAsia="Arial" w:hAnsi="Arial"/>
          <w:sz w:val="14"/>
          <w:szCs w:val="14"/>
          <w:color w:val="auto"/>
        </w:rPr>
        <w:t>Certified Turnaround Professional (inactive)</w:t>
      </w:r>
    </w:p>
    <w:p>
      <w:pPr>
        <w:spacing w:after="0" w:line="1" w:lineRule="exact"/>
        <w:rPr>
          <w:sz w:val="20"/>
          <w:szCs w:val="20"/>
          <w:color w:val="auto"/>
        </w:rPr>
      </w:pPr>
    </w:p>
    <w:p>
      <w:pPr>
        <w:ind w:left="7" w:right="900"/>
        <w:spacing w:after="0" w:line="314" w:lineRule="auto"/>
        <w:rPr>
          <w:sz w:val="20"/>
          <w:szCs w:val="20"/>
          <w:color w:val="auto"/>
        </w:rPr>
      </w:pPr>
      <w:r>
        <w:rPr>
          <w:rFonts w:ascii="Arial" w:cs="Arial" w:eastAsia="Arial" w:hAnsi="Arial"/>
          <w:sz w:val="16"/>
          <w:szCs w:val="16"/>
          <w:b w:val="1"/>
          <w:bCs w:val="1"/>
          <w:color w:val="00558C"/>
        </w:rPr>
        <w:t>Current Public Company Board Service:</w:t>
      </w:r>
    </w:p>
    <w:p>
      <w:pPr>
        <w:spacing w:after="0" w:line="9" w:lineRule="exact"/>
        <w:rPr>
          <w:sz w:val="20"/>
          <w:szCs w:val="20"/>
          <w:color w:val="auto"/>
        </w:rPr>
      </w:pPr>
    </w:p>
    <w:p>
      <w:pPr>
        <w:ind w:left="167" w:right="200" w:hanging="167"/>
        <w:spacing w:after="0" w:line="325" w:lineRule="auto"/>
        <w:tabs>
          <w:tab w:leader="none" w:pos="167" w:val="left"/>
        </w:tabs>
        <w:numPr>
          <w:ilvl w:val="0"/>
          <w:numId w:val="33"/>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2018</w:t>
      </w:r>
    </w:p>
    <w:p>
      <w:pPr>
        <w:spacing w:after="0" w:line="32" w:lineRule="exact"/>
        <w:rPr>
          <w:sz w:val="20"/>
          <w:szCs w:val="20"/>
          <w:color w:val="auto"/>
        </w:rPr>
      </w:pPr>
    </w:p>
    <w:p>
      <w:pPr>
        <w:ind w:left="7" w:right="680"/>
        <w:spacing w:after="0" w:line="314"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36" w:lineRule="exact"/>
        <w:rPr>
          <w:sz w:val="20"/>
          <w:szCs w:val="20"/>
          <w:color w:val="auto"/>
        </w:rPr>
      </w:pPr>
    </w:p>
    <w:p>
      <w:pPr>
        <w:ind w:left="167" w:hanging="167"/>
        <w:spacing w:after="0"/>
        <w:tabs>
          <w:tab w:leader="none" w:pos="167" w:val="left"/>
        </w:tabs>
        <w:numPr>
          <w:ilvl w:val="0"/>
          <w:numId w:val="34"/>
        </w:numPr>
        <w:rPr>
          <w:rFonts w:ascii="Arial" w:cs="Arial" w:eastAsia="Arial" w:hAnsi="Arial"/>
          <w:sz w:val="14"/>
          <w:szCs w:val="14"/>
          <w:b w:val="1"/>
          <w:bCs w:val="1"/>
          <w:color w:val="6AAA37"/>
        </w:rPr>
      </w:pPr>
      <w:r>
        <w:rPr>
          <w:rFonts w:ascii="Arial" w:cs="Arial" w:eastAsia="Arial" w:hAnsi="Arial"/>
          <w:sz w:val="14"/>
          <w:szCs w:val="14"/>
          <w:color w:val="auto"/>
        </w:rPr>
        <w:t>JHT Holdings, Inc., 2011 – 2018</w:t>
      </w:r>
    </w:p>
    <w:p>
      <w:pPr>
        <w:spacing w:after="0" w:line="95" w:lineRule="exact"/>
        <w:rPr>
          <w:rFonts w:ascii="Arial" w:cs="Arial" w:eastAsia="Arial" w:hAnsi="Arial"/>
          <w:sz w:val="14"/>
          <w:szCs w:val="14"/>
          <w:b w:val="1"/>
          <w:bCs w:val="1"/>
          <w:color w:val="6AAA37"/>
        </w:rPr>
      </w:pPr>
    </w:p>
    <w:p>
      <w:pPr>
        <w:ind w:left="167" w:hanging="167"/>
        <w:spacing w:after="0" w:line="325" w:lineRule="auto"/>
        <w:tabs>
          <w:tab w:leader="none" w:pos="167" w:val="left"/>
        </w:tabs>
        <w:numPr>
          <w:ilvl w:val="0"/>
          <w:numId w:val="34"/>
        </w:numPr>
        <w:rPr>
          <w:rFonts w:ascii="Arial" w:cs="Arial" w:eastAsia="Arial" w:hAnsi="Arial"/>
          <w:sz w:val="14"/>
          <w:szCs w:val="14"/>
          <w:b w:val="1"/>
          <w:bCs w:val="1"/>
          <w:color w:val="6AAA37"/>
        </w:rPr>
      </w:pPr>
      <w:r>
        <w:rPr>
          <w:rFonts w:ascii="Arial" w:cs="Arial" w:eastAsia="Arial" w:hAnsi="Arial"/>
          <w:sz w:val="14"/>
          <w:szCs w:val="14"/>
          <w:color w:val="auto"/>
        </w:rPr>
        <w:t>Board of managing trustees of the Edison Mission Energy Reorganization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ectPr>
          <w:pgSz w:w="11900" w:h="16838" w:orient="portrait"/>
          <w:cols w:equalWidth="0" w:num="3">
            <w:col w:w="2820" w:space="293"/>
            <w:col w:w="2807" w:space="560"/>
            <w:col w:w="2579"/>
          </w:cols>
          <w:pgMar w:left="1400" w:top="118" w:right="1440" w:bottom="0" w:gutter="0" w:footer="0" w:header="0"/>
          <w:type w:val="continuous"/>
        </w:sectPr>
      </w:pPr>
    </w:p>
    <w:bookmarkStart w:id="20" w:name="page21"/>
    <w:bookmarkEnd w:id="20"/>
    <w:p>
      <w:pPr>
        <w:ind w:left="180" w:right="2880" w:hanging="172"/>
        <w:spacing w:after="0" w:line="285" w:lineRule="auto"/>
        <w:tabs>
          <w:tab w:leader="none" w:pos="180" w:val="left"/>
        </w:tabs>
        <w:numPr>
          <w:ilvl w:val="0"/>
          <w:numId w:val="35"/>
        </w:numPr>
        <w:rPr>
          <w:rFonts w:ascii="Arial" w:cs="Arial" w:eastAsia="Arial" w:hAnsi="Arial"/>
          <w:sz w:val="14"/>
          <w:szCs w:val="14"/>
          <w:b w:val="1"/>
          <w:bCs w:val="1"/>
          <w:color w:val="6AAA37"/>
        </w:rPr>
      </w:pPr>
      <w:r>
        <w:rPr>
          <w:rFonts w:ascii="Arial" w:cs="Arial" w:eastAsia="Arial" w:hAnsi="Arial"/>
          <w:sz w:val="14"/>
          <w:szCs w:val="14"/>
          <w:color w:val="auto"/>
        </w:rPr>
        <w:t>Mr. Sawyer has served as the president or chief executive officer of the following: Wells Fargo Armored Service Corporation, The Cunningham Group, Inc., National Linen Service, Inc., Aegis Communications Group, Inc., Allied Holdings, Inc., and Legendary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-835025</wp:posOffset>
            </wp:positionV>
            <wp:extent cx="6810375" cy="425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4253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PUBLIC COMPANY BOARD</w:t>
      </w:r>
    </w:p>
    <w:p>
      <w:pPr>
        <w:spacing w:after="0" w:line="200" w:lineRule="exact"/>
        <w:rPr>
          <w:sz w:val="20"/>
          <w:szCs w:val="20"/>
          <w:color w:val="auto"/>
        </w:rPr>
      </w:pPr>
    </w:p>
    <w:p>
      <w:pPr>
        <w:sectPr>
          <w:pgSz w:w="11900" w:h="16838" w:orient="portrait"/>
          <w:cols w:equalWidth="0" w:num="2">
            <w:col w:w="5760" w:space="720"/>
            <w:col w:w="2579"/>
          </w:cols>
          <w:pgMar w:left="1400" w:top="118" w:right="1440" w:bottom="3"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04" w:lineRule="exact"/>
        <w:rPr>
          <w:sz w:val="20"/>
          <w:szCs w:val="20"/>
          <w:color w:val="auto"/>
        </w:rPr>
      </w:pPr>
    </w:p>
    <w:p>
      <w:pPr>
        <w:ind w:right="19"/>
        <w:spacing w:after="0" w:line="302" w:lineRule="auto"/>
        <w:rPr>
          <w:sz w:val="20"/>
          <w:szCs w:val="20"/>
          <w:color w:val="auto"/>
        </w:rPr>
      </w:pPr>
      <w:r>
        <w:rPr>
          <w:rFonts w:ascii="Arial" w:cs="Arial" w:eastAsia="Arial" w:hAnsi="Arial"/>
          <w:sz w:val="14"/>
          <w:szCs w:val="14"/>
          <w:color w:val="auto"/>
        </w:rPr>
        <w:t>Mr. Sawyer is a proven executive with more than 40 years of experience leading complex strategic transformations and operational improvements for both public and private companies across a range of industries. He has held leadership roles as president or chief executive officer of nine companies and has also served on fourteen public or private boards of directors, including as chairman. He has significant governance experience as a member or prior member of numerous board committees including audit, compensation, nomination and governance and various special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02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3120" w:type="dxa"/>
            <w:vAlign w:val="bottom"/>
          </w:tcPr>
          <w:p>
            <w:pPr>
              <w:jc w:val="right"/>
              <w:ind w:right="1517"/>
              <w:spacing w:after="0"/>
              <w:rPr>
                <w:sz w:val="20"/>
                <w:szCs w:val="20"/>
                <w:color w:val="auto"/>
              </w:rPr>
            </w:pPr>
            <w:r>
              <w:rPr>
                <w:rFonts w:ascii="Arial" w:cs="Arial" w:eastAsia="Arial" w:hAnsi="Arial"/>
                <w:sz w:val="13"/>
                <w:szCs w:val="13"/>
                <w:b w:val="1"/>
                <w:bCs w:val="1"/>
                <w:color w:val="00558C"/>
              </w:rPr>
              <w:t>12</w:t>
            </w:r>
          </w:p>
        </w:tc>
        <w:tc>
          <w:tcPr>
            <w:tcW w:w="2840" w:type="dxa"/>
            <w:vAlign w:val="bottom"/>
          </w:tcPr>
          <w:p>
            <w:pPr>
              <w:ind w:left="1580"/>
              <w:spacing w:after="0"/>
              <w:rPr>
                <w:sz w:val="20"/>
                <w:szCs w:val="20"/>
                <w:color w:val="auto"/>
              </w:rPr>
            </w:pPr>
            <w:r>
              <w:rPr>
                <w:rFonts w:ascii="Arial" w:cs="Arial" w:eastAsia="Arial" w:hAnsi="Arial"/>
                <w:sz w:val="13"/>
                <w:szCs w:val="13"/>
                <w:color w:val="auto"/>
                <w:w w:val="96"/>
              </w:rPr>
              <w:t>2026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392430</wp:posOffset>
            </wp:positionV>
            <wp:extent cx="6810375" cy="6179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Debra Zumwalt</w:t>
      </w: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1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70 | DIRECTOR SINCE: 2014</w:t>
      </w:r>
    </w:p>
    <w:p>
      <w:pPr>
        <w:spacing w:after="0" w:line="42"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N&amp;CG (CHAIR), C (MEMBER), T&amp;IS (MEMBER)</w:t>
      </w:r>
    </w:p>
    <w:p>
      <w:pPr>
        <w:sectPr>
          <w:pgSz w:w="11900" w:h="16838" w:orient="portrait"/>
          <w:cols w:equalWidth="0" w:num="1">
            <w:col w:w="9059"/>
          </w:cols>
          <w:pgMar w:left="1400" w:top="118" w:right="1440" w:bottom="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45" w:lineRule="exact"/>
        <w:rPr>
          <w:sz w:val="20"/>
          <w:szCs w:val="20"/>
          <w:color w:val="auto"/>
        </w:rPr>
      </w:pPr>
    </w:p>
    <w:p>
      <w:pPr>
        <w:ind w:left="180" w:hanging="172"/>
        <w:spacing w:after="0" w:line="292" w:lineRule="auto"/>
        <w:tabs>
          <w:tab w:leader="none" w:pos="180" w:val="left"/>
        </w:tabs>
        <w:numPr>
          <w:ilvl w:val="0"/>
          <w:numId w:val="36"/>
        </w:numPr>
        <w:rPr>
          <w:rFonts w:ascii="Arial" w:cs="Arial" w:eastAsia="Arial" w:hAnsi="Arial"/>
          <w:sz w:val="14"/>
          <w:szCs w:val="14"/>
          <w:b w:val="1"/>
          <w:bCs w:val="1"/>
          <w:color w:val="6AAA37"/>
        </w:rPr>
      </w:pPr>
      <w:r>
        <w:rPr>
          <w:rFonts w:ascii="Arial" w:cs="Arial" w:eastAsia="Arial" w:hAnsi="Arial"/>
          <w:sz w:val="14"/>
          <w:szCs w:val="14"/>
          <w:color w:val="auto"/>
        </w:rPr>
        <w:t>Vice President, General Counsel, Stanford University, since 2001; Member, University Cabinet, providing governance, legal and strategic advice to the boards of the University, Stanford Health Care, Lucile Packard Children’s Hospital at Stanford, and Stanford Management Company, which manages over $30 billion in assets; Member of the board of overseers for SLAC National Accelerator Laboratory at Stanford; and Director of SUMIT Holding International, LLC, SUMIT Insurance Company Ltd. and PEAC, a holding company and insurance companies providing insurance coverage for the Stanford hospitals and physicians</w:t>
      </w:r>
    </w:p>
    <w:p>
      <w:pPr>
        <w:spacing w:after="0" w:line="24" w:lineRule="exact"/>
        <w:rPr>
          <w:rFonts w:ascii="Arial" w:cs="Arial" w:eastAsia="Arial" w:hAnsi="Arial"/>
          <w:sz w:val="14"/>
          <w:szCs w:val="14"/>
          <w:b w:val="1"/>
          <w:bCs w:val="1"/>
          <w:color w:val="6AAA37"/>
        </w:rPr>
      </w:pPr>
    </w:p>
    <w:p>
      <w:pPr>
        <w:ind w:left="180" w:right="360" w:hanging="172"/>
        <w:spacing w:after="0" w:line="295" w:lineRule="auto"/>
        <w:tabs>
          <w:tab w:leader="none" w:pos="180" w:val="left"/>
        </w:tabs>
        <w:numPr>
          <w:ilvl w:val="0"/>
          <w:numId w:val="36"/>
        </w:numPr>
        <w:rPr>
          <w:rFonts w:ascii="Arial" w:cs="Arial" w:eastAsia="Arial" w:hAnsi="Arial"/>
          <w:sz w:val="14"/>
          <w:szCs w:val="14"/>
          <w:b w:val="1"/>
          <w:bCs w:val="1"/>
          <w:color w:val="6AAA37"/>
        </w:rPr>
      </w:pPr>
      <w:r>
        <w:rPr>
          <w:rFonts w:ascii="Arial" w:cs="Arial" w:eastAsia="Arial" w:hAnsi="Arial"/>
          <w:sz w:val="14"/>
          <w:szCs w:val="14"/>
          <w:color w:val="auto"/>
        </w:rPr>
        <w:t>Pillsbury Winthrop LLP, Partner from 1993 to 2001 and served as managing partner of the Silicon Valley office and member of the firm’s governing board; served as a litigation associate prior to becoming a partner</w:t>
      </w:r>
    </w:p>
    <w:p>
      <w:pPr>
        <w:spacing w:after="0" w:line="32" w:lineRule="exact"/>
        <w:rPr>
          <w:rFonts w:ascii="Arial" w:cs="Arial" w:eastAsia="Arial" w:hAnsi="Arial"/>
          <w:sz w:val="14"/>
          <w:szCs w:val="14"/>
          <w:b w:val="1"/>
          <w:bCs w:val="1"/>
          <w:color w:val="6AAA37"/>
        </w:rPr>
      </w:pPr>
    </w:p>
    <w:p>
      <w:pPr>
        <w:ind w:left="180" w:right="300" w:hanging="172"/>
        <w:spacing w:after="0" w:line="325" w:lineRule="auto"/>
        <w:tabs>
          <w:tab w:leader="none" w:pos="180" w:val="left"/>
        </w:tabs>
        <w:numPr>
          <w:ilvl w:val="0"/>
          <w:numId w:val="36"/>
        </w:numPr>
        <w:rPr>
          <w:rFonts w:ascii="Arial" w:cs="Arial" w:eastAsia="Arial" w:hAnsi="Arial"/>
          <w:sz w:val="14"/>
          <w:szCs w:val="14"/>
          <w:b w:val="1"/>
          <w:bCs w:val="1"/>
          <w:color w:val="6AAA37"/>
        </w:rPr>
      </w:pPr>
      <w:r>
        <w:rPr>
          <w:rFonts w:ascii="Arial" w:cs="Arial" w:eastAsia="Arial" w:hAnsi="Arial"/>
          <w:sz w:val="14"/>
          <w:szCs w:val="14"/>
          <w:color w:val="auto"/>
        </w:rPr>
        <w:t>Senior University Counsel at Stanford from 1987 to 1993</w:t>
      </w:r>
    </w:p>
    <w:p>
      <w:pPr>
        <w:spacing w:after="0" w:line="9" w:lineRule="exact"/>
        <w:rPr>
          <w:rFonts w:ascii="Arial" w:cs="Arial" w:eastAsia="Arial" w:hAnsi="Arial"/>
          <w:sz w:val="14"/>
          <w:szCs w:val="14"/>
          <w:b w:val="1"/>
          <w:bCs w:val="1"/>
          <w:color w:val="6AAA37"/>
        </w:rPr>
      </w:pPr>
    </w:p>
    <w:p>
      <w:pPr>
        <w:ind w:left="180" w:right="340" w:hanging="172"/>
        <w:spacing w:after="0" w:line="325" w:lineRule="auto"/>
        <w:tabs>
          <w:tab w:leader="none" w:pos="180" w:val="left"/>
        </w:tabs>
        <w:numPr>
          <w:ilvl w:val="0"/>
          <w:numId w:val="36"/>
        </w:numPr>
        <w:rPr>
          <w:rFonts w:ascii="Arial" w:cs="Arial" w:eastAsia="Arial" w:hAnsi="Arial"/>
          <w:sz w:val="14"/>
          <w:szCs w:val="14"/>
          <w:b w:val="1"/>
          <w:bCs w:val="1"/>
          <w:color w:val="6AAA37"/>
        </w:rPr>
      </w:pPr>
      <w:r>
        <w:rPr>
          <w:rFonts w:ascii="Arial" w:cs="Arial" w:eastAsia="Arial" w:hAnsi="Arial"/>
          <w:sz w:val="14"/>
          <w:szCs w:val="14"/>
          <w:color w:val="auto"/>
        </w:rPr>
        <w:t>Former litigation counsel for Chevron Chemical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Education/Certifications:</w:t>
      </w:r>
    </w:p>
    <w:p>
      <w:pPr>
        <w:spacing w:after="0" w:line="104" w:lineRule="exact"/>
        <w:rPr>
          <w:sz w:val="20"/>
          <w:szCs w:val="20"/>
          <w:color w:val="auto"/>
        </w:rPr>
      </w:pPr>
    </w:p>
    <w:p>
      <w:pPr>
        <w:ind w:left="167" w:hanging="167"/>
        <w:spacing w:after="0"/>
        <w:tabs>
          <w:tab w:leader="none" w:pos="167" w:val="left"/>
        </w:tabs>
        <w:numPr>
          <w:ilvl w:val="0"/>
          <w:numId w:val="37"/>
        </w:numPr>
        <w:rPr>
          <w:rFonts w:ascii="Arial" w:cs="Arial" w:eastAsia="Arial" w:hAnsi="Arial"/>
          <w:sz w:val="14"/>
          <w:szCs w:val="14"/>
          <w:b w:val="1"/>
          <w:bCs w:val="1"/>
          <w:color w:val="6AAA37"/>
        </w:rPr>
      </w:pPr>
      <w:r>
        <w:rPr>
          <w:rFonts w:ascii="Arial" w:cs="Arial" w:eastAsia="Arial" w:hAnsi="Arial"/>
          <w:sz w:val="14"/>
          <w:szCs w:val="14"/>
          <w:color w:val="auto"/>
        </w:rPr>
        <w:t>J.D., Stanford Law School</w:t>
      </w:r>
    </w:p>
    <w:p>
      <w:pPr>
        <w:spacing w:after="0" w:line="82" w:lineRule="exact"/>
        <w:rPr>
          <w:rFonts w:ascii="Arial" w:cs="Arial" w:eastAsia="Arial" w:hAnsi="Arial"/>
          <w:sz w:val="14"/>
          <w:szCs w:val="14"/>
          <w:b w:val="1"/>
          <w:bCs w:val="1"/>
          <w:color w:val="6AAA37"/>
        </w:rPr>
      </w:pPr>
    </w:p>
    <w:p>
      <w:pPr>
        <w:ind w:left="167" w:right="360" w:hanging="167"/>
        <w:spacing w:after="0" w:line="345" w:lineRule="auto"/>
        <w:tabs>
          <w:tab w:leader="none" w:pos="167" w:val="left"/>
        </w:tabs>
        <w:numPr>
          <w:ilvl w:val="0"/>
          <w:numId w:val="37"/>
        </w:numPr>
        <w:rPr>
          <w:rFonts w:ascii="Arial" w:cs="Arial" w:eastAsia="Arial" w:hAnsi="Arial"/>
          <w:sz w:val="14"/>
          <w:szCs w:val="14"/>
          <w:b w:val="1"/>
          <w:bCs w:val="1"/>
          <w:color w:val="6AAA37"/>
        </w:rPr>
      </w:pPr>
      <w:r>
        <w:rPr>
          <w:rFonts w:ascii="Arial" w:cs="Arial" w:eastAsia="Arial" w:hAnsi="Arial"/>
          <w:sz w:val="14"/>
          <w:szCs w:val="14"/>
          <w:color w:val="auto"/>
        </w:rPr>
        <w:t>B.S., Political Science, Arizona State University</w:t>
      </w:r>
    </w:p>
    <w:p>
      <w:pPr>
        <w:spacing w:after="0" w:line="18" w:lineRule="exact"/>
        <w:rPr>
          <w:sz w:val="20"/>
          <w:szCs w:val="20"/>
          <w:color w:val="auto"/>
        </w:rPr>
      </w:pPr>
    </w:p>
    <w:p>
      <w:pPr>
        <w:ind w:left="7" w:right="460"/>
        <w:spacing w:after="0" w:line="296" w:lineRule="auto"/>
        <w:rPr>
          <w:sz w:val="20"/>
          <w:szCs w:val="20"/>
          <w:color w:val="auto"/>
        </w:rPr>
      </w:pPr>
      <w:r>
        <w:rPr>
          <w:rFonts w:ascii="Arial" w:cs="Arial" w:eastAsia="Arial" w:hAnsi="Arial"/>
          <w:sz w:val="16"/>
          <w:szCs w:val="16"/>
          <w:b w:val="1"/>
          <w:bCs w:val="1"/>
          <w:color w:val="00558C"/>
        </w:rPr>
        <w:t>Current Public Company Board Service:</w:t>
      </w:r>
    </w:p>
    <w:p>
      <w:pPr>
        <w:spacing w:after="0" w:line="24" w:lineRule="exact"/>
        <w:rPr>
          <w:sz w:val="20"/>
          <w:szCs w:val="20"/>
          <w:color w:val="auto"/>
        </w:rPr>
      </w:pPr>
    </w:p>
    <w:p>
      <w:pPr>
        <w:ind w:left="167" w:right="260" w:hanging="167"/>
        <w:spacing w:after="0" w:line="332" w:lineRule="auto"/>
        <w:tabs>
          <w:tab w:leader="none" w:pos="167" w:val="left"/>
        </w:tabs>
        <w:numPr>
          <w:ilvl w:val="0"/>
          <w:numId w:val="38"/>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2014</w:t>
      </w:r>
    </w:p>
    <w:p>
      <w:pPr>
        <w:ind w:left="167" w:right="60" w:hanging="167"/>
        <w:spacing w:after="0" w:line="302" w:lineRule="auto"/>
        <w:tabs>
          <w:tab w:leader="none" w:pos="167" w:val="left"/>
        </w:tabs>
        <w:numPr>
          <w:ilvl w:val="0"/>
          <w:numId w:val="38"/>
        </w:numPr>
        <w:rPr>
          <w:rFonts w:ascii="Arial" w:cs="Arial" w:eastAsia="Arial" w:hAnsi="Arial"/>
          <w:sz w:val="14"/>
          <w:szCs w:val="14"/>
          <w:b w:val="1"/>
          <w:bCs w:val="1"/>
          <w:color w:val="6AAA37"/>
        </w:rPr>
      </w:pPr>
      <w:r>
        <w:rPr>
          <w:rFonts w:ascii="Arial" w:cs="Arial" w:eastAsia="Arial" w:hAnsi="Arial"/>
          <w:sz w:val="14"/>
          <w:szCs w:val="14"/>
          <w:color w:val="auto"/>
        </w:rPr>
        <w:t>Exponent, Inc., director, since 2014; chair of human resources committee and member of audit and nominating and governance committees</w:t>
      </w:r>
    </w:p>
    <w:p>
      <w:pPr>
        <w:spacing w:after="0" w:line="49" w:lineRule="exact"/>
        <w:rPr>
          <w:sz w:val="20"/>
          <w:szCs w:val="20"/>
          <w:color w:val="auto"/>
        </w:rPr>
      </w:pPr>
    </w:p>
    <w:p>
      <w:pPr>
        <w:ind w:left="7" w:right="740"/>
        <w:spacing w:after="0" w:line="314"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9" w:lineRule="exact"/>
        <w:rPr>
          <w:sz w:val="20"/>
          <w:szCs w:val="20"/>
          <w:color w:val="auto"/>
        </w:rPr>
      </w:pPr>
    </w:p>
    <w:p>
      <w:pPr>
        <w:ind w:left="167" w:hanging="167"/>
        <w:spacing w:after="0" w:line="325" w:lineRule="auto"/>
        <w:tabs>
          <w:tab w:leader="none" w:pos="167"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American University of Afghanistan, Board of Trustees, since 2007</w:t>
      </w:r>
    </w:p>
    <w:p>
      <w:pPr>
        <w:spacing w:after="0" w:line="9" w:lineRule="exact"/>
        <w:rPr>
          <w:rFonts w:ascii="Arial" w:cs="Arial" w:eastAsia="Arial" w:hAnsi="Arial"/>
          <w:sz w:val="14"/>
          <w:szCs w:val="14"/>
          <w:b w:val="1"/>
          <w:bCs w:val="1"/>
          <w:color w:val="6AAA37"/>
        </w:rPr>
      </w:pPr>
    </w:p>
    <w:p>
      <w:pPr>
        <w:ind w:left="167" w:right="160" w:hanging="167"/>
        <w:spacing w:after="0" w:line="303" w:lineRule="auto"/>
        <w:tabs>
          <w:tab w:leader="none" w:pos="167"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Ms. Zumwalt previously served on other nonprofit boards in education and legal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2"/>
          <w:szCs w:val="12"/>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646" w:lineRule="exact"/>
        <w:rPr>
          <w:sz w:val="20"/>
          <w:szCs w:val="20"/>
          <w:color w:val="auto"/>
        </w:rPr>
      </w:pPr>
    </w:p>
    <w:p>
      <w:pPr>
        <w:sectPr>
          <w:pgSz w:w="11900" w:h="16838" w:orient="portrait"/>
          <w:cols w:equalWidth="0" w:num="3">
            <w:col w:w="2860" w:space="253"/>
            <w:col w:w="2867" w:space="500"/>
            <w:col w:w="2579"/>
          </w:cols>
          <w:pgMar w:left="1400" w:top="118" w:right="1440" w:bottom="3" w:gutter="0" w:footer="0" w:header="0"/>
          <w:type w:val="continuous"/>
        </w:sectPr>
      </w:pPr>
    </w:p>
    <w:p>
      <w:pPr>
        <w:ind w:left="6480"/>
        <w:spacing w:after="0"/>
        <w:rPr>
          <w:sz w:val="20"/>
          <w:szCs w:val="20"/>
          <w:color w:val="auto"/>
        </w:rPr>
      </w:pPr>
      <w:r>
        <w:rPr>
          <w:rFonts w:ascii="Arial" w:cs="Arial" w:eastAsia="Arial" w:hAnsi="Arial"/>
          <w:sz w:val="12"/>
          <w:szCs w:val="12"/>
          <w:b w:val="1"/>
          <w:bCs w:val="1"/>
          <w:color w:val="6AAA37"/>
        </w:rPr>
        <w:t>HEALTHCARE</w:t>
      </w:r>
    </w:p>
    <w:p>
      <w:pPr>
        <w:sectPr>
          <w:pgSz w:w="11900" w:h="16838" w:orient="portrait"/>
          <w:cols w:equalWidth="0" w:num="1">
            <w:col w:w="9059"/>
          </w:cols>
          <w:pgMar w:left="1400" w:top="118" w:right="1440" w:bottom="3" w:gutter="0" w:footer="0" w:header="0"/>
          <w:type w:val="continuous"/>
        </w:sectPr>
      </w:pPr>
    </w:p>
    <w:bookmarkStart w:id="21" w:name="page22"/>
    <w:bookmarkEnd w:id="21"/>
    <w:p>
      <w:pPr>
        <w:ind w:left="6480"/>
        <w:spacing w:after="0"/>
        <w:rPr>
          <w:sz w:val="20"/>
          <w:szCs w:val="20"/>
          <w:color w:val="auto"/>
        </w:rPr>
      </w:pPr>
      <w:r>
        <w:rPr>
          <w:rFonts w:ascii="Arial" w:cs="Arial" w:eastAsia="Arial" w:hAnsi="Arial"/>
          <w:sz w:val="13"/>
          <w:szCs w:val="13"/>
          <w:b w:val="1"/>
          <w:bCs w:val="1"/>
          <w:color w:val="6AAA37"/>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676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2676525"/>
                    </a:xfrm>
                    <a:prstGeom prst="rect">
                      <a:avLst/>
                    </a:prstGeom>
                    <a:noFill/>
                  </pic:spPr>
                </pic:pic>
              </a:graphicData>
            </a:graphic>
          </wp:anchor>
        </w:drawing>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80"/>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31" w:lineRule="exact"/>
        <w:rPr>
          <w:sz w:val="20"/>
          <w:szCs w:val="20"/>
          <w:color w:val="auto"/>
        </w:rPr>
      </w:pPr>
    </w:p>
    <w:p>
      <w:pPr>
        <w:jc w:val="both"/>
        <w:ind w:right="40"/>
        <w:spacing w:after="0" w:line="295" w:lineRule="auto"/>
        <w:rPr>
          <w:sz w:val="20"/>
          <w:szCs w:val="20"/>
          <w:color w:val="auto"/>
        </w:rPr>
      </w:pPr>
      <w:r>
        <w:rPr>
          <w:rFonts w:ascii="Arial" w:cs="Arial" w:eastAsia="Arial" w:hAnsi="Arial"/>
          <w:sz w:val="14"/>
          <w:szCs w:val="14"/>
          <w:color w:val="auto"/>
        </w:rPr>
        <w:t>Given the many roles she serves in connection with her position as chief legal officer of a university with three affiliated hospitals including the legal services provided to the University and its affiliated hospitals with combined annual revenues of over $18 billion, Ms. Zumwalt is uniquely qualified to share with the board her experience with navigating the challenges faced by both higher education and healthcare organizations.</w:t>
      </w:r>
    </w:p>
    <w:p>
      <w:pPr>
        <w:ind w:right="620"/>
        <w:spacing w:after="0" w:line="325" w:lineRule="auto"/>
        <w:rPr>
          <w:sz w:val="20"/>
          <w:szCs w:val="20"/>
          <w:color w:val="auto"/>
        </w:rPr>
      </w:pPr>
      <w:r>
        <w:rPr>
          <w:rFonts w:ascii="Arial" w:cs="Arial" w:eastAsia="Arial" w:hAnsi="Arial"/>
          <w:sz w:val="14"/>
          <w:szCs w:val="14"/>
          <w:color w:val="auto"/>
        </w:rPr>
        <w:t>Ms. Zumwalt also contributes to the board a perspective on the law and governance through her background as a former partner of a prominent law firm and her current membership on the boards of corporate and academic organizations.</w:t>
      </w: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02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3360" w:type="dxa"/>
            <w:vAlign w:val="bottom"/>
          </w:tcPr>
          <w:p>
            <w:pPr>
              <w:jc w:val="right"/>
              <w:ind w:right="1757"/>
              <w:spacing w:after="0"/>
              <w:rPr>
                <w:sz w:val="20"/>
                <w:szCs w:val="20"/>
                <w:color w:val="auto"/>
              </w:rPr>
            </w:pPr>
            <w:r>
              <w:rPr>
                <w:rFonts w:ascii="Arial" w:cs="Arial" w:eastAsia="Arial" w:hAnsi="Arial"/>
                <w:sz w:val="13"/>
                <w:szCs w:val="13"/>
                <w:b w:val="1"/>
                <w:bCs w:val="1"/>
                <w:color w:val="00558C"/>
              </w:rPr>
              <w:t>13</w:t>
            </w:r>
          </w:p>
        </w:tc>
        <w:tc>
          <w:tcPr>
            <w:tcW w:w="2600" w:type="dxa"/>
            <w:vAlign w:val="bottom"/>
            <w:gridSpan w:val="2"/>
          </w:tcPr>
          <w:p>
            <w:pPr>
              <w:ind w:left="1340"/>
              <w:spacing w:after="0"/>
              <w:rPr>
                <w:sz w:val="20"/>
                <w:szCs w:val="20"/>
                <w:color w:val="auto"/>
              </w:rPr>
            </w:pPr>
            <w:r>
              <w:rPr>
                <w:rFonts w:ascii="Arial" w:cs="Arial" w:eastAsia="Arial" w:hAnsi="Arial"/>
                <w:sz w:val="13"/>
                <w:szCs w:val="13"/>
                <w:color w:val="auto"/>
                <w:w w:val="96"/>
              </w:rPr>
              <w:t>2026 Proxy Statement</w:t>
            </w:r>
          </w:p>
        </w:tc>
      </w:tr>
      <w:tr>
        <w:trPr>
          <w:trHeight w:val="20"/>
        </w:trPr>
        <w:tc>
          <w:tcPr>
            <w:tcW w:w="3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20" w:type="dxa"/>
            <w:vAlign w:val="bottom"/>
            <w:shd w:val="clear" w:color="auto" w:fill="B2B3B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383540</wp:posOffset>
            </wp:positionV>
            <wp:extent cx="6810375" cy="775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7757160"/>
                    </a:xfrm>
                    <a:prstGeom prst="rect">
                      <a:avLst/>
                    </a:prstGeom>
                    <a:noFill/>
                  </pic:spPr>
                </pic:pic>
              </a:graphicData>
            </a:graphic>
          </wp:anchor>
        </w:drawing>
      </w:r>
    </w:p>
    <w:p>
      <w:pPr>
        <w:sectPr>
          <w:pgSz w:w="11900" w:h="16838" w:orient="portrait"/>
          <w:cols w:equalWidth="0" w:num="1">
            <w:col w:w="9080"/>
          </w:cols>
          <w:pgMar w:left="1400" w:top="35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 xml:space="preserve">General </w:t>
      </w:r>
      <w:r>
        <w:rPr>
          <w:rFonts w:ascii="Arial" w:cs="Arial" w:eastAsia="Arial" w:hAnsi="Arial"/>
          <w:sz w:val="13"/>
          <w:szCs w:val="13"/>
          <w:b w:val="1"/>
          <w:bCs w:val="1"/>
          <w:color w:val="6AAA37"/>
        </w:rPr>
        <w:t>Proposal</w:t>
      </w:r>
      <w:r>
        <w:rPr>
          <w:rFonts w:ascii="Arial" w:cs="Arial" w:eastAsia="Arial" w:hAnsi="Arial"/>
          <w:sz w:val="13"/>
          <w:szCs w:val="13"/>
          <w:b w:val="1"/>
          <w:bCs w:val="1"/>
          <w:color w:val="B2B3B6"/>
        </w:rPr>
        <w:t xml:space="preserve"> Information </w:t>
      </w:r>
      <w:r>
        <w:rPr>
          <w:rFonts w:ascii="Arial" w:cs="Arial" w:eastAsia="Arial" w:hAnsi="Arial"/>
          <w:sz w:val="13"/>
          <w:szCs w:val="13"/>
          <w:b w:val="1"/>
          <w:bCs w:val="1"/>
          <w:color w:val="6AAA37"/>
        </w:rPr>
        <w: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Stockholder Three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Other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Matters</w:t>
      </w:r>
    </w:p>
    <w:p>
      <w:pPr>
        <w:spacing w:after="0" w:line="242" w:lineRule="exact"/>
        <w:rPr>
          <w:sz w:val="20"/>
          <w:szCs w:val="20"/>
          <w:color w:val="auto"/>
        </w:rPr>
      </w:pPr>
    </w:p>
    <w:p>
      <w:pPr>
        <w:sectPr>
          <w:pgSz w:w="11900" w:h="16838" w:orient="portrait"/>
          <w:cols w:equalWidth="0" w:num="4">
            <w:col w:w="1600" w:space="300"/>
            <w:col w:w="2700" w:space="320"/>
            <w:col w:w="1540" w:space="320"/>
            <w:col w:w="2300"/>
          </w:cols>
          <w:pgMar w:left="1400" w:top="351" w:right="141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Director Independence</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board makes an annual determination regarding the independence of each of our directors. The board also makes this determination for new director nominees. The board has determined that each of Ms. Brown, Mr. Lockhart, Mr. Markell, Mr. McCartney, Mr. Sawyer, Ms. Singh-Bushell and Ms. Zumwalt is “independent” as defined in the applicable listing standards of The Nasdaq Stock Market Inc. (“Nasdaq”). In making its determination, the board considered the standards of independence set forth in the Nasdaq Corporate Governance Listing Standards and all relevant facts and circumstances to ascertain whether there was any relationship between a director and the Company that, in the opinion of the board,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Mr. Markell and Ms. Brown are independent, the board conducted a thorough review of payments made to the Company for consulting services performed by the Company by Stanford University, which employs Ms. Zumwalt, by Brown University Health formerly LifeSpan Health System, which employs Mr. Markell, and by Boston Medical Center Health System, which employs Ms. Brown. After taking into consideration that revenues during the prior three fiscal years from: Stanford University comprised less than 0.18% of Huron’s annual revenues; Brown University Health comprised less than 0.06% of Huron’s annual revenues; and Boston Medical Center Health System comprised of less than 0.06% of Huron’s annual revenues, the board determined that these relationships would not interfere with the exercise of independent judgment in fulfilling their responsibilities as a director by Ms. Zumwalt, Mr. Markell or Ms. Brown.</w:t>
      </w:r>
    </w:p>
    <w:p>
      <w:pPr>
        <w:sectPr>
          <w:pgSz w:w="11900" w:h="16838" w:orient="portrait"/>
          <w:cols w:equalWidth="0" w:num="1">
            <w:col w:w="9080"/>
          </w:cols>
          <w:pgMar w:left="1400" w:top="351" w:right="1419" w:bottom="1440" w:gutter="0" w:footer="0" w:header="0"/>
          <w:type w:val="continuous"/>
        </w:sectPr>
      </w:pPr>
    </w:p>
    <w:bookmarkStart w:id="22" w:name="page23"/>
    <w:bookmarkEnd w:id="22"/>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99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1099185"/>
                    </a:xfrm>
                    <a:prstGeom prst="rect">
                      <a:avLst/>
                    </a:prstGeom>
                    <a:noFill/>
                  </pic:spPr>
                </pic:pic>
              </a:graphicData>
            </a:graphic>
          </wp:anchor>
        </w:drawing>
      </w: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14</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67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54"/>
          <w:szCs w:val="54"/>
          <w:color w:val="00558C"/>
        </w:rPr>
        <w:t>Corporate Governance</w:t>
      </w:r>
    </w:p>
    <w:p>
      <w:pPr>
        <w:spacing w:after="0" w:line="117" w:lineRule="exact"/>
        <w:rPr>
          <w:sz w:val="20"/>
          <w:szCs w:val="20"/>
          <w:color w:val="auto"/>
        </w:rPr>
      </w:pPr>
    </w:p>
    <w:p>
      <w:pPr>
        <w:ind w:right="3340"/>
        <w:spacing w:after="0" w:line="298" w:lineRule="auto"/>
        <w:rPr>
          <w:sz w:val="20"/>
          <w:szCs w:val="20"/>
          <w:color w:val="auto"/>
        </w:rPr>
      </w:pPr>
      <w:r>
        <w:rPr>
          <w:rFonts w:ascii="Arial" w:cs="Arial" w:eastAsia="Arial" w:hAnsi="Arial"/>
          <w:sz w:val="29"/>
          <w:szCs w:val="29"/>
          <w:b w:val="1"/>
          <w:bCs w:val="1"/>
          <w:color w:val="B2B3B6"/>
        </w:rPr>
        <w:t>Board Composition, Leadership Structure and Risk Oversight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Composition</w:t>
      </w:r>
    </w:p>
    <w:p>
      <w:pPr>
        <w:spacing w:after="0" w:line="15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Nominating and Corporate Governance Committee, in coordination with the non-executive chairman of the board and the full board, regularly evaluates the future composition of the board in light of the age, tenure, experience and capabilities of its current members. The board’s periodic board refreshment process is intended to provide the board with the best mix of knowledge, skills, industry expertise and business acumen, derived from high quality professional experience, to evaluate and support the Company’s strategy going forward. The Nominating and Corporate Governance Committee believes that its nominated directors have extensive experience leading and managing professional service businesses or relevant industry or individual expertise which provides significant insight into the Company and its operations and provides valuable contributions to the board and our management team. The Nominating and Corporate Governance Committee also recognizes the potential benefits of the fresh perspectives that highly qualified new directors may bring to the board as well as the benefits of increased innovation and creativity that may be fostered by greater range of thought and experience on the board.</w:t>
      </w:r>
    </w:p>
    <w:p>
      <w:pPr>
        <w:spacing w:after="0" w:line="11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conjunction with periodic board refreshment, the board has considered certain other governance matters which are of potential concern to some stockholders. The board recognizes that Mr. McCartney and Mr. Lockhart are relatively long-tenured directors, having served 21 years and 19 years on the board, respectively. The Nominating and Governance Committee and the full board have reviewed this matter with specific regard to whether their length of service impacts their independence. It is the full board’s considered judgment that both Mr. McCartney’s and Mr. Lockhart’s independence has not been compromised by their tenure. The board also believes that both directors provide valuable institutional knowledge and significant insight to the Company, garnered through their extensive and relevant experience as active advisors and current board members of other high-growth companies. Effective January 1, 2025, Mr. McCartney stepped down as non-executive chairman of the board, and the board appointed Hugh E. Sawyer to succeed Mr. McCartney as non-executive chairman. The transition reinforces the company’s commitment to its periodic board refreshment process. The board also recognizes that it has added three new directors since 2022 each of whom provide new perspectives on the firm’s strategy and operations.</w:t>
      </w:r>
    </w:p>
    <w:p>
      <w:pPr>
        <w:spacing w:after="0" w:line="11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Nominating and Corporate Governance Committee will continue to consider a variety of factors as it works to enhance the composition of the board, reduce average tenure and facilitate structured and orderly board succession through a process of board member resignations, retirements and additions. As a result, during the next several years, the board may periodically expand or contract as part of its periodic refreshment process. It is the expressed desire of the board that it continue to remain relatively small in number and composed principally of non-executive independent directors.</w:t>
      </w:r>
    </w:p>
    <w:p>
      <w:pPr>
        <w:spacing w:after="0" w:line="10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15</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84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384810"/>
                    </a:xfrm>
                    <a:prstGeom prst="rect">
                      <a:avLst/>
                    </a:prstGeom>
                    <a:noFill/>
                  </pic:spPr>
                </pic:pic>
              </a:graphicData>
            </a:graphic>
          </wp:anchor>
        </w:drawing>
      </w:r>
    </w:p>
    <w:p>
      <w:pPr>
        <w:sectPr>
          <w:pgSz w:w="11900" w:h="16901" w:orient="portrait"/>
          <w:cols w:equalWidth="0" w:num="1">
            <w:col w:w="9080"/>
          </w:cols>
          <w:pgMar w:left="1400" w:top="1188"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ectPr>
          <w:pgSz w:w="11900" w:h="16901" w:orient="portrait"/>
          <w:cols w:equalWidth="0" w:num="1">
            <w:col w:w="9080"/>
          </w:cols>
          <w:pgMar w:left="1400" w:top="1188" w:right="1419" w:bottom="0" w:gutter="0" w:footer="0" w:header="0"/>
          <w:type w:val="continuous"/>
        </w:sectPr>
      </w:pPr>
    </w:p>
    <w:bookmarkStart w:id="23" w:name="page24"/>
    <w:bookmarkEnd w:id="23"/>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-82550</wp:posOffset>
            </wp:positionV>
            <wp:extent cx="6810375" cy="8471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847153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Leadership</w:t>
      </w:r>
    </w:p>
    <w:p>
      <w:pPr>
        <w:spacing w:after="0" w:line="1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Hugh E. Sawyer, our executive vice chairman, client services is James H. Roth, and our chief executive officer and president is C. Mark Hussey. As non-executive chairman, Mr. Sawyer, in consultation with Mr. Hussey,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and its stockholders. Mr. Sawyer also chairs executive sessions of the board.</w:t>
      </w:r>
    </w:p>
    <w:p>
      <w:pPr>
        <w:spacing w:after="0" w:line="318"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16</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19621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Risk Oversight</w:t>
      </w:r>
    </w:p>
    <w:p>
      <w:pPr>
        <w:sectPr>
          <w:pgSz w:w="11900" w:h="16838" w:orient="portrait"/>
          <w:cols w:equalWidth="0" w:num="1">
            <w:col w:w="9080"/>
          </w:cols>
          <w:pgMar w:left="1400" w:top="121" w:right="1419" w:bottom="477" w:gutter="0" w:footer="0" w:header="0"/>
        </w:sectPr>
      </w:pPr>
    </w:p>
    <w:p>
      <w:pPr>
        <w:spacing w:after="0" w:line="139"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ectPr>
          <w:pgSz w:w="11900" w:h="16838" w:orient="portrait"/>
          <w:cols w:equalWidth="0" w:num="1">
            <w:col w:w="9080"/>
          </w:cols>
          <w:pgMar w:left="1400" w:top="121" w:right="1419" w:bottom="477" w:gutter="0" w:footer="0" w:header="0"/>
          <w:type w:val="continuous"/>
        </w:sectPr>
      </w:pPr>
    </w:p>
    <w:bookmarkStart w:id="24" w:name="page25"/>
    <w:bookmarkEnd w:id="24"/>
    <w:p>
      <w:pPr>
        <w:ind w:left="360"/>
        <w:spacing w:after="0"/>
        <w:rPr>
          <w:sz w:val="20"/>
          <w:szCs w:val="20"/>
          <w:color w:val="auto"/>
        </w:rPr>
      </w:pPr>
      <w:r>
        <w:rPr>
          <w:rFonts w:ascii="Arial" w:cs="Arial" w:eastAsia="Arial" w:hAnsi="Arial"/>
          <w:sz w:val="12"/>
          <w:szCs w:val="12"/>
          <w:b w:val="1"/>
          <w:bCs w:val="1"/>
          <w:color w:val="00558C"/>
        </w:rPr>
        <w:t>AUDIT COMMITTEE</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22"/>
          <w:szCs w:val="22"/>
          <w:color w:val="FFFFFF"/>
        </w:rPr>
        <w:t>Board of Directors</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1"/>
          <w:szCs w:val="11"/>
          <w:b w:val="1"/>
          <w:bCs w:val="1"/>
          <w:color w:val="FFFFFF"/>
        </w:rPr>
        <w:t>CHAIR: MR. PETER K. MARKELL</w:t>
      </w:r>
    </w:p>
    <w:p>
      <w:pPr>
        <w:spacing w:after="0" w:line="130" w:lineRule="exact"/>
        <w:rPr>
          <w:sz w:val="20"/>
          <w:szCs w:val="20"/>
          <w:color w:val="auto"/>
        </w:rPr>
      </w:pPr>
    </w:p>
    <w:p>
      <w:pPr>
        <w:ind w:left="360"/>
        <w:spacing w:after="0" w:line="296" w:lineRule="auto"/>
        <w:rPr>
          <w:sz w:val="20"/>
          <w:szCs w:val="20"/>
          <w:color w:val="auto"/>
        </w:rPr>
      </w:pPr>
      <w:r>
        <w:rPr>
          <w:rFonts w:ascii="Arial" w:cs="Arial" w:eastAsia="Arial" w:hAnsi="Arial"/>
          <w:sz w:val="11"/>
          <w:szCs w:val="11"/>
          <w:b w:val="1"/>
          <w:bCs w:val="1"/>
          <w:color w:val="FFFFFF"/>
        </w:rPr>
        <w:t>MEMBERS: MR. LOCKHART, MR. MCCARTNEY AND MR. SAWYER</w:t>
      </w:r>
    </w:p>
    <w:p>
      <w:pPr>
        <w:spacing w:after="0" w:line="200" w:lineRule="exact"/>
        <w:rPr>
          <w:sz w:val="20"/>
          <w:szCs w:val="20"/>
          <w:color w:val="auto"/>
        </w:rPr>
      </w:pPr>
    </w:p>
    <w:p>
      <w:pPr>
        <w:spacing w:after="0" w:line="328"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558C"/>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00"/>
        <w:spacing w:after="0"/>
        <w:rPr>
          <w:sz w:val="20"/>
          <w:szCs w:val="20"/>
          <w:color w:val="auto"/>
        </w:rPr>
      </w:pPr>
      <w:r>
        <w:rPr>
          <w:rFonts w:ascii="Arial" w:cs="Arial" w:eastAsia="Arial" w:hAnsi="Arial"/>
          <w:sz w:val="11"/>
          <w:szCs w:val="11"/>
          <w:b w:val="1"/>
          <w:bCs w:val="1"/>
          <w:color w:val="FFFFFF"/>
        </w:rPr>
        <w:t>CHAIR: MS. EKTA SINGH-BUSHELL</w:t>
      </w:r>
    </w:p>
    <w:p>
      <w:pPr>
        <w:spacing w:after="0" w:line="90" w:lineRule="exact"/>
        <w:rPr>
          <w:sz w:val="20"/>
          <w:szCs w:val="20"/>
          <w:color w:val="auto"/>
        </w:rPr>
      </w:pPr>
    </w:p>
    <w:p>
      <w:pPr>
        <w:ind w:left="360" w:right="260"/>
        <w:spacing w:after="0" w:line="296" w:lineRule="auto"/>
        <w:rPr>
          <w:sz w:val="20"/>
          <w:szCs w:val="20"/>
          <w:color w:val="auto"/>
        </w:rPr>
      </w:pPr>
      <w:r>
        <w:rPr>
          <w:rFonts w:ascii="Arial" w:cs="Arial" w:eastAsia="Arial" w:hAnsi="Arial"/>
          <w:sz w:val="11"/>
          <w:szCs w:val="11"/>
          <w:b w:val="1"/>
          <w:bCs w:val="1"/>
          <w:color w:val="FFFFFF"/>
        </w:rPr>
        <w:t>MEMBERS: MS. BROWN, MR. LOCKHART AND MS. ZUMWALT</w:t>
      </w:r>
    </w:p>
    <w:p>
      <w:pPr>
        <w:spacing w:after="0" w:line="200" w:lineRule="exact"/>
        <w:rPr>
          <w:sz w:val="20"/>
          <w:szCs w:val="20"/>
          <w:color w:val="auto"/>
        </w:rPr>
      </w:pPr>
    </w:p>
    <w:p>
      <w:pPr>
        <w:spacing w:after="0" w:line="34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558C"/>
        </w:rPr>
        <w:t>NOMINATING &amp; CORPORATE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558C"/>
        </w:rPr>
        <w:t>GOVERNANCE COMMITTEE</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1"/>
          <w:szCs w:val="11"/>
          <w:b w:val="1"/>
          <w:bCs w:val="1"/>
          <w:color w:val="FFFFFF"/>
        </w:rPr>
        <w:t>CHAIR: MS. DEBRA ZUMWALT</w:t>
      </w:r>
    </w:p>
    <w:p>
      <w:pPr>
        <w:spacing w:after="0" w:line="90" w:lineRule="exact"/>
        <w:rPr>
          <w:sz w:val="20"/>
          <w:szCs w:val="20"/>
          <w:color w:val="auto"/>
        </w:rPr>
      </w:pPr>
    </w:p>
    <w:p>
      <w:pPr>
        <w:ind w:left="360" w:right="60"/>
        <w:spacing w:after="0" w:line="322" w:lineRule="auto"/>
        <w:rPr>
          <w:sz w:val="20"/>
          <w:szCs w:val="20"/>
          <w:color w:val="auto"/>
        </w:rPr>
      </w:pPr>
      <w:r>
        <w:rPr>
          <w:rFonts w:ascii="Arial" w:cs="Arial" w:eastAsia="Arial" w:hAnsi="Arial"/>
          <w:sz w:val="11"/>
          <w:szCs w:val="11"/>
          <w:b w:val="1"/>
          <w:bCs w:val="1"/>
          <w:color w:val="FFFFFF"/>
        </w:rPr>
        <w:t>MEMBERS: MR. MARKELL, MR. MCCARTNEY AND MR. SAWYER</w:t>
      </w:r>
    </w:p>
    <w:p>
      <w:pPr>
        <w:spacing w:after="0" w:line="258" w:lineRule="exact"/>
        <w:rPr>
          <w:sz w:val="20"/>
          <w:szCs w:val="20"/>
          <w:color w:val="auto"/>
        </w:rPr>
      </w:pPr>
    </w:p>
    <w:p>
      <w:pPr>
        <w:ind w:left="360"/>
        <w:spacing w:after="0" w:line="272" w:lineRule="auto"/>
        <w:rPr>
          <w:sz w:val="20"/>
          <w:szCs w:val="20"/>
          <w:color w:val="auto"/>
        </w:rPr>
      </w:pPr>
      <w:r>
        <w:rPr>
          <w:rFonts w:ascii="Arial" w:cs="Arial" w:eastAsia="Arial" w:hAnsi="Arial"/>
          <w:sz w:val="12"/>
          <w:szCs w:val="12"/>
          <w:b w:val="1"/>
          <w:bCs w:val="1"/>
          <w:color w:val="00558C"/>
        </w:rPr>
        <w:t>TECHNOLOGY &amp; INFORMATION SECURITY COMMITTEE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FFFFFF"/>
        </w:rPr>
        <w:t>CHAIR: MS. JOY T. BROWN</w:t>
      </w:r>
    </w:p>
    <w:p>
      <w:pPr>
        <w:spacing w:after="0" w:line="144" w:lineRule="exact"/>
        <w:rPr>
          <w:sz w:val="20"/>
          <w:szCs w:val="20"/>
          <w:color w:val="auto"/>
        </w:rPr>
      </w:pPr>
    </w:p>
    <w:p>
      <w:pPr>
        <w:ind w:left="360" w:right="380"/>
        <w:spacing w:after="0" w:line="322" w:lineRule="auto"/>
        <w:rPr>
          <w:sz w:val="20"/>
          <w:szCs w:val="20"/>
          <w:color w:val="auto"/>
        </w:rPr>
      </w:pPr>
      <w:r>
        <w:rPr>
          <w:rFonts w:ascii="Arial" w:cs="Arial" w:eastAsia="Arial" w:hAnsi="Arial"/>
          <w:sz w:val="11"/>
          <w:szCs w:val="11"/>
          <w:b w:val="1"/>
          <w:bCs w:val="1"/>
          <w:color w:val="FFFFFF"/>
        </w:rPr>
        <w:t>MEMBERS: MR. MARKELL, MS. SINGH-BUSHELL AND MS. ZUMWALT</w:t>
      </w:r>
    </w:p>
    <w:p>
      <w:pPr>
        <w:spacing w:after="0" w:line="200" w:lineRule="exact"/>
        <w:rPr>
          <w:sz w:val="20"/>
          <w:szCs w:val="20"/>
          <w:color w:val="auto"/>
        </w:rPr>
      </w:pPr>
    </w:p>
    <w:p>
      <w:pPr>
        <w:spacing w:after="0" w:line="382" w:lineRule="exact"/>
        <w:rPr>
          <w:sz w:val="20"/>
          <w:szCs w:val="20"/>
          <w:color w:val="auto"/>
        </w:rPr>
      </w:pPr>
    </w:p>
    <w:p>
      <w:pPr>
        <w:ind w:left="360" w:right="460"/>
        <w:spacing w:after="0" w:line="296" w:lineRule="auto"/>
        <w:rPr>
          <w:sz w:val="20"/>
          <w:szCs w:val="20"/>
          <w:color w:val="auto"/>
        </w:rPr>
      </w:pPr>
      <w:r>
        <w:rPr>
          <w:rFonts w:ascii="Arial" w:cs="Arial" w:eastAsia="Arial" w:hAnsi="Arial"/>
          <w:sz w:val="12"/>
          <w:szCs w:val="12"/>
          <w:b w:val="1"/>
          <w:bCs w:val="1"/>
          <w:color w:val="00558C"/>
        </w:rPr>
        <w:t>FINANCE &amp; CAPITAL ALLOCATION COMMITTEE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FFFFFF"/>
        </w:rPr>
        <w:t>CHAIR: MR. H. EUGENE LOCKHART</w:t>
      </w:r>
    </w:p>
    <w:p>
      <w:pPr>
        <w:spacing w:after="0" w:line="130" w:lineRule="exact"/>
        <w:rPr>
          <w:sz w:val="20"/>
          <w:szCs w:val="20"/>
          <w:color w:val="auto"/>
        </w:rPr>
      </w:pPr>
    </w:p>
    <w:p>
      <w:pPr>
        <w:ind w:left="360" w:right="140"/>
        <w:spacing w:after="0" w:line="296" w:lineRule="auto"/>
        <w:rPr>
          <w:sz w:val="20"/>
          <w:szCs w:val="20"/>
          <w:color w:val="auto"/>
        </w:rPr>
      </w:pPr>
      <w:r>
        <w:rPr>
          <w:rFonts w:ascii="Arial" w:cs="Arial" w:eastAsia="Arial" w:hAnsi="Arial"/>
          <w:sz w:val="11"/>
          <w:szCs w:val="11"/>
          <w:b w:val="1"/>
          <w:bCs w:val="1"/>
          <w:color w:val="FFFFFF"/>
        </w:rPr>
        <w:t>MEMBERS: MS. BROWN, MR. SAWYER AND MS. SINGH-BUSHELL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80"/>
        <w:spacing w:after="0" w:line="228" w:lineRule="auto"/>
        <w:rPr>
          <w:sz w:val="20"/>
          <w:szCs w:val="20"/>
          <w:color w:val="auto"/>
        </w:rPr>
      </w:pPr>
      <w:r>
        <w:rPr>
          <w:rFonts w:ascii="Arial" w:cs="Arial" w:eastAsia="Arial" w:hAnsi="Arial"/>
          <w:sz w:val="6"/>
          <w:szCs w:val="6"/>
          <w:b w:val="1"/>
          <w:bCs w:val="1"/>
          <w:color w:val="6AAA37"/>
        </w:rPr>
        <w:t xml:space="preserve">• </w:t>
      </w:r>
      <w:r>
        <w:rPr>
          <w:rFonts w:ascii="Arial" w:cs="Arial" w:eastAsia="Arial" w:hAnsi="Arial"/>
          <w:sz w:val="6"/>
          <w:szCs w:val="6"/>
          <w:color w:val="000000"/>
        </w:rPr>
        <w:t>Meets with and reviews reports from independent registered public accounting firm and internal auditors</w:t>
      </w:r>
      <w:r>
        <w:rPr>
          <w:rFonts w:ascii="Arial" w:cs="Arial" w:eastAsia="Arial" w:hAnsi="Arial"/>
          <w:sz w:val="6"/>
          <w:szCs w:val="6"/>
          <w:b w:val="1"/>
          <w:bCs w:val="1"/>
          <w:color w:val="6AAA37"/>
        </w:rPr>
        <w:t xml:space="preserve"> </w:t>
      </w:r>
      <w:r>
        <w:rPr>
          <w:rFonts w:ascii="Arial" w:cs="Arial" w:eastAsia="Arial" w:hAnsi="Arial"/>
          <w:sz w:val="6"/>
          <w:szCs w:val="6"/>
          <w:color w:val="000000"/>
        </w:rPr>
        <w:t>Regularly considers potential business risks and opportunities facing the Company, including those surrounding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-91440</wp:posOffset>
            </wp:positionV>
            <wp:extent cx="6810375" cy="6894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6894195"/>
                    </a:xfrm>
                    <a:prstGeom prst="rect">
                      <a:avLst/>
                    </a:prstGeom>
                    <a:noFill/>
                  </pic:spPr>
                </pic:pic>
              </a:graphicData>
            </a:graphic>
          </wp:anchor>
        </w:drawing>
      </w:r>
    </w:p>
    <w:p>
      <w:pPr>
        <w:spacing w:after="0" w:line="213" w:lineRule="auto"/>
        <w:tabs>
          <w:tab w:leader="none" w:pos="140" w:val="left"/>
        </w:tabs>
        <w:rPr>
          <w:sz w:val="20"/>
          <w:szCs w:val="20"/>
          <w:color w:val="auto"/>
        </w:rPr>
      </w:pPr>
      <w:r>
        <w:rPr>
          <w:rFonts w:ascii="Arial" w:cs="Arial" w:eastAsia="Arial" w:hAnsi="Arial"/>
          <w:sz w:val="4"/>
          <w:szCs w:val="4"/>
          <w:b w:val="1"/>
          <w:bCs w:val="1"/>
          <w:color w:val="6AAA37"/>
        </w:rPr>
        <w:t>•</w:t>
      </w:r>
      <w:r>
        <w:rPr>
          <w:sz w:val="20"/>
          <w:szCs w:val="20"/>
          <w:color w:val="auto"/>
        </w:rPr>
        <w:tab/>
      </w:r>
      <w:r>
        <w:rPr>
          <w:rFonts w:ascii="Arial" w:cs="Arial" w:eastAsia="Arial" w:hAnsi="Arial"/>
          <w:sz w:val="4"/>
          <w:szCs w:val="4"/>
          <w:color w:val="auto"/>
        </w:rPr>
        <w:t>Receives regular reports from the General Counsel on legal developments</w:t>
      </w:r>
    </w:p>
    <w:p>
      <w:pPr>
        <w:spacing w:after="0" w:line="197" w:lineRule="auto"/>
        <w:rPr>
          <w:sz w:val="20"/>
          <w:szCs w:val="20"/>
          <w:color w:val="auto"/>
        </w:rPr>
      </w:pPr>
      <w:r>
        <w:rPr>
          <w:rFonts w:ascii="Arial" w:cs="Arial" w:eastAsia="Arial" w:hAnsi="Arial"/>
          <w:sz w:val="10"/>
          <w:szCs w:val="10"/>
          <w:color w:val="auto"/>
        </w:rPr>
        <w:t>evolving technologies, security and privacy, revenue recognition, quality assurance, strategic planning, employee</w:t>
      </w:r>
    </w:p>
    <w:p>
      <w:pPr>
        <w:ind w:right="280"/>
        <w:spacing w:after="0" w:line="187" w:lineRule="auto"/>
        <w:rPr>
          <w:sz w:val="20"/>
          <w:szCs w:val="20"/>
          <w:color w:val="auto"/>
        </w:rPr>
      </w:pPr>
      <w:r>
        <w:rPr>
          <w:rFonts w:ascii="Arial" w:cs="Arial" w:eastAsia="Arial" w:hAnsi="Arial"/>
          <w:sz w:val="9"/>
          <w:szCs w:val="9"/>
          <w:b w:val="1"/>
          <w:bCs w:val="1"/>
          <w:color w:val="6AAA37"/>
        </w:rPr>
        <w:t xml:space="preserve">• </w:t>
      </w:r>
      <w:r>
        <w:rPr>
          <w:rFonts w:ascii="Arial" w:cs="Arial" w:eastAsia="Arial" w:hAnsi="Arial"/>
          <w:sz w:val="9"/>
          <w:szCs w:val="9"/>
          <w:color w:val="000000"/>
        </w:rPr>
        <w:t>Examines issues presented by the Chief Compliance Officer on whistleblower hotline and corporate compliance-retention, succession planning, international compliance, business continuity, merger integration, market shifts and</w:t>
      </w:r>
    </w:p>
    <w:p>
      <w:pPr>
        <w:spacing w:after="0" w:line="180" w:lineRule="auto"/>
        <w:rPr>
          <w:sz w:val="20"/>
          <w:szCs w:val="20"/>
          <w:color w:val="auto"/>
        </w:rPr>
      </w:pPr>
      <w:r>
        <w:rPr>
          <w:rFonts w:ascii="Arial" w:cs="Arial" w:eastAsia="Arial" w:hAnsi="Arial"/>
          <w:sz w:val="11"/>
          <w:szCs w:val="11"/>
          <w:color w:val="auto"/>
        </w:rPr>
        <w:t>regulatoryrelated matters.matters</w:t>
      </w:r>
    </w:p>
    <w:p>
      <w:pPr>
        <w:ind w:left="160" w:right="360" w:hanging="158"/>
        <w:spacing w:after="0" w:line="24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i w:val="1"/>
          <w:iCs w:val="1"/>
          <w:color w:val="auto"/>
        </w:rPr>
        <w:t>In coordination with the Finance and Capital Allocations Committee</w:t>
      </w:r>
      <w:r>
        <w:rPr>
          <w:rFonts w:ascii="Arial" w:cs="Arial" w:eastAsia="Arial" w:hAnsi="Arial"/>
          <w:sz w:val="11"/>
          <w:szCs w:val="11"/>
          <w:color w:val="auto"/>
        </w:rPr>
        <w:t>, considers reports of the Enterprise Risk</w:t>
      </w:r>
      <w:r>
        <w:rPr>
          <w:rFonts w:ascii="Arial" w:cs="Arial" w:eastAsia="Arial" w:hAnsi="Arial"/>
          <w:sz w:val="11"/>
          <w:szCs w:val="11"/>
          <w:i w:val="1"/>
          <w:iCs w:val="1"/>
          <w:color w:val="auto"/>
        </w:rPr>
        <w:t xml:space="preserve"> </w:t>
      </w:r>
      <w:r>
        <w:rPr>
          <w:rFonts w:ascii="Arial" w:cs="Arial" w:eastAsia="Arial" w:hAnsi="Arial"/>
          <w:sz w:val="11"/>
          <w:szCs w:val="11"/>
          <w:color w:val="auto"/>
        </w:rPr>
        <w:t>Management Committee on strategic, operational, financial and compliance risks that may materially affect the Company's ability to achieve its business objectives</w:t>
      </w:r>
    </w:p>
    <w:p>
      <w:pPr>
        <w:ind w:left="160" w:right="220" w:hanging="158"/>
        <w:spacing w:after="0" w:line="243"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i w:val="1"/>
          <w:iCs w:val="1"/>
          <w:color w:val="auto"/>
        </w:rPr>
        <w:t>In coordination with the Technology and Information Security Committee</w:t>
      </w:r>
      <w:r>
        <w:rPr>
          <w:rFonts w:ascii="Arial" w:cs="Arial" w:eastAsia="Arial" w:hAnsi="Arial"/>
          <w:sz w:val="11"/>
          <w:szCs w:val="11"/>
          <w:color w:val="auto"/>
        </w:rPr>
        <w:t>, reviews and analyzes major technology,</w:t>
      </w:r>
      <w:r>
        <w:rPr>
          <w:rFonts w:ascii="Arial" w:cs="Arial" w:eastAsia="Arial" w:hAnsi="Arial"/>
          <w:sz w:val="11"/>
          <w:szCs w:val="11"/>
          <w:i w:val="1"/>
          <w:iCs w:val="1"/>
          <w:color w:val="auto"/>
        </w:rPr>
        <w:t xml:space="preserve"> </w:t>
      </w:r>
      <w:r>
        <w:rPr>
          <w:rFonts w:ascii="Arial" w:cs="Arial" w:eastAsia="Arial" w:hAnsi="Arial"/>
          <w:sz w:val="11"/>
          <w:szCs w:val="11"/>
          <w:color w:val="auto"/>
        </w:rPr>
        <w:t>cybersecurity and related operational risks to the Company</w:t>
      </w:r>
    </w:p>
    <w:p>
      <w:pPr>
        <w:ind w:left="160" w:right="460" w:hanging="158"/>
        <w:spacing w:after="0" w:line="272"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Maintains oversight of key governance programs related to export control, business conduct and ethics, data security, FCPA and other critical issues</w:t>
      </w:r>
    </w:p>
    <w:p>
      <w:pPr>
        <w:spacing w:after="0" w:line="206"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0"/>
        </w:numPr>
        <w:rPr>
          <w:rFonts w:ascii="Arial" w:cs="Arial" w:eastAsia="Arial" w:hAnsi="Arial"/>
          <w:sz w:val="10"/>
          <w:szCs w:val="10"/>
          <w:b w:val="1"/>
          <w:bCs w:val="1"/>
          <w:color w:val="6AAA37"/>
        </w:rPr>
      </w:pPr>
      <w:r>
        <w:rPr>
          <w:rFonts w:ascii="Arial" w:cs="Arial" w:eastAsia="Arial" w:hAnsi="Arial"/>
          <w:sz w:val="10"/>
          <w:szCs w:val="10"/>
          <w:color w:val="auto"/>
        </w:rPr>
        <w:t>Annually reviews a risk assessment of all Huron compensation plans to evaluate the potential for undue risk taking</w:t>
      </w:r>
    </w:p>
    <w:p>
      <w:pPr>
        <w:spacing w:after="0" w:line="74" w:lineRule="exact"/>
        <w:rPr>
          <w:rFonts w:ascii="Arial" w:cs="Arial" w:eastAsia="Arial" w:hAnsi="Arial"/>
          <w:sz w:val="10"/>
          <w:szCs w:val="10"/>
          <w:b w:val="1"/>
          <w:bCs w:val="1"/>
          <w:color w:val="6AAA37"/>
        </w:rPr>
      </w:pPr>
    </w:p>
    <w:p>
      <w:pPr>
        <w:ind w:left="160" w:right="340" w:hanging="158"/>
        <w:spacing w:after="0" w:line="295" w:lineRule="auto"/>
        <w:tabs>
          <w:tab w:leader="none" w:pos="160" w:val="left"/>
        </w:tabs>
        <w:numPr>
          <w:ilvl w:val="0"/>
          <w:numId w:val="40"/>
        </w:numPr>
        <w:rPr>
          <w:rFonts w:ascii="Arial" w:cs="Arial" w:eastAsia="Arial" w:hAnsi="Arial"/>
          <w:sz w:val="10"/>
          <w:szCs w:val="10"/>
          <w:b w:val="1"/>
          <w:bCs w:val="1"/>
          <w:color w:val="6AAA37"/>
        </w:rPr>
      </w:pPr>
      <w:r>
        <w:rPr>
          <w:rFonts w:ascii="Arial" w:cs="Arial" w:eastAsia="Arial" w:hAnsi="Arial"/>
          <w:sz w:val="10"/>
          <w:szCs w:val="10"/>
          <w:color w:val="auto"/>
        </w:rPr>
        <w:t>Maintains oversight of the design and goals of compensation programs, including that of the named executive officers, to assure that the plans are effective in motivating behavior that is in the best interests of the Company and the stockholders as well as recruiting and retaining top talent, one of the key risks of the Company</w:t>
      </w:r>
    </w:p>
    <w:p>
      <w:pPr>
        <w:spacing w:after="0" w:line="7" w:lineRule="exact"/>
        <w:rPr>
          <w:rFonts w:ascii="Arial" w:cs="Arial" w:eastAsia="Arial" w:hAnsi="Arial"/>
          <w:sz w:val="10"/>
          <w:szCs w:val="10"/>
          <w:b w:val="1"/>
          <w:bCs w:val="1"/>
          <w:color w:val="6AAA37"/>
        </w:rPr>
      </w:pPr>
    </w:p>
    <w:p>
      <w:pPr>
        <w:ind w:left="160" w:right="200" w:hanging="158"/>
        <w:spacing w:after="0" w:line="28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Retains and consults with independent experts to review and assess our compensation programs and peer group, as well as market trends and regulatory updates and best practices</w:t>
      </w:r>
    </w:p>
    <w:p>
      <w:pPr>
        <w:spacing w:after="0" w:line="23"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annually the equity of the Company’s compensation programs</w:t>
      </w:r>
    </w:p>
    <w:p>
      <w:pPr>
        <w:spacing w:after="0" w:line="49" w:lineRule="exact"/>
        <w:rPr>
          <w:rFonts w:ascii="Arial" w:cs="Arial" w:eastAsia="Arial" w:hAnsi="Arial"/>
          <w:sz w:val="11"/>
          <w:szCs w:val="11"/>
          <w:b w:val="1"/>
          <w:bCs w:val="1"/>
          <w:color w:val="6AAA37"/>
        </w:rPr>
      </w:pPr>
    </w:p>
    <w:p>
      <w:pPr>
        <w:ind w:left="160" w:right="240" w:hanging="158"/>
        <w:spacing w:after="0" w:line="28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Develops and implements policies with respect to the recovery or “clawback” of excess compensation paid to any of the Company’s senior leadership</w:t>
      </w:r>
    </w:p>
    <w:p>
      <w:pPr>
        <w:spacing w:after="0" w:line="10" w:lineRule="exact"/>
        <w:rPr>
          <w:rFonts w:ascii="Arial" w:cs="Arial" w:eastAsia="Arial" w:hAnsi="Arial"/>
          <w:sz w:val="11"/>
          <w:szCs w:val="11"/>
          <w:b w:val="1"/>
          <w:bCs w:val="1"/>
          <w:color w:val="6AAA37"/>
        </w:rPr>
      </w:pPr>
    </w:p>
    <w:p>
      <w:pPr>
        <w:ind w:left="160" w:right="420" w:hanging="158"/>
        <w:spacing w:after="0" w:line="28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reports regarding human capital matters, including employee benefit offerings, talent acquisition and retention and pay equity assessments</w:t>
      </w:r>
    </w:p>
    <w:p>
      <w:pPr>
        <w:spacing w:after="0" w:line="374"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Leads an annual self-assessment to evaluate the board’s and committees’ fulfillment of their roles</w:t>
      </w:r>
    </w:p>
    <w:p>
      <w:pPr>
        <w:spacing w:after="0" w:line="49"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the background and qualifications of individuals being considered as director candidates</w:t>
      </w:r>
    </w:p>
    <w:p>
      <w:pPr>
        <w:spacing w:after="0" w:line="62"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Annually reviews Huron's corporate governance guidelines to confirm they reflect best practices</w:t>
      </w:r>
    </w:p>
    <w:p>
      <w:pPr>
        <w:spacing w:after="0" w:line="62" w:lineRule="exact"/>
        <w:rPr>
          <w:rFonts w:ascii="Arial" w:cs="Arial" w:eastAsia="Arial" w:hAnsi="Arial"/>
          <w:sz w:val="11"/>
          <w:szCs w:val="11"/>
          <w:b w:val="1"/>
          <w:bCs w:val="1"/>
          <w:color w:val="6AAA37"/>
        </w:rPr>
      </w:pPr>
    </w:p>
    <w:p>
      <w:pPr>
        <w:ind w:left="160" w:right="320" w:hanging="158"/>
        <w:spacing w:after="0" w:line="259"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Oversees corporate governance initiatives, activities and practices, including corporate social responsibility and sustainability matters</w:t>
      </w:r>
    </w:p>
    <w:p>
      <w:pPr>
        <w:spacing w:after="0" w:line="200" w:lineRule="exact"/>
        <w:rPr>
          <w:rFonts w:ascii="Arial" w:cs="Arial" w:eastAsia="Arial" w:hAnsi="Arial"/>
          <w:sz w:val="11"/>
          <w:szCs w:val="11"/>
          <w:b w:val="1"/>
          <w:bCs w:val="1"/>
          <w:color w:val="6AAA37"/>
        </w:rPr>
      </w:pPr>
    </w:p>
    <w:p>
      <w:pPr>
        <w:spacing w:after="0" w:line="242" w:lineRule="exact"/>
        <w:rPr>
          <w:rFonts w:ascii="Arial" w:cs="Arial" w:eastAsia="Arial" w:hAnsi="Arial"/>
          <w:sz w:val="11"/>
          <w:szCs w:val="11"/>
          <w:b w:val="1"/>
          <w:bCs w:val="1"/>
          <w:color w:val="6AAA37"/>
        </w:rPr>
      </w:pPr>
    </w:p>
    <w:p>
      <w:pPr>
        <w:ind w:left="160" w:right="380" w:hanging="158"/>
        <w:spacing w:after="0" w:line="28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enterprise information technology-related strategies and makes recommendations regarding strategy execution</w:t>
      </w:r>
    </w:p>
    <w:p>
      <w:pPr>
        <w:spacing w:after="0" w:line="10" w:lineRule="exact"/>
        <w:rPr>
          <w:rFonts w:ascii="Arial" w:cs="Arial" w:eastAsia="Arial" w:hAnsi="Arial"/>
          <w:sz w:val="11"/>
          <w:szCs w:val="11"/>
          <w:b w:val="1"/>
          <w:bCs w:val="1"/>
          <w:color w:val="6AAA37"/>
        </w:rPr>
      </w:pPr>
    </w:p>
    <w:p>
      <w:pPr>
        <w:ind w:left="160" w:right="320" w:hanging="158"/>
        <w:spacing w:after="0" w:line="28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Oversees information technology related risks including information security, data protection, cybersecurity, and business continuity risks</w:t>
      </w:r>
    </w:p>
    <w:p>
      <w:pPr>
        <w:spacing w:after="0" w:line="23" w:lineRule="exact"/>
        <w:rPr>
          <w:rFonts w:ascii="Arial" w:cs="Arial" w:eastAsia="Arial" w:hAnsi="Arial"/>
          <w:sz w:val="11"/>
          <w:szCs w:val="11"/>
          <w:b w:val="1"/>
          <w:bCs w:val="1"/>
          <w:color w:val="6AAA37"/>
        </w:rPr>
      </w:pPr>
    </w:p>
    <w:p>
      <w:pPr>
        <w:ind w:left="160" w:right="220" w:hanging="158"/>
        <w:spacing w:after="0" w:line="259"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Receives periodic reports from management regarding significant information technology-related investments and initiatives and operational performance</w:t>
      </w:r>
    </w:p>
    <w:p>
      <w:pPr>
        <w:spacing w:after="0" w:line="37"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Monitors and evaluates existing and future trends in information technology</w:t>
      </w:r>
    </w:p>
    <w:p>
      <w:pPr>
        <w:spacing w:after="0" w:line="49" w:lineRule="exact"/>
        <w:rPr>
          <w:rFonts w:ascii="Arial" w:cs="Arial" w:eastAsia="Arial" w:hAnsi="Arial"/>
          <w:sz w:val="11"/>
          <w:szCs w:val="11"/>
          <w:b w:val="1"/>
          <w:bCs w:val="1"/>
          <w:color w:val="6AAA37"/>
        </w:rPr>
      </w:pPr>
    </w:p>
    <w:p>
      <w:pPr>
        <w:ind w:left="160" w:right="500" w:hanging="158"/>
        <w:spacing w:after="0" w:line="28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the adequacy of processes, tools and leadership in connection with information technology-related strategies</w:t>
      </w:r>
    </w:p>
    <w:p>
      <w:pPr>
        <w:spacing w:after="0" w:line="23"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0"/>
        </w:numPr>
        <w:rPr>
          <w:rFonts w:ascii="Arial" w:cs="Arial" w:eastAsia="Arial" w:hAnsi="Arial"/>
          <w:sz w:val="10"/>
          <w:szCs w:val="10"/>
          <w:b w:val="1"/>
          <w:bCs w:val="1"/>
          <w:color w:val="6AAA37"/>
        </w:rPr>
      </w:pPr>
      <w:r>
        <w:rPr>
          <w:rFonts w:ascii="Arial" w:cs="Arial" w:eastAsia="Arial" w:hAnsi="Arial"/>
          <w:sz w:val="10"/>
          <w:szCs w:val="10"/>
          <w:color w:val="auto"/>
        </w:rPr>
        <w:t>Reviews and oversees the Company’s artificial intelligence (“AI”) strategy, governance, and operational practices</w:t>
      </w:r>
    </w:p>
    <w:p>
      <w:pPr>
        <w:spacing w:after="0" w:line="60" w:lineRule="exact"/>
        <w:rPr>
          <w:rFonts w:ascii="Arial" w:cs="Arial" w:eastAsia="Arial" w:hAnsi="Arial"/>
          <w:sz w:val="10"/>
          <w:szCs w:val="10"/>
          <w:b w:val="1"/>
          <w:bCs w:val="1"/>
          <w:color w:val="6AAA37"/>
        </w:rPr>
      </w:pPr>
    </w:p>
    <w:p>
      <w:pPr>
        <w:ind w:left="160" w:right="260" w:hanging="158"/>
        <w:spacing w:after="0" w:line="285"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i w:val="1"/>
          <w:iCs w:val="1"/>
          <w:color w:val="auto"/>
        </w:rPr>
        <w:t>In coordination with the Audit Committee</w:t>
      </w:r>
      <w:r>
        <w:rPr>
          <w:rFonts w:ascii="Arial" w:cs="Arial" w:eastAsia="Arial" w:hAnsi="Arial"/>
          <w:sz w:val="11"/>
          <w:szCs w:val="11"/>
          <w:color w:val="auto"/>
        </w:rPr>
        <w:t>, analyzes the major technology and related operational risk exposure of</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w:t>
      </w:r>
    </w:p>
    <w:p>
      <w:pPr>
        <w:spacing w:after="0" w:line="253" w:lineRule="exact"/>
        <w:rPr>
          <w:rFonts w:ascii="Arial" w:cs="Arial" w:eastAsia="Arial" w:hAnsi="Arial"/>
          <w:sz w:val="11"/>
          <w:szCs w:val="11"/>
          <w:b w:val="1"/>
          <w:bCs w:val="1"/>
          <w:color w:val="6AAA37"/>
        </w:rPr>
      </w:pPr>
    </w:p>
    <w:p>
      <w:pPr>
        <w:ind w:left="160" w:right="560" w:hanging="158"/>
        <w:spacing w:after="0" w:line="257"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the Company’s capital structure and ongoing financing strategy and, as appropriate, makes recommendations to the board regarding scope, direction, quality, investment levels and execution of such strategies</w:t>
      </w:r>
    </w:p>
    <w:p>
      <w:pPr>
        <w:spacing w:after="0" w:line="25" w:lineRule="exact"/>
        <w:rPr>
          <w:rFonts w:ascii="Arial" w:cs="Arial" w:eastAsia="Arial" w:hAnsi="Arial"/>
          <w:sz w:val="11"/>
          <w:szCs w:val="11"/>
          <w:b w:val="1"/>
          <w:bCs w:val="1"/>
          <w:color w:val="6AAA37"/>
        </w:rPr>
      </w:pPr>
    </w:p>
    <w:p>
      <w:pPr>
        <w:ind w:left="160" w:right="160" w:hanging="158"/>
        <w:spacing w:after="0" w:line="256"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financing and financial risk management transactions exceeding $5 million, including, but not limited to, the filing of registration statements, issuance of debt or equity securities for purposes of raising funding or refinancing indebtedness or other obligations of the Company or its subsidiaries, entrance into new credit facilities and other forms of financing, and execution of foreign exchange and interest rate hedging transactions, and makes recommendations to the board with respect to such matters</w:t>
      </w:r>
    </w:p>
    <w:p>
      <w:pPr>
        <w:spacing w:after="0" w:line="27" w:lineRule="exact"/>
        <w:rPr>
          <w:rFonts w:ascii="Arial" w:cs="Arial" w:eastAsia="Arial" w:hAnsi="Arial"/>
          <w:sz w:val="11"/>
          <w:szCs w:val="11"/>
          <w:b w:val="1"/>
          <w:bCs w:val="1"/>
          <w:color w:val="6AAA37"/>
        </w:rPr>
      </w:pPr>
    </w:p>
    <w:p>
      <w:pPr>
        <w:ind w:left="160" w:right="420" w:hanging="158"/>
        <w:spacing w:after="0" w:line="270"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color w:val="auto"/>
        </w:rPr>
        <w:t>Reviews and makes recommendations to the board regarding the Company’s liquidity and financial condition, investment policies and practices, stock repurchase activities, financial plans and capital structure, and management’s financing plans and reports</w:t>
      </w:r>
    </w:p>
    <w:p>
      <w:pPr>
        <w:spacing w:after="0" w:line="18" w:lineRule="exact"/>
        <w:rPr>
          <w:rFonts w:ascii="Arial" w:cs="Arial" w:eastAsia="Arial" w:hAnsi="Arial"/>
          <w:sz w:val="11"/>
          <w:szCs w:val="11"/>
          <w:b w:val="1"/>
          <w:bCs w:val="1"/>
          <w:color w:val="6AAA37"/>
        </w:rPr>
      </w:pPr>
    </w:p>
    <w:p>
      <w:pPr>
        <w:ind w:left="160" w:right="300" w:hanging="158"/>
        <w:spacing w:after="0" w:line="257" w:lineRule="auto"/>
        <w:tabs>
          <w:tab w:leader="none" w:pos="160" w:val="left"/>
        </w:tabs>
        <w:numPr>
          <w:ilvl w:val="0"/>
          <w:numId w:val="40"/>
        </w:numPr>
        <w:rPr>
          <w:rFonts w:ascii="Arial" w:cs="Arial" w:eastAsia="Arial" w:hAnsi="Arial"/>
          <w:sz w:val="11"/>
          <w:szCs w:val="11"/>
          <w:b w:val="1"/>
          <w:bCs w:val="1"/>
          <w:color w:val="6AAA37"/>
        </w:rPr>
      </w:pPr>
      <w:r>
        <w:rPr>
          <w:rFonts w:ascii="Arial" w:cs="Arial" w:eastAsia="Arial" w:hAnsi="Arial"/>
          <w:sz w:val="11"/>
          <w:szCs w:val="11"/>
          <w:i w:val="1"/>
          <w:iCs w:val="1"/>
          <w:color w:val="auto"/>
        </w:rPr>
        <w:t>In coordination with the Audit Committee</w:t>
      </w:r>
      <w:r>
        <w:rPr>
          <w:rFonts w:ascii="Arial" w:cs="Arial" w:eastAsia="Arial" w:hAnsi="Arial"/>
          <w:sz w:val="11"/>
          <w:szCs w:val="11"/>
          <w:color w:val="auto"/>
        </w:rPr>
        <w:t>, reviews and discusses with management the Company’s financial risk</w:t>
      </w:r>
      <w:r>
        <w:rPr>
          <w:rFonts w:ascii="Arial" w:cs="Arial" w:eastAsia="Arial" w:hAnsi="Arial"/>
          <w:sz w:val="11"/>
          <w:szCs w:val="11"/>
          <w:i w:val="1"/>
          <w:iCs w:val="1"/>
          <w:color w:val="auto"/>
        </w:rPr>
        <w:t xml:space="preserve"> </w:t>
      </w:r>
      <w:r>
        <w:rPr>
          <w:rFonts w:ascii="Arial" w:cs="Arial" w:eastAsia="Arial" w:hAnsi="Arial"/>
          <w:sz w:val="11"/>
          <w:szCs w:val="11"/>
          <w:color w:val="auto"/>
        </w:rPr>
        <w:t>management activities and strategies, including with respect to foreign currency, credit risk and interest rate exposure, and use of hedging and other techniques to manage these risks</w:t>
      </w:r>
    </w:p>
    <w:p>
      <w:pPr>
        <w:spacing w:after="0" w:line="200" w:lineRule="exact"/>
        <w:rPr>
          <w:sz w:val="20"/>
          <w:szCs w:val="20"/>
          <w:color w:val="auto"/>
        </w:rPr>
      </w:pPr>
    </w:p>
    <w:p>
      <w:pPr>
        <w:sectPr>
          <w:pgSz w:w="11900" w:h="16838" w:orient="portrait"/>
          <w:cols w:equalWidth="0" w:num="2">
            <w:col w:w="2780" w:space="540"/>
            <w:col w:w="5800"/>
          </w:cols>
          <w:pgMar w:left="1400" w:top="118" w:right="1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17</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5394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Meetings and Committees</w:t>
      </w:r>
    </w:p>
    <w:p>
      <w:pPr>
        <w:spacing w:after="0" w:line="13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board conducts its business through meetings of the full board, actions taken by written consent in lieu of meetings, and by the actions of its committees. During 2025, the board held nine meetings.</w:t>
      </w:r>
    </w:p>
    <w:p>
      <w:pPr>
        <w:spacing w:after="0" w:line="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During 2025, each board member attended at least 75% of the aggregate number of board meetings and meetings of all the committees on which such director served. In addition, the board’s standard practice is for all members of the board to attend each committee meeting, whether or not they serve on that committee. Although the Company does not have a formal policy regarding director attendance at our annual meetings, we encourage directors to attend. All of the directors attended the 2025 Annual Meeting of Stockholders.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operates in part through its five committees: Audit, Compensation, Finance and Capital Allocation, Nominating and Corporate Governance, and Technology and Information Security. All committee members are “independent” as defined in the applicable listing standards of Nasdaq. In addition, all Compensation Committee members are “non-employee directors” within the meaning of Rule 16b-3 under the Securities Exchange Act of 1934 (the “1934 Act”). All Audit Committee members meet the criteria for independence set forth in Rule 10A-3(b)(1) under the 1934 Act. A detailed discussion of each committee’s mission, composition and responsibilities is contained within the committee charters available in the Investor Relations section of the Company’s website at www.huronconsultinggroup.com.</w:t>
      </w:r>
    </w:p>
    <w:p>
      <w:pPr>
        <w:sectPr>
          <w:pgSz w:w="11900" w:h="16838" w:orient="portrait"/>
          <w:cols w:equalWidth="0" w:num="1">
            <w:col w:w="9120"/>
          </w:cols>
          <w:pgMar w:left="1400" w:top="118" w:right="1379" w:bottom="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color w:val="00558C"/>
        </w:rPr>
        <w:t>Audit Committee</w:t>
      </w:r>
    </w:p>
    <w:p>
      <w:pPr>
        <w:sectPr>
          <w:pgSz w:w="11900" w:h="16838" w:orient="portrait"/>
          <w:cols w:equalWidth="0" w:num="1">
            <w:col w:w="9120"/>
          </w:cols>
          <w:pgMar w:left="1400" w:top="118" w:right="1379" w:bottom="0" w:gutter="0" w:footer="0" w:header="0"/>
          <w:type w:val="continuous"/>
        </w:sectPr>
      </w:pPr>
    </w:p>
    <w:bookmarkStart w:id="25" w:name="page26"/>
    <w:bookmarkEnd w:id="25"/>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16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53168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FFFFFF"/>
        </w:rPr>
        <w:t>CHAIR: MR. MARKELL</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MR. LOCKHART, MR. MCCARTNEY AND MR. SAWYER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Audit Committee</w:t>
      </w:r>
    </w:p>
    <w:p>
      <w:pPr>
        <w:spacing w:after="0" w:line="12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Audit Committee’s responsibilities include, among other things,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board has determined that each Audit Committee member has sufficient knowledge in financial and auditing matters to serve on the Audit Committee. The board has also determined that each of Mr. Markell, Mr. Lockhart, Mr. McCartney and Mr. Sawyer is an “audit committee financial expert,” as defined by the applicable securities regulations, and that each member of the Audit Committee satisfies the applicable Nasdaq listing standards for audit committee membership.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54"/>
          <w:szCs w:val="54"/>
          <w:color w:val="6AAA37"/>
        </w:rPr>
        <w:t>7</w:t>
      </w:r>
    </w:p>
    <w:p>
      <w:pPr>
        <w:spacing w:after="0" w:line="137" w:lineRule="exact"/>
        <w:rPr>
          <w:sz w:val="20"/>
          <w:szCs w:val="20"/>
          <w:color w:val="auto"/>
        </w:rPr>
      </w:pPr>
    </w:p>
    <w:p>
      <w:pPr>
        <w:ind w:right="479"/>
        <w:spacing w:after="0" w:line="304" w:lineRule="auto"/>
        <w:rPr>
          <w:sz w:val="20"/>
          <w:szCs w:val="20"/>
          <w:color w:val="auto"/>
        </w:rPr>
      </w:pPr>
      <w:r>
        <w:rPr>
          <w:rFonts w:ascii="Arial" w:cs="Arial" w:eastAsia="Arial" w:hAnsi="Arial"/>
          <w:sz w:val="16"/>
          <w:szCs w:val="16"/>
          <w:color w:val="auto"/>
        </w:rPr>
        <w:t>The Audit Committee met seven times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59"/>
        <w:spacing w:after="0" w:line="256" w:lineRule="auto"/>
        <w:rPr>
          <w:sz w:val="20"/>
          <w:szCs w:val="20"/>
          <w:color w:val="auto"/>
        </w:rPr>
      </w:pPr>
      <w:r>
        <w:rPr>
          <w:rFonts w:ascii="Arial" w:cs="Arial" w:eastAsia="Arial" w:hAnsi="Arial"/>
          <w:sz w:val="16"/>
          <w:szCs w:val="16"/>
          <w:color w:val="auto"/>
        </w:rPr>
        <w:t>The Report of the Audit Committee for the fiscal year ended December 31, 2025 appears below under the caption “Proposal 3 - Ratification of Appointment of Independent Registered Public Accounting Firm — Report of the Audit Committee.”</w:t>
      </w:r>
    </w:p>
    <w:p>
      <w:pPr>
        <w:spacing w:after="0" w:line="200" w:lineRule="exact"/>
        <w:rPr>
          <w:sz w:val="20"/>
          <w:szCs w:val="20"/>
          <w:color w:val="auto"/>
        </w:rPr>
      </w:pPr>
    </w:p>
    <w:p>
      <w:pPr>
        <w:sectPr>
          <w:pgSz w:w="11900" w:h="16892" w:orient="portrait"/>
          <w:cols w:equalWidth="0" w:num="2">
            <w:col w:w="6020" w:space="720"/>
            <w:col w:w="2319"/>
          </w:cols>
          <w:pgMar w:left="1400" w:top="4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18</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511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511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color w:val="00558C"/>
        </w:rPr>
        <w:t>Compensation Committee</w:t>
      </w: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FFFFF"/>
        </w:rPr>
        <w:t>CHAIR: MS. SINGH-BUSHELL</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MS. BROWN, MR. LOCKHART AND MS. ZUMWALT</w:t>
      </w:r>
    </w:p>
    <w:p>
      <w:pPr>
        <w:sectPr>
          <w:pgSz w:w="11900" w:h="16892" w:orient="portrait"/>
          <w:cols w:equalWidth="0" w:num="1">
            <w:col w:w="9059"/>
          </w:cols>
          <w:pgMar w:left="1400" w:top="427" w:right="1440" w:bottom="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Compensation Committee</w:t>
      </w:r>
    </w:p>
    <w:p>
      <w:pPr>
        <w:spacing w:after="0" w:line="140"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Compensation Committee’s responsibilities include overseeing our compensation and benefit plans, including all compensation arrangements for executive officers and directors, assessing the risk of compensation policies and practices, and producing a committee report on executive compensation as required by the SEC.</w:t>
      </w:r>
    </w:p>
    <w:p>
      <w:pPr>
        <w:spacing w:after="0" w:line="10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 —Compensation Discussion and Analysis—Role of Management.” In addition, during 2025, the CEO participated in all of the Compensation Committee’s meetings and in all of the executive sessions, except for those in which the Compensation Committee considered the CEO’s performance, compensation and incentives. The Compensation Committee engaged Mercer (US) LLC as its independent compensation advisor to assist the Compensation Committee in the execution of its charter. The support provided by the advisor is described in more detail below under “EXECUTIVE COMPENSATION—Compensation Discussion and Analysis—Role of Independent Compensation Advisor.”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4"/>
          <w:szCs w:val="54"/>
          <w:color w:val="6AAA37"/>
        </w:rPr>
        <w:t>8</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met eight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times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59"/>
        <w:spacing w:after="0" w:line="255" w:lineRule="auto"/>
        <w:rPr>
          <w:sz w:val="20"/>
          <w:szCs w:val="20"/>
          <w:color w:val="auto"/>
        </w:rPr>
      </w:pPr>
      <w:r>
        <w:rPr>
          <w:rFonts w:ascii="Arial" w:cs="Arial" w:eastAsia="Arial" w:hAnsi="Arial"/>
          <w:sz w:val="16"/>
          <w:szCs w:val="16"/>
          <w:color w:val="auto"/>
        </w:rPr>
        <w:t>The Report of the Compensation Committee on Executive Compensation for the fiscal year ended December 31, 2025 appears below under the caption</w:t>
      </w:r>
    </w:p>
    <w:p>
      <w:pPr>
        <w:spacing w:after="0" w:line="4" w:lineRule="exact"/>
        <w:rPr>
          <w:sz w:val="20"/>
          <w:szCs w:val="20"/>
          <w:color w:val="auto"/>
        </w:rPr>
      </w:pPr>
    </w:p>
    <w:p>
      <w:pPr>
        <w:ind w:right="439"/>
        <w:spacing w:after="0" w:line="264" w:lineRule="auto"/>
        <w:rPr>
          <w:sz w:val="20"/>
          <w:szCs w:val="20"/>
          <w:color w:val="auto"/>
        </w:rPr>
      </w:pPr>
      <w:r>
        <w:rPr>
          <w:rFonts w:ascii="Arial" w:cs="Arial" w:eastAsia="Arial" w:hAnsi="Arial"/>
          <w:sz w:val="16"/>
          <w:szCs w:val="16"/>
          <w:color w:val="auto"/>
        </w:rPr>
        <w:t>“EXECUTIVE COMPENSATION - Compensation Committee Report.”</w:t>
      </w:r>
    </w:p>
    <w:p>
      <w:pPr>
        <w:sectPr>
          <w:pgSz w:w="11900" w:h="16892" w:orient="portrait"/>
          <w:cols w:equalWidth="0" w:num="2">
            <w:col w:w="6020" w:space="720"/>
            <w:col w:w="2319"/>
          </w:cols>
          <w:pgMar w:left="1400" w:top="427" w:right="1440" w:bottom="0" w:gutter="0" w:footer="0" w:header="0"/>
          <w:type w:val="continuous"/>
        </w:sectPr>
      </w:pPr>
    </w:p>
    <w:bookmarkStart w:id="26" w:name="page27"/>
    <w:bookmarkEnd w:id="26"/>
    <w:tbl>
      <w:tblPr>
        <w:tblLayout w:type="fixed"/>
        <w:tblInd w:w="10" w:type="dxa"/>
        <w:tblCellMar>
          <w:top w:w="0" w:type="dxa"/>
          <w:left w:w="0" w:type="dxa"/>
          <w:bottom w:w="0" w:type="dxa"/>
          <w:right w:w="0" w:type="dxa"/>
        </w:tblCellMar>
      </w:tblPr>
      <w:tr>
        <w:trPr>
          <w:trHeight w:val="931"/>
        </w:trPr>
        <w:tc>
          <w:tcPr>
            <w:tcW w:w="820" w:type="dxa"/>
            <w:vAlign w:val="bottom"/>
            <w:tcBorders>
              <w:left w:val="single" w:sz="8" w:color="CCCCCC"/>
            </w:tcBorders>
          </w:tcPr>
          <w:p>
            <w:pPr>
              <w:spacing w:after="0"/>
              <w:rPr>
                <w:sz w:val="24"/>
                <w:szCs w:val="24"/>
                <w:color w:val="auto"/>
              </w:rPr>
            </w:pPr>
          </w:p>
        </w:tc>
        <w:tc>
          <w:tcPr>
            <w:tcW w:w="1840" w:type="dxa"/>
            <w:vAlign w:val="bottom"/>
            <w:tcBorders>
              <w:bottom w:val="single" w:sz="8" w:color="B2B3B6"/>
            </w:tcBorders>
          </w:tcPr>
          <w:p>
            <w:pPr>
              <w:spacing w:after="0"/>
              <w:rPr>
                <w:sz w:val="24"/>
                <w:szCs w:val="24"/>
                <w:color w:val="auto"/>
              </w:rPr>
            </w:pPr>
          </w:p>
        </w:tc>
        <w:tc>
          <w:tcPr>
            <w:tcW w:w="1020" w:type="dxa"/>
            <w:vAlign w:val="bottom"/>
            <w:tcBorders>
              <w:bottom w:val="single" w:sz="8" w:color="B2B3B6"/>
            </w:tcBorders>
          </w:tcPr>
          <w:p>
            <w:pPr>
              <w:spacing w:after="0"/>
              <w:rPr>
                <w:sz w:val="24"/>
                <w:szCs w:val="24"/>
                <w:color w:val="auto"/>
              </w:rPr>
            </w:pPr>
          </w:p>
        </w:tc>
        <w:tc>
          <w:tcPr>
            <w:tcW w:w="3620" w:type="dxa"/>
            <w:vAlign w:val="bottom"/>
            <w:tcBorders>
              <w:bottom w:val="single" w:sz="8" w:color="B2B3B6"/>
            </w:tcBorders>
          </w:tcPr>
          <w:p>
            <w:pPr>
              <w:spacing w:after="0"/>
              <w:rPr>
                <w:sz w:val="24"/>
                <w:szCs w:val="24"/>
                <w:color w:val="auto"/>
              </w:rPr>
            </w:pPr>
          </w:p>
        </w:tc>
        <w:tc>
          <w:tcPr>
            <w:tcW w:w="220" w:type="dxa"/>
            <w:vAlign w:val="bottom"/>
            <w:tcBorders>
              <w:bottom w:val="single" w:sz="8" w:color="B2B3B6"/>
            </w:tcBorders>
            <w:shd w:val="clear" w:color="auto" w:fill="F2F3F2"/>
          </w:tcPr>
          <w:p>
            <w:pPr>
              <w:spacing w:after="0"/>
              <w:rPr>
                <w:sz w:val="24"/>
                <w:szCs w:val="24"/>
                <w:color w:val="auto"/>
              </w:rPr>
            </w:pPr>
          </w:p>
        </w:tc>
        <w:tc>
          <w:tcPr>
            <w:tcW w:w="2160" w:type="dxa"/>
            <w:vAlign w:val="bottom"/>
            <w:tcBorders>
              <w:bottom w:val="single" w:sz="8" w:color="B2B3B6"/>
            </w:tcBorders>
            <w:shd w:val="clear" w:color="auto" w:fill="F2F3F2"/>
          </w:tcPr>
          <w:p>
            <w:pPr>
              <w:spacing w:after="0"/>
              <w:rPr>
                <w:sz w:val="24"/>
                <w:szCs w:val="24"/>
                <w:color w:val="auto"/>
              </w:rPr>
            </w:pPr>
          </w:p>
        </w:tc>
        <w:tc>
          <w:tcPr>
            <w:tcW w:w="220" w:type="dxa"/>
            <w:vAlign w:val="bottom"/>
            <w:tcBorders>
              <w:bottom w:val="single" w:sz="8" w:color="B2B3B6"/>
            </w:tcBorders>
            <w:shd w:val="clear" w:color="auto" w:fill="F2F3F2"/>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993"/>
        </w:trPr>
        <w:tc>
          <w:tcPr>
            <w:tcW w:w="820" w:type="dxa"/>
            <w:vAlign w:val="bottom"/>
            <w:tcBorders>
              <w:left w:val="single" w:sz="8" w:color="CCCCCC"/>
            </w:tcBorders>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Borders>
              <w:bottom w:val="single" w:sz="8" w:color="F2F3F2"/>
            </w:tcBorders>
            <w:shd w:val="clear" w:color="auto" w:fill="F2F3F2"/>
          </w:tcPr>
          <w:p>
            <w:pPr>
              <w:spacing w:after="0"/>
              <w:rPr>
                <w:sz w:val="24"/>
                <w:szCs w:val="24"/>
                <w:color w:val="auto"/>
              </w:rPr>
            </w:pPr>
          </w:p>
        </w:tc>
        <w:tc>
          <w:tcPr>
            <w:tcW w:w="2160" w:type="dxa"/>
            <w:vAlign w:val="bottom"/>
            <w:tcBorders>
              <w:bottom w:val="single" w:sz="8" w:color="B2B3B6"/>
            </w:tcBorders>
            <w:shd w:val="clear" w:color="auto" w:fill="F2F3F2"/>
          </w:tcPr>
          <w:p>
            <w:pPr>
              <w:spacing w:after="0"/>
              <w:rPr>
                <w:sz w:val="24"/>
                <w:szCs w:val="24"/>
                <w:color w:val="auto"/>
              </w:rPr>
            </w:pPr>
          </w:p>
        </w:tc>
        <w:tc>
          <w:tcPr>
            <w:tcW w:w="220" w:type="dxa"/>
            <w:vAlign w:val="bottom"/>
            <w:shd w:val="clear" w:color="auto" w:fill="F2F3F2"/>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3179"/>
        </w:trPr>
        <w:tc>
          <w:tcPr>
            <w:tcW w:w="820" w:type="dxa"/>
            <w:vAlign w:val="bottom"/>
            <w:tcBorders>
              <w:left w:val="single" w:sz="8" w:color="CCCCCC"/>
            </w:tcBorders>
          </w:tcPr>
          <w:p>
            <w:pPr>
              <w:spacing w:after="0"/>
              <w:rPr>
                <w:sz w:val="24"/>
                <w:szCs w:val="24"/>
                <w:color w:val="auto"/>
              </w:rPr>
            </w:pPr>
          </w:p>
        </w:tc>
        <w:tc>
          <w:tcPr>
            <w:tcW w:w="1840" w:type="dxa"/>
            <w:vAlign w:val="bottom"/>
            <w:tcBorders>
              <w:bottom w:val="single" w:sz="8" w:color="B2B3B6"/>
            </w:tcBorders>
          </w:tcPr>
          <w:p>
            <w:pPr>
              <w:spacing w:after="0"/>
              <w:rPr>
                <w:sz w:val="24"/>
                <w:szCs w:val="24"/>
                <w:color w:val="auto"/>
              </w:rPr>
            </w:pPr>
          </w:p>
        </w:tc>
        <w:tc>
          <w:tcPr>
            <w:tcW w:w="1020" w:type="dxa"/>
            <w:vAlign w:val="bottom"/>
            <w:tcBorders>
              <w:bottom w:val="single" w:sz="8" w:color="B2B3B6"/>
            </w:tcBorders>
          </w:tcPr>
          <w:p>
            <w:pPr>
              <w:spacing w:after="0"/>
              <w:rPr>
                <w:sz w:val="24"/>
                <w:szCs w:val="24"/>
                <w:color w:val="auto"/>
              </w:rPr>
            </w:pPr>
          </w:p>
        </w:tc>
        <w:tc>
          <w:tcPr>
            <w:tcW w:w="3620" w:type="dxa"/>
            <w:vAlign w:val="bottom"/>
            <w:tcBorders>
              <w:bottom w:val="single" w:sz="8" w:color="B2B3B6"/>
            </w:tcBorders>
          </w:tcPr>
          <w:p>
            <w:pPr>
              <w:spacing w:after="0"/>
              <w:rPr>
                <w:sz w:val="24"/>
                <w:szCs w:val="24"/>
                <w:color w:val="auto"/>
              </w:rPr>
            </w:pPr>
          </w:p>
        </w:tc>
        <w:tc>
          <w:tcPr>
            <w:tcW w:w="220" w:type="dxa"/>
            <w:vAlign w:val="bottom"/>
            <w:tcBorders>
              <w:bottom w:val="single" w:sz="8" w:color="F2F3F2"/>
            </w:tcBorders>
            <w:shd w:val="clear" w:color="auto" w:fill="F2F3F2"/>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236"/>
        </w:trPr>
        <w:tc>
          <w:tcPr>
            <w:tcW w:w="820" w:type="dxa"/>
            <w:vAlign w:val="bottom"/>
            <w:tcBorders>
              <w:left w:val="single" w:sz="8" w:color="CCCCCC"/>
            </w:tcBorders>
          </w:tcPr>
          <w:p>
            <w:pPr>
              <w:spacing w:after="0"/>
              <w:rPr>
                <w:sz w:val="20"/>
                <w:szCs w:val="20"/>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Huron Consulting Group Inc.</w:t>
            </w:r>
          </w:p>
        </w:tc>
        <w:tc>
          <w:tcPr>
            <w:tcW w:w="4640" w:type="dxa"/>
            <w:vAlign w:val="bottom"/>
            <w:gridSpan w:val="2"/>
          </w:tcPr>
          <w:p>
            <w:pPr>
              <w:jc w:val="right"/>
              <w:ind w:right="1860"/>
              <w:spacing w:after="0"/>
              <w:rPr>
                <w:sz w:val="20"/>
                <w:szCs w:val="20"/>
                <w:color w:val="auto"/>
              </w:rPr>
            </w:pPr>
            <w:r>
              <w:rPr>
                <w:rFonts w:ascii="Arial" w:cs="Arial" w:eastAsia="Arial" w:hAnsi="Arial"/>
                <w:sz w:val="13"/>
                <w:szCs w:val="13"/>
                <w:b w:val="1"/>
                <w:bCs w:val="1"/>
                <w:color w:val="00558C"/>
              </w:rPr>
              <w:t>19</w:t>
            </w:r>
          </w:p>
        </w:tc>
        <w:tc>
          <w:tcPr>
            <w:tcW w:w="220" w:type="dxa"/>
            <w:vAlign w:val="bottom"/>
            <w:shd w:val="clear" w:color="auto" w:fill="F2F3F2"/>
          </w:tcPr>
          <w:p>
            <w:pPr>
              <w:spacing w:after="0"/>
              <w:rPr>
                <w:sz w:val="20"/>
                <w:szCs w:val="20"/>
                <w:color w:val="auto"/>
              </w:rPr>
            </w:pPr>
          </w:p>
        </w:tc>
        <w:tc>
          <w:tcPr>
            <w:tcW w:w="2380" w:type="dxa"/>
            <w:vAlign w:val="bottom"/>
            <w:gridSpan w:val="2"/>
          </w:tcPr>
          <w:p>
            <w:pPr>
              <w:ind w:left="1080"/>
              <w:spacing w:after="0"/>
              <w:rPr>
                <w:sz w:val="20"/>
                <w:szCs w:val="20"/>
                <w:color w:val="auto"/>
              </w:rPr>
            </w:pPr>
            <w:r>
              <w:rPr>
                <w:rFonts w:ascii="Arial" w:cs="Arial" w:eastAsia="Arial" w:hAnsi="Arial"/>
                <w:sz w:val="13"/>
                <w:szCs w:val="13"/>
                <w:color w:val="auto"/>
                <w:w w:val="99"/>
              </w:rPr>
              <w:t>2026 Proxy Statement</w:t>
            </w:r>
          </w:p>
        </w:tc>
        <w:tc>
          <w:tcPr>
            <w:tcW w:w="820" w:type="dxa"/>
            <w:vAlign w:val="bottom"/>
            <w:tcBorders>
              <w:right w:val="single" w:sz="8" w:color="CCCCCC"/>
            </w:tcBorders>
          </w:tcPr>
          <w:p>
            <w:pPr>
              <w:spacing w:after="0"/>
              <w:rPr>
                <w:sz w:val="20"/>
                <w:szCs w:val="20"/>
                <w:color w:val="auto"/>
              </w:rPr>
            </w:pPr>
          </w:p>
        </w:tc>
      </w:tr>
      <w:tr>
        <w:trPr>
          <w:trHeight w:val="108"/>
        </w:trPr>
        <w:tc>
          <w:tcPr>
            <w:tcW w:w="820" w:type="dxa"/>
            <w:vAlign w:val="bottom"/>
            <w:tcBorders>
              <w:left w:val="single" w:sz="8" w:color="CCCCCC"/>
            </w:tcBorders>
          </w:tcPr>
          <w:p>
            <w:pPr>
              <w:spacing w:after="0"/>
              <w:rPr>
                <w:sz w:val="9"/>
                <w:szCs w:val="9"/>
                <w:color w:val="auto"/>
              </w:rPr>
            </w:pPr>
          </w:p>
        </w:tc>
        <w:tc>
          <w:tcPr>
            <w:tcW w:w="1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20" w:type="dxa"/>
            <w:vAlign w:val="bottom"/>
            <w:shd w:val="clear" w:color="auto" w:fill="F2F3F2"/>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r>
      <w:tr>
        <w:trPr>
          <w:trHeight w:val="361"/>
        </w:trPr>
        <w:tc>
          <w:tcPr>
            <w:tcW w:w="820" w:type="dxa"/>
            <w:vAlign w:val="bottom"/>
            <w:tcBorders>
              <w:left w:val="single" w:sz="8" w:color="CCCCCC"/>
              <w:bottom w:val="single" w:sz="8" w:color="CCCCCC"/>
            </w:tcBorders>
          </w:tcPr>
          <w:p>
            <w:pPr>
              <w:spacing w:after="0"/>
              <w:rPr>
                <w:sz w:val="24"/>
                <w:szCs w:val="24"/>
                <w:color w:val="auto"/>
              </w:rPr>
            </w:pPr>
          </w:p>
        </w:tc>
        <w:tc>
          <w:tcPr>
            <w:tcW w:w="1840" w:type="dxa"/>
            <w:vAlign w:val="bottom"/>
            <w:tcBorders>
              <w:bottom w:val="single" w:sz="8" w:color="CCCCCC"/>
            </w:tcBorders>
          </w:tcPr>
          <w:p>
            <w:pPr>
              <w:spacing w:after="0"/>
              <w:rPr>
                <w:sz w:val="24"/>
                <w:szCs w:val="24"/>
                <w:color w:val="auto"/>
              </w:rPr>
            </w:pPr>
          </w:p>
        </w:tc>
        <w:tc>
          <w:tcPr>
            <w:tcW w:w="1020" w:type="dxa"/>
            <w:vAlign w:val="bottom"/>
            <w:tcBorders>
              <w:bottom w:val="single" w:sz="8" w:color="CCCCCC"/>
            </w:tcBorders>
          </w:tcPr>
          <w:p>
            <w:pPr>
              <w:spacing w:after="0"/>
              <w:rPr>
                <w:sz w:val="24"/>
                <w:szCs w:val="24"/>
                <w:color w:val="auto"/>
              </w:rPr>
            </w:pPr>
          </w:p>
        </w:tc>
        <w:tc>
          <w:tcPr>
            <w:tcW w:w="362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216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right w:val="single" w:sz="8" w:color="CCCCCC"/>
            </w:tcBorders>
          </w:tcPr>
          <w:p>
            <w:pPr>
              <w:spacing w:after="0"/>
              <w:rPr>
                <w:sz w:val="24"/>
                <w:szCs w:val="24"/>
                <w:color w:val="auto"/>
              </w:rPr>
            </w:pPr>
          </w:p>
        </w:tc>
      </w:tr>
      <w:tr>
        <w:trPr>
          <w:trHeight w:val="503"/>
        </w:trPr>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Borders>
              <w:bottom w:val="single" w:sz="8" w:color="6AAA37"/>
            </w:tcBorders>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-3900170</wp:posOffset>
            </wp:positionV>
            <wp:extent cx="6810375" cy="103441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10344150"/>
                    </a:xfrm>
                    <a:prstGeom prst="rect">
                      <a:avLst/>
                    </a:prstGeom>
                    <a:noFill/>
                  </pic:spPr>
                </pic:pic>
              </a:graphicData>
            </a:graphic>
          </wp:anchor>
        </w:drawing>
      </w:r>
    </w:p>
    <w:p>
      <w:pPr>
        <w:spacing w:after="0" w:line="43" w:lineRule="exact"/>
        <w:rPr>
          <w:sz w:val="20"/>
          <w:szCs w:val="20"/>
          <w:color w:val="auto"/>
        </w:rPr>
      </w:pPr>
    </w:p>
    <w:p>
      <w:pPr>
        <w:ind w:left="880"/>
        <w:spacing w:after="0"/>
        <w:tabs>
          <w:tab w:leader="none" w:pos="1860" w:val="left"/>
          <w:tab w:leader="none" w:pos="2700" w:val="left"/>
          <w:tab w:leader="none" w:pos="3700" w:val="left"/>
          <w:tab w:leader="none" w:pos="4520" w:val="left"/>
          <w:tab w:leader="none" w:pos="5720" w:val="left"/>
          <w:tab w:leader="none" w:pos="6540" w:val="left"/>
          <w:tab w:leader="none" w:pos="758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880"/>
        <w:spacing w:after="0"/>
        <w:tabs>
          <w:tab w:leader="none" w:pos="1860" w:val="left"/>
          <w:tab w:leader="none" w:pos="2700" w:val="left"/>
          <w:tab w:leader="none" w:pos="3700" w:val="left"/>
          <w:tab w:leader="none" w:pos="4520" w:val="left"/>
          <w:tab w:leader="none" w:pos="5720" w:val="left"/>
          <w:tab w:leader="none" w:pos="6540" w:val="left"/>
          <w:tab w:leader="none" w:pos="758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67" w:lineRule="exact"/>
        <w:rPr>
          <w:sz w:val="20"/>
          <w:szCs w:val="20"/>
          <w:color w:val="auto"/>
        </w:rPr>
      </w:pPr>
    </w:p>
    <w:p>
      <w:pPr>
        <w:ind w:left="820"/>
        <w:spacing w:after="0"/>
        <w:rPr>
          <w:sz w:val="20"/>
          <w:szCs w:val="20"/>
          <w:color w:val="auto"/>
        </w:rPr>
      </w:pPr>
      <w:r>
        <w:rPr>
          <w:rFonts w:ascii="Arial" w:cs="Arial" w:eastAsia="Arial" w:hAnsi="Arial"/>
          <w:sz w:val="43"/>
          <w:szCs w:val="43"/>
          <w:color w:val="00558C"/>
        </w:rPr>
        <w:t>Nominating and Corporate</w:t>
      </w:r>
    </w:p>
    <w:p>
      <w:pPr>
        <w:ind w:left="820"/>
        <w:spacing w:after="0"/>
        <w:rPr>
          <w:sz w:val="20"/>
          <w:szCs w:val="20"/>
          <w:color w:val="auto"/>
        </w:rPr>
      </w:pPr>
      <w:r>
        <w:rPr>
          <w:rFonts w:ascii="Arial" w:cs="Arial" w:eastAsia="Arial" w:hAnsi="Arial"/>
          <w:sz w:val="43"/>
          <w:szCs w:val="43"/>
          <w:color w:val="00558C"/>
        </w:rPr>
        <w:t>Governance Committee</w:t>
      </w:r>
    </w:p>
    <w:p>
      <w:pPr>
        <w:spacing w:after="0" w:line="387"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FFFFFF"/>
        </w:rPr>
        <w:t>CHAIR: MS. ZUMWALT</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FFFFFF"/>
        </w:rPr>
        <w:t>COMMITTEE MEMBERS: MR. MARKELL, MR. MCCARTNEY AND MR. SAWYER</w:t>
      </w:r>
    </w:p>
    <w:p>
      <w:pPr>
        <w:sectPr>
          <w:pgSz w:w="11900" w:h="16838" w:orient="portrait"/>
          <w:cols w:equalWidth="0" w:num="1">
            <w:col w:w="10720"/>
          </w:cols>
          <w:pgMar w:left="580" w:top="140" w:right="599" w:bottom="519" w:gutter="0" w:footer="0" w:header="0"/>
        </w:sectPr>
      </w:pPr>
    </w:p>
    <w:p>
      <w:pPr>
        <w:spacing w:after="0" w:line="200" w:lineRule="exact"/>
        <w:rPr>
          <w:sz w:val="20"/>
          <w:szCs w:val="20"/>
          <w:color w:val="auto"/>
        </w:rPr>
      </w:pPr>
    </w:p>
    <w:p>
      <w:pPr>
        <w:spacing w:after="0" w:line="37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00558C"/>
        </w:rPr>
        <w:t>Nominating and Corporate Governance Committee</w:t>
      </w:r>
    </w:p>
    <w:p>
      <w:pPr>
        <w:spacing w:after="0" w:line="140" w:lineRule="exact"/>
        <w:rPr>
          <w:sz w:val="20"/>
          <w:szCs w:val="20"/>
          <w:color w:val="auto"/>
        </w:rPr>
      </w:pPr>
    </w:p>
    <w:p>
      <w:pPr>
        <w:ind w:left="820" w:right="220"/>
        <w:spacing w:after="0" w:line="300" w:lineRule="auto"/>
        <w:rPr>
          <w:sz w:val="20"/>
          <w:szCs w:val="20"/>
          <w:color w:val="auto"/>
        </w:rPr>
      </w:pPr>
      <w:r>
        <w:rPr>
          <w:rFonts w:ascii="Arial" w:cs="Arial" w:eastAsia="Arial" w:hAnsi="Arial"/>
          <w:sz w:val="16"/>
          <w:szCs w:val="16"/>
          <w:color w:val="auto"/>
        </w:rPr>
        <w:t>The Nominating and Corporate Governance Committee’s responsibilities include identifying and recommending to the board qualified director nominee candidates and providing oversight with respect to corporate governance and corporate social responsibility matters.</w:t>
      </w:r>
    </w:p>
    <w:p>
      <w:pPr>
        <w:spacing w:after="0" w:line="93" w:lineRule="exact"/>
        <w:rPr>
          <w:sz w:val="20"/>
          <w:szCs w:val="20"/>
          <w:color w:val="auto"/>
        </w:rPr>
      </w:pPr>
    </w:p>
    <w:p>
      <w:pPr>
        <w:ind w:left="820" w:right="260"/>
        <w:spacing w:after="0" w:line="289" w:lineRule="auto"/>
        <w:rPr>
          <w:sz w:val="20"/>
          <w:szCs w:val="20"/>
          <w:color w:val="auto"/>
        </w:rPr>
      </w:pPr>
      <w:r>
        <w:rPr>
          <w:rFonts w:ascii="Arial" w:cs="Arial" w:eastAsia="Arial" w:hAnsi="Arial"/>
          <w:sz w:val="16"/>
          <w:szCs w:val="16"/>
          <w:color w:val="auto"/>
        </w:rPr>
        <w:t>Directors may be nominated by the board or by stockholders in accordance with the bylaws of the Company. The Nominating and Corporate Governance Committee will review all candidates for nomination to the board,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and the Company. The Nominating and Corporate Governance Committee selects qualified candidates and reviews its recommendations with the board, which will decide whether to invite the candidate to be a nominee for election to the board.</w:t>
      </w:r>
    </w:p>
    <w:p>
      <w:pPr>
        <w:spacing w:after="0" w:line="114" w:lineRule="exact"/>
        <w:rPr>
          <w:sz w:val="20"/>
          <w:szCs w:val="20"/>
          <w:color w:val="auto"/>
        </w:rPr>
      </w:pPr>
    </w:p>
    <w:p>
      <w:pPr>
        <w:ind w:left="820" w:right="260"/>
        <w:spacing w:after="0" w:line="290" w:lineRule="auto"/>
        <w:rPr>
          <w:sz w:val="20"/>
          <w:szCs w:val="20"/>
          <w:color w:val="auto"/>
        </w:rPr>
      </w:pPr>
      <w:r>
        <w:rPr>
          <w:rFonts w:ascii="Arial" w:cs="Arial" w:eastAsia="Arial" w:hAnsi="Arial"/>
          <w:sz w:val="16"/>
          <w:szCs w:val="16"/>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corporatesecretary@hcg.com. In either case, the notice must meet all of the requirements contained in the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4"/>
          <w:szCs w:val="54"/>
          <w:color w:val="6AAA37"/>
        </w:rPr>
        <w:t>7</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Committee met seven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times in 2025.</w:t>
      </w:r>
    </w:p>
    <w:p>
      <w:pPr>
        <w:sectPr>
          <w:pgSz w:w="11900" w:h="16838" w:orient="portrait"/>
          <w:cols w:equalWidth="0" w:num="2">
            <w:col w:w="6840" w:space="720"/>
            <w:col w:w="3160"/>
          </w:cols>
          <w:pgMar w:left="580" w:top="140" w:right="599" w:bottom="519"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162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216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20</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271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827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88" w:lineRule="exact"/>
        <w:rPr>
          <w:sz w:val="20"/>
          <w:szCs w:val="20"/>
          <w:color w:val="auto"/>
        </w:rPr>
      </w:pPr>
    </w:p>
    <w:p>
      <w:pPr>
        <w:ind w:right="3739"/>
        <w:spacing w:after="0" w:line="258" w:lineRule="auto"/>
        <w:rPr>
          <w:sz w:val="20"/>
          <w:szCs w:val="20"/>
          <w:color w:val="auto"/>
        </w:rPr>
      </w:pPr>
      <w:r>
        <w:rPr>
          <w:rFonts w:ascii="Arial" w:cs="Arial" w:eastAsia="Arial" w:hAnsi="Arial"/>
          <w:sz w:val="42"/>
          <w:szCs w:val="42"/>
          <w:color w:val="00558C"/>
        </w:rPr>
        <w:t>Technology and Information Security Committee</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FFFFF"/>
        </w:rPr>
        <w:t>CHAIR: MS. BROWN</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MR. MARKELL, MS. SINGH-BUSHELL AND MS. ZUMWALT</w:t>
      </w:r>
    </w:p>
    <w:p>
      <w:pPr>
        <w:sectPr>
          <w:pgSz w:w="11900" w:h="16838" w:orient="portrait"/>
          <w:cols w:equalWidth="0" w:num="1">
            <w:col w:w="9059"/>
          </w:cols>
          <w:pgMar w:left="1400" w:top="1440" w:right="1440" w:bottom="862"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Technology and Information Security Committee</w:t>
      </w:r>
    </w:p>
    <w:p>
      <w:pPr>
        <w:spacing w:after="0" w:line="14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The Technology and Information Security Committee’s responsibilities include reviewing the Company's enterprise information technology-related strategies and significant technology-related initiatives and operations, overseeing major information technology-related risks, including information technology operations, information security, data protection, cybersecurity, vendor, fraud, and business continuity risks, and monitoring and evaluating existing and future trends in information technology that may affect the Company's strategic plan. The committee reviews and oversee the Company’s AI strategy, governance, and operational practices, including alignment with business objectives, risk management, and ethical considerations. The committee members have significant knowledge and experience in technology and information security related strategies, operations, risk management and governance through their extensive professional experience and board service. The committee members also draw upon the skills and insight of the full board and regularly liaise with the Company's Chief Information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54"/>
          <w:szCs w:val="54"/>
          <w:color w:val="6AAA37"/>
        </w:rPr>
        <w:t>5</w:t>
      </w:r>
    </w:p>
    <w:p>
      <w:pPr>
        <w:spacing w:after="0" w:line="137" w:lineRule="exact"/>
        <w:rPr>
          <w:sz w:val="20"/>
          <w:szCs w:val="20"/>
          <w:color w:val="auto"/>
        </w:rPr>
      </w:pPr>
    </w:p>
    <w:p>
      <w:pPr>
        <w:ind w:right="499"/>
        <w:spacing w:after="0" w:line="265" w:lineRule="auto"/>
        <w:rPr>
          <w:sz w:val="20"/>
          <w:szCs w:val="20"/>
          <w:color w:val="auto"/>
        </w:rPr>
      </w:pPr>
      <w:r>
        <w:rPr>
          <w:rFonts w:ascii="Arial" w:cs="Arial" w:eastAsia="Arial" w:hAnsi="Arial"/>
          <w:sz w:val="16"/>
          <w:szCs w:val="16"/>
          <w:color w:val="auto"/>
        </w:rPr>
        <w:t>The Technology and Information Security Committee met five times in 2025.</w:t>
      </w:r>
    </w:p>
    <w:p>
      <w:pPr>
        <w:spacing w:after="0" w:line="1997" w:lineRule="exact"/>
        <w:rPr>
          <w:sz w:val="20"/>
          <w:szCs w:val="20"/>
          <w:color w:val="auto"/>
        </w:rPr>
      </w:pPr>
    </w:p>
    <w:p>
      <w:pPr>
        <w:sectPr>
          <w:pgSz w:w="11900" w:h="16838" w:orient="portrait"/>
          <w:cols w:equalWidth="0" w:num="2">
            <w:col w:w="6020" w:space="720"/>
            <w:col w:w="2319"/>
          </w:cols>
          <w:pgMar w:left="1400" w:top="1440" w:right="1440" w:bottom="862" w:gutter="0" w:footer="0" w:header="0"/>
          <w:type w:val="continuous"/>
        </w:sectPr>
      </w:pPr>
    </w:p>
    <w:p>
      <w:pPr>
        <w:spacing w:after="0" w:line="335" w:lineRule="exact"/>
        <w:rPr>
          <w:sz w:val="20"/>
          <w:szCs w:val="20"/>
          <w:color w:val="auto"/>
        </w:rPr>
      </w:pPr>
    </w:p>
    <w:p>
      <w:pPr>
        <w:ind w:right="1940"/>
        <w:spacing w:after="0" w:line="246" w:lineRule="auto"/>
        <w:rPr>
          <w:sz w:val="20"/>
          <w:szCs w:val="20"/>
          <w:color w:val="auto"/>
        </w:rPr>
      </w:pPr>
      <w:r>
        <w:rPr>
          <w:rFonts w:ascii="Arial" w:cs="Arial" w:eastAsia="Arial" w:hAnsi="Arial"/>
          <w:sz w:val="43"/>
          <w:szCs w:val="43"/>
          <w:color w:val="00558C"/>
        </w:rPr>
        <w:t>Finance and Capital Allocation Committee</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FFFFF"/>
        </w:rPr>
        <w:t>CHAIR: MR. LOCKHART</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MS. BROWN, MR. SAWYER AND MS. SINGH-BUSHELL</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Finance and Capital Allocation Committee</w:t>
      </w:r>
    </w:p>
    <w:p>
      <w:pPr>
        <w:spacing w:after="0" w:line="14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Finance and Capital Allocation Committee’s responsibilities include oversight of the Company’s financing strategy, plans and programs, including any financial risk mitigation practices and any share repurchase policy. The committee also oversees the Company’s approach to allocating and using its capital for strategic investments, and certain investment and investor-related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54"/>
          <w:szCs w:val="54"/>
          <w:color w:val="6AAA37"/>
        </w:rPr>
        <w:t>5</w:t>
      </w:r>
    </w:p>
    <w:p>
      <w:pPr>
        <w:spacing w:after="0" w:line="137" w:lineRule="exact"/>
        <w:rPr>
          <w:sz w:val="20"/>
          <w:szCs w:val="20"/>
          <w:color w:val="auto"/>
        </w:rPr>
      </w:pPr>
    </w:p>
    <w:p>
      <w:pPr>
        <w:jc w:val="both"/>
        <w:ind w:right="479"/>
        <w:spacing w:after="0" w:line="266" w:lineRule="auto"/>
        <w:rPr>
          <w:sz w:val="20"/>
          <w:szCs w:val="20"/>
          <w:color w:val="auto"/>
        </w:rPr>
      </w:pPr>
      <w:r>
        <w:rPr>
          <w:rFonts w:ascii="Arial" w:cs="Arial" w:eastAsia="Arial" w:hAnsi="Arial"/>
          <w:sz w:val="16"/>
          <w:szCs w:val="16"/>
          <w:color w:val="auto"/>
        </w:rPr>
        <w:t>The Finance and Capital Allocation Committee met five times in 2025.</w:t>
      </w:r>
    </w:p>
    <w:p>
      <w:pPr>
        <w:sectPr>
          <w:pgSz w:w="11900" w:h="16838" w:orient="portrait"/>
          <w:cols w:equalWidth="0" w:num="2">
            <w:col w:w="6020" w:space="720"/>
            <w:col w:w="2319"/>
          </w:cols>
          <w:pgMar w:left="1400" w:top="1440" w:right="1440" w:bottom="862" w:gutter="0" w:footer="0" w:header="0"/>
          <w:type w:val="continuous"/>
        </w:sectPr>
      </w:pPr>
    </w:p>
    <w:bookmarkStart w:id="28" w:name="page29"/>
    <w:bookmarkEnd w:id="28"/>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84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584835"/>
                    </a:xfrm>
                    <a:prstGeom prst="rect">
                      <a:avLst/>
                    </a:prstGeom>
                    <a:noFill/>
                  </pic:spPr>
                </pic:pic>
              </a:graphicData>
            </a:graphic>
          </wp:anchor>
        </w:drawing>
        <w:t>Huron Consulting Group Inc.</w:t>
      </w:r>
      <w:r>
        <w:rPr>
          <w:sz w:val="20"/>
          <w:szCs w:val="20"/>
          <w:color w:val="auto"/>
        </w:rPr>
        <w:tab/>
      </w:r>
      <w:r>
        <w:rPr>
          <w:rFonts w:ascii="Arial" w:cs="Arial" w:eastAsia="Arial" w:hAnsi="Arial"/>
          <w:sz w:val="25"/>
          <w:szCs w:val="25"/>
          <w:b w:val="1"/>
          <w:bCs w:val="1"/>
          <w:color w:val="00558C"/>
          <w:vertAlign w:val="superscript"/>
        </w:rPr>
        <w:t>21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67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Director Resignation Policy</w:t>
      </w:r>
    </w:p>
    <w:p>
      <w:pPr>
        <w:spacing w:after="0" w:line="13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following certification of the election results, subject to acceptance by the board.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Nominating and Corporate Governance Committee shall make a recommendation to the board as to whether to accept or reject the tendered resignation, or whether other action should be taken. The board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in making its decision may each consider any factors or other information that they consider appropriate and relevant.</w:t>
      </w:r>
    </w:p>
    <w:p>
      <w:pPr>
        <w:spacing w:after="0" w:line="1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Any director who tenders his or her resignation in accordance with the director resignation policy shall not participate in the recommendation of the Nominating and Corporate Governance Committee or the decision of the board with respect to his or her resignation. If a majority of the directors serving on the Nominating and Corporate Governance Committee have tendered their resignations in accordance with this policy, then the independent directors who did not tender their resignations shall appoint a committee amongst themselves to consider the resignations and make a recommendation to the board as to whether to accept or reject the tendered resignations, or whether other action should be taken.</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any director’s resignation is not accepted by the board, such director shall continue to serve until such director’s successor is duly elected and qualified, or until such director’s earlier death, resignation, retirement, disqualification or removal. If a director’s resignation is accepted by the board pursuant to this policy, then the board, in its sole discretion, may fill any resulting vacancy pursuant to the provisions of Section 2 of Article III of the bylaws of the Company or may decrease the size of the board pursuant to Section 1 of Article III of the bylaws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Range of Board Skills and Experience</w:t>
      </w:r>
    </w:p>
    <w:p>
      <w:pPr>
        <w:spacing w:after="0" w:line="15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Nominating and Corporate Governance Committee, in discussing board composition, has focused on including a range of experience and perspectives in relation to guiding and overseeing the development of the business and the increase in stockholder value. The board believes that having a range of experience and perspectives is aligned with the board’s objective to most effectively evaluate and support the Company's strategy going forward. In addition to the considerations mentioned above under the "Nominating and Corporate Governance Committee" section, the Nominating and Corporate Governance Committee seeks highly qualified candidates from prior executive management roles, directorships on public company boards and in relevant industries, and candidates with the ability to bring a range of thinking to the board, which includes various viewpoints, perspectives, experiences and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22</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99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378" w:right="1419" w:bottom="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00558C"/>
        </w:rPr>
        <w:t>Compensation of Directors</w:t>
      </w:r>
    </w:p>
    <w:p>
      <w:pPr>
        <w:sectPr>
          <w:pgSz w:w="11900" w:h="16838" w:orient="portrait"/>
          <w:cols w:equalWidth="0" w:num="1">
            <w:col w:w="9080"/>
          </w:cols>
          <w:pgMar w:left="1400" w:top="378" w:right="1419" w:bottom="0" w:gutter="0" w:footer="0" w:header="0"/>
          <w:type w:val="continuous"/>
        </w:sectPr>
      </w:pPr>
    </w:p>
    <w:bookmarkStart w:id="29" w:name="page30"/>
    <w:bookmarkEnd w:id="29"/>
    <w:p>
      <w:pPr>
        <w:ind w:right="159"/>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957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7957185"/>
                    </a:xfrm>
                    <a:prstGeom prst="rect">
                      <a:avLst/>
                    </a:prstGeom>
                    <a:noFill/>
                  </pic:spPr>
                </pic:pic>
              </a:graphicData>
            </a:graphic>
          </wp:anchor>
        </w:drawing>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Neither Mr. Roth nor Mr. Hussey receive compensation for their service on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May 12, 2025, the director compensation program is comprised of the following elements: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349"/>
        </w:trPr>
        <w:tc>
          <w:tcPr>
            <w:tcW w:w="292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FFFFFF"/>
              </w:rPr>
              <w:t>Compensation Element</w:t>
            </w:r>
          </w:p>
        </w:tc>
        <w:tc>
          <w:tcPr>
            <w:tcW w:w="60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Compensation</w:t>
            </w:r>
          </w:p>
        </w:tc>
      </w:tr>
      <w:tr>
        <w:trPr>
          <w:trHeight w:val="123"/>
        </w:trPr>
        <w:tc>
          <w:tcPr>
            <w:tcW w:w="2920" w:type="dxa"/>
            <w:vAlign w:val="bottom"/>
            <w:shd w:val="clear" w:color="auto" w:fill="00558C"/>
          </w:tcPr>
          <w:p>
            <w:pPr>
              <w:spacing w:after="0"/>
              <w:rPr>
                <w:sz w:val="10"/>
                <w:szCs w:val="10"/>
                <w:color w:val="auto"/>
              </w:rPr>
            </w:pPr>
          </w:p>
        </w:tc>
        <w:tc>
          <w:tcPr>
            <w:tcW w:w="6040" w:type="dxa"/>
            <w:vAlign w:val="bottom"/>
            <w:shd w:val="clear" w:color="auto" w:fill="00558C"/>
          </w:tcPr>
          <w:p>
            <w:pPr>
              <w:spacing w:after="0"/>
              <w:rPr>
                <w:sz w:val="10"/>
                <w:szCs w:val="10"/>
                <w:color w:val="auto"/>
              </w:rPr>
            </w:pPr>
          </w:p>
        </w:tc>
      </w:tr>
    </w:tbl>
    <w:p>
      <w:pPr>
        <w:spacing w:after="0" w:line="85" w:lineRule="exact"/>
        <w:rPr>
          <w:sz w:val="20"/>
          <w:szCs w:val="20"/>
          <w:color w:val="auto"/>
        </w:rPr>
      </w:pPr>
    </w:p>
    <w:p>
      <w:pPr>
        <w:sectPr>
          <w:pgSz w:w="11900" w:h="16838" w:orient="portrait"/>
          <w:cols w:equalWidth="0" w:num="1">
            <w:col w:w="9059"/>
          </w:cols>
          <w:pgMar w:left="1400" w:top="179" w:right="1440" w:bottom="652" w:gutter="0" w:footer="0" w:header="0"/>
        </w:sect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Annual cash retainer</w:t>
      </w:r>
      <w:r>
        <w:rPr>
          <w:rFonts w:ascii="Arial" w:cs="Arial" w:eastAsia="Arial" w:hAnsi="Arial"/>
          <w:sz w:val="18"/>
          <w:szCs w:val="18"/>
          <w:b w:val="1"/>
          <w:bCs w:val="1"/>
          <w:color w:val="auto"/>
          <w:vertAlign w:val="superscript"/>
        </w:rPr>
        <w:t>(1)(2)</w:t>
      </w: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Annual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Annual committee chairperson retainer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right="520"/>
        <w:spacing w:after="0" w:line="294" w:lineRule="auto"/>
        <w:rPr>
          <w:sz w:val="20"/>
          <w:szCs w:val="20"/>
          <w:color w:val="auto"/>
        </w:rPr>
      </w:pPr>
      <w:r>
        <w:rPr>
          <w:rFonts w:ascii="Arial" w:cs="Arial" w:eastAsia="Arial" w:hAnsi="Arial"/>
          <w:sz w:val="14"/>
          <w:szCs w:val="14"/>
          <w:b w:val="1"/>
          <w:bCs w:val="1"/>
          <w:color w:val="auto"/>
        </w:rPr>
        <w:t>Annual committee membership retainer, other than the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Stock ownership requirement</w:t>
      </w:r>
      <w:r>
        <w:rPr>
          <w:rFonts w:ascii="Arial" w:cs="Arial" w:eastAsia="Arial" w:hAnsi="Arial"/>
          <w:sz w:val="18"/>
          <w:szCs w:val="18"/>
          <w:b w:val="1"/>
          <w:bCs w:val="1"/>
          <w:color w:val="auto"/>
          <w:vertAlign w:val="superscript"/>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Non-executive Chairman - $160,000</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Vice Chairman - $85,000</w:t>
      </w:r>
      <w:r>
        <w:rPr>
          <w:rFonts w:ascii="Arial" w:cs="Arial" w:eastAsia="Arial" w:hAnsi="Arial"/>
          <w:sz w:val="18"/>
          <w:szCs w:val="18"/>
          <w:color w:val="auto"/>
          <w:vertAlign w:val="superscript"/>
        </w:rPr>
        <w:t>(3)</w:t>
      </w:r>
    </w:p>
    <w:p>
      <w:pPr>
        <w:spacing w:after="0" w:line="92" w:lineRule="exact"/>
        <w:rPr>
          <w:sz w:val="20"/>
          <w:szCs w:val="20"/>
          <w:color w:val="auto"/>
        </w:rPr>
      </w:pPr>
    </w:p>
    <w:p>
      <w:pPr>
        <w:ind w:right="479"/>
        <w:spacing w:after="0" w:line="285" w:lineRule="auto"/>
        <w:rPr>
          <w:sz w:val="20"/>
          <w:szCs w:val="20"/>
          <w:color w:val="auto"/>
        </w:rPr>
      </w:pPr>
      <w:r>
        <w:rPr>
          <w:rFonts w:ascii="Arial" w:cs="Arial" w:eastAsia="Arial" w:hAnsi="Arial"/>
          <w:sz w:val="14"/>
          <w:szCs w:val="14"/>
          <w:color w:val="auto"/>
        </w:rPr>
        <w:t>All non-employee directors including the Chairman - $80,000 (increased from $75,000 effective as of May 2025)</w:t>
      </w:r>
    </w:p>
    <w:p>
      <w:pPr>
        <w:spacing w:after="0" w:line="7" w:lineRule="exact"/>
        <w:rPr>
          <w:sz w:val="20"/>
          <w:szCs w:val="20"/>
          <w:color w:val="auto"/>
        </w:rPr>
      </w:pPr>
    </w:p>
    <w:p>
      <w:pPr>
        <w:ind w:right="99"/>
        <w:spacing w:after="0"/>
        <w:rPr>
          <w:sz w:val="20"/>
          <w:szCs w:val="20"/>
          <w:color w:val="auto"/>
        </w:rPr>
      </w:pPr>
      <w:r>
        <w:rPr>
          <w:rFonts w:ascii="Arial" w:cs="Arial" w:eastAsia="Arial" w:hAnsi="Arial"/>
          <w:sz w:val="14"/>
          <w:szCs w:val="14"/>
          <w:color w:val="auto"/>
        </w:rPr>
        <w:t>$180,000 in the form of restricted stock units</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(increased from $170,000 effective as of May 2025)</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Audit - $25,000 (increased from $20,000 effective as of May 2025)</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Compensation - $20,000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Nominating and Corporate Governance - $15,000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Technology and Information Security - $15,000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Finance and Capital Allocation - $15,000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Audit - $10,000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Compensation - $10,000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Nominating and Corporate Governance - $7,500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Technology and Information Security - $7,500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Finance and Capital Allocation - $7,500</w:t>
      </w:r>
    </w:p>
    <w:p>
      <w:pPr>
        <w:spacing w:after="0" w:line="190" w:lineRule="exact"/>
        <w:rPr>
          <w:sz w:val="20"/>
          <w:szCs w:val="20"/>
          <w:color w:val="auto"/>
        </w:rPr>
      </w:pPr>
    </w:p>
    <w:p>
      <w:pPr>
        <w:ind w:right="359"/>
        <w:spacing w:after="0" w:line="285" w:lineRule="auto"/>
        <w:rPr>
          <w:sz w:val="20"/>
          <w:szCs w:val="20"/>
          <w:color w:val="auto"/>
        </w:rPr>
      </w:pPr>
      <w:r>
        <w:rPr>
          <w:rFonts w:ascii="Arial" w:cs="Arial" w:eastAsia="Arial" w:hAnsi="Arial"/>
          <w:sz w:val="14"/>
          <w:szCs w:val="14"/>
          <w:color w:val="auto"/>
        </w:rPr>
        <w:t>Non-employee directors are expected to own Huron stock equal to five times the annual cash retainer</w:t>
      </w:r>
    </w:p>
    <w:p>
      <w:pPr>
        <w:spacing w:after="0" w:line="185" w:lineRule="exact"/>
        <w:rPr>
          <w:sz w:val="20"/>
          <w:szCs w:val="20"/>
          <w:color w:val="auto"/>
        </w:rPr>
      </w:pPr>
    </w:p>
    <w:p>
      <w:pPr>
        <w:sectPr>
          <w:pgSz w:w="11900" w:h="16838" w:orient="portrait"/>
          <w:cols w:equalWidth="0" w:num="2">
            <w:col w:w="2880" w:space="240"/>
            <w:col w:w="5939"/>
          </w:cols>
          <w:pgMar w:left="1400" w:top="179" w:right="1440" w:bottom="652" w:gutter="0" w:footer="0" w:header="0"/>
          <w:type w:val="continuous"/>
        </w:sectPr>
      </w:pPr>
    </w:p>
    <w:p>
      <w:pPr>
        <w:ind w:left="420" w:hanging="331"/>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non-executive chairman of the board is eligible for committee chair and committee membership fees.</w:t>
      </w:r>
    </w:p>
    <w:p>
      <w:pPr>
        <w:spacing w:after="0" w:line="68" w:lineRule="exact"/>
        <w:rPr>
          <w:rFonts w:ascii="Arial" w:cs="Arial" w:eastAsia="Arial" w:hAnsi="Arial"/>
          <w:sz w:val="14"/>
          <w:szCs w:val="14"/>
          <w:color w:val="auto"/>
        </w:rPr>
      </w:pPr>
    </w:p>
    <w:p>
      <w:pPr>
        <w:ind w:left="420" w:hanging="331"/>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directors are reimbursed for out-of-pocket expenses for attending board and committee meetings.</w:t>
      </w:r>
    </w:p>
    <w:p>
      <w:pPr>
        <w:spacing w:after="0" w:line="68" w:lineRule="exact"/>
        <w:rPr>
          <w:rFonts w:ascii="Arial" w:cs="Arial" w:eastAsia="Arial" w:hAnsi="Arial"/>
          <w:sz w:val="14"/>
          <w:szCs w:val="14"/>
          <w:color w:val="auto"/>
        </w:rPr>
      </w:pPr>
    </w:p>
    <w:p>
      <w:pPr>
        <w:ind w:left="420" w:hanging="331"/>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Roth, Vice Chairman, client services, is an employee, therefore, is not eligible for the Vice Chairman retainer.</w:t>
      </w:r>
    </w:p>
    <w:p>
      <w:pPr>
        <w:spacing w:after="0" w:line="55" w:lineRule="exact"/>
        <w:rPr>
          <w:rFonts w:ascii="Arial" w:cs="Arial" w:eastAsia="Arial" w:hAnsi="Arial"/>
          <w:sz w:val="14"/>
          <w:szCs w:val="14"/>
          <w:color w:val="auto"/>
        </w:rPr>
      </w:pPr>
    </w:p>
    <w:p>
      <w:pPr>
        <w:ind w:left="420" w:right="159" w:hanging="331"/>
        <w:spacing w:after="0" w:line="283"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Granted on the date of the Company’s annual meeting and priced based upon the closing stock price on the date of grant which vests fully on the first anniversary of the grant (effective May 2025, changed from vesting ratably over 12 quarters). If a new non-employee director joins the board after the Company’s annual meeting, the award is prorated as follows:</w:t>
      </w:r>
    </w:p>
    <w:p>
      <w:pPr>
        <w:spacing w:after="0" w:line="10"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  If the new director joins within six months of the Company’s annual meeting, the director will receive half of the annual grant.</w:t>
      </w:r>
    </w:p>
    <w:p>
      <w:pPr>
        <w:spacing w:after="0" w:line="68"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  If the new director joins over six months after the Company’s annual meeting, no grant will be made.</w:t>
      </w:r>
    </w:p>
    <w:p>
      <w:pPr>
        <w:spacing w:after="0" w:line="15" w:lineRule="exact"/>
        <w:rPr>
          <w:rFonts w:ascii="Arial" w:cs="Arial" w:eastAsia="Arial" w:hAnsi="Arial"/>
          <w:sz w:val="14"/>
          <w:szCs w:val="14"/>
          <w:color w:val="auto"/>
        </w:rPr>
      </w:pPr>
    </w:p>
    <w:p>
      <w:pPr>
        <w:ind w:left="420" w:right="179" w:hanging="331"/>
        <w:spacing w:after="0" w:line="284"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the Company’s share ownership guidelines applicable to executives, Mr. Hussey is expected to own Huron stock equal to five times his base salary, and Mr. Roth is expected to own Huron stock equal to one times his base salary.</w:t>
      </w:r>
    </w:p>
    <w:p>
      <w:pPr>
        <w:spacing w:after="0" w:line="127" w:lineRule="exact"/>
        <w:rPr>
          <w:sz w:val="20"/>
          <w:szCs w:val="20"/>
          <w:color w:val="auto"/>
        </w:rPr>
      </w:pPr>
    </w:p>
    <w:p>
      <w:pPr>
        <w:ind w:right="19"/>
        <w:spacing w:after="0" w:line="310"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COMPENSATION—2025 Nonqualified Deferred Compensation.” One director participated from 2013 through 2018, and again during 2024, and a second director elected to participate beginning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23</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2476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Director Compensation Table</w:t>
      </w:r>
    </w:p>
    <w:p>
      <w:pPr>
        <w:spacing w:after="0" w:line="139" w:lineRule="exact"/>
        <w:rPr>
          <w:sz w:val="20"/>
          <w:szCs w:val="20"/>
          <w:color w:val="auto"/>
        </w:rPr>
      </w:pPr>
    </w:p>
    <w:p>
      <w:pPr>
        <w:ind w:right="19"/>
        <w:spacing w:after="0" w:line="293" w:lineRule="auto"/>
        <w:rPr>
          <w:sz w:val="20"/>
          <w:szCs w:val="20"/>
          <w:color w:val="auto"/>
        </w:rPr>
      </w:pPr>
      <w:r>
        <w:rPr>
          <w:rFonts w:ascii="Arial" w:cs="Arial" w:eastAsia="Arial" w:hAnsi="Arial"/>
          <w:sz w:val="16"/>
          <w:szCs w:val="16"/>
          <w:color w:val="auto"/>
        </w:rPr>
        <w:t xml:space="preserve">The following table summarizes the fees paid and the aggregate grant date fair value of restricted stock units granted to each of the non-employee directors in 2025. Directors who are also officers or employees of the Company receive no compensation for duties performed as a director. For a discussion of Mr. Roth's senior management agreement and employee compensation for 2025, please see the section of this Proxy Statement titled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xml:space="preserve">. For a discussion of Mr. Hussey's senior management agreement and employee compensation for 2025, please see the section of this Proxy Statement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ectPr>
          <w:pgSz w:w="11900" w:h="16838" w:orient="portrait"/>
          <w:cols w:equalWidth="0" w:num="1">
            <w:col w:w="9059"/>
          </w:cols>
          <w:pgMar w:left="1400" w:top="179" w:right="1440" w:bottom="652" w:gutter="0" w:footer="0" w:header="0"/>
          <w:type w:val="continuous"/>
        </w:sectPr>
      </w:pPr>
    </w:p>
    <w:bookmarkStart w:id="30" w:name="page31"/>
    <w:bookmarkEnd w:id="30"/>
    <w:tbl>
      <w:tblPr>
        <w:tblLayout w:type="fixed"/>
        <w:tblInd w:w="160" w:type="dxa"/>
        <w:tblCellMar>
          <w:top w:w="0" w:type="dxa"/>
          <w:left w:w="0" w:type="dxa"/>
          <w:bottom w:w="0" w:type="dxa"/>
          <w:right w:w="0" w:type="dxa"/>
        </w:tblCellMar>
      </w:tblPr>
      <w:tr>
        <w:trPr>
          <w:trHeight w:val="161"/>
        </w:trPr>
        <w:tc>
          <w:tcPr>
            <w:tcW w:w="150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00558C"/>
              </w:rPr>
              <w:t>Joy T. Brown</w:t>
            </w:r>
            <w:r>
              <w:rPr>
                <w:rFonts w:ascii="Arial" w:cs="Arial" w:eastAsia="Arial" w:hAnsi="Arial"/>
                <w:sz w:val="9"/>
                <w:szCs w:val="9"/>
                <w:b w:val="1"/>
                <w:bCs w:val="1"/>
                <w:color w:val="00558C"/>
              </w:rPr>
              <w:t>(2)</w:t>
            </w:r>
          </w:p>
        </w:tc>
        <w:tc>
          <w:tcPr>
            <w:tcW w:w="3160" w:type="dxa"/>
            <w:vAlign w:val="bottom"/>
            <w:shd w:val="clear" w:color="auto" w:fill="00558C"/>
          </w:tcPr>
          <w:p>
            <w:pPr>
              <w:spacing w:after="0"/>
              <w:rPr>
                <w:sz w:val="14"/>
                <w:szCs w:val="14"/>
                <w:color w:val="auto"/>
              </w:rPr>
            </w:pPr>
          </w:p>
        </w:tc>
        <w:tc>
          <w:tcPr>
            <w:tcW w:w="1860" w:type="dxa"/>
            <w:vAlign w:val="bottom"/>
            <w:gridSpan w:val="2"/>
            <w:shd w:val="clear" w:color="auto" w:fill="00558C"/>
          </w:tcPr>
          <w:p>
            <w:pPr>
              <w:jc w:val="right"/>
              <w:ind w:right="413"/>
              <w:spacing w:after="0"/>
              <w:rPr>
                <w:sz w:val="20"/>
                <w:szCs w:val="20"/>
                <w:color w:val="auto"/>
              </w:rPr>
            </w:pPr>
            <w:r>
              <w:rPr>
                <w:rFonts w:ascii="Arial" w:cs="Arial" w:eastAsia="Arial" w:hAnsi="Arial"/>
                <w:sz w:val="14"/>
                <w:szCs w:val="14"/>
                <w:color w:val="auto"/>
              </w:rPr>
              <w:t>110,000</w:t>
            </w:r>
          </w:p>
        </w:tc>
        <w:tc>
          <w:tcPr>
            <w:tcW w:w="1460" w:type="dxa"/>
            <w:vAlign w:val="bottom"/>
            <w:gridSpan w:val="2"/>
            <w:shd w:val="clear" w:color="auto" w:fill="00558C"/>
          </w:tcPr>
          <w:p>
            <w:pPr>
              <w:jc w:val="right"/>
              <w:ind w:right="373"/>
              <w:spacing w:after="0"/>
              <w:rPr>
                <w:sz w:val="20"/>
                <w:szCs w:val="20"/>
                <w:color w:val="auto"/>
              </w:rPr>
            </w:pPr>
            <w:r>
              <w:rPr>
                <w:rFonts w:ascii="Arial" w:cs="Arial" w:eastAsia="Arial" w:hAnsi="Arial"/>
                <w:sz w:val="14"/>
                <w:szCs w:val="14"/>
                <w:color w:val="auto"/>
              </w:rPr>
              <w:t>179,950</w:t>
            </w:r>
          </w:p>
        </w:tc>
        <w:tc>
          <w:tcPr>
            <w:tcW w:w="1100" w:type="dxa"/>
            <w:vAlign w:val="bottom"/>
            <w:shd w:val="clear" w:color="auto" w:fill="00558C"/>
          </w:tcPr>
          <w:p>
            <w:pPr>
              <w:jc w:val="right"/>
              <w:ind w:right="91"/>
              <w:spacing w:after="0"/>
              <w:rPr>
                <w:sz w:val="20"/>
                <w:szCs w:val="20"/>
                <w:color w:val="auto"/>
              </w:rPr>
            </w:pPr>
            <w:r>
              <w:rPr>
                <w:rFonts w:ascii="Arial" w:cs="Arial" w:eastAsia="Arial" w:hAnsi="Arial"/>
                <w:sz w:val="14"/>
                <w:szCs w:val="14"/>
                <w:color w:val="auto"/>
              </w:rPr>
              <w:t>289,950</w:t>
            </w:r>
          </w:p>
        </w:tc>
        <w:tc>
          <w:tcPr>
            <w:tcW w:w="0" w:type="dxa"/>
            <w:vAlign w:val="bottom"/>
          </w:tcPr>
          <w:p>
            <w:pPr>
              <w:spacing w:after="0"/>
              <w:rPr>
                <w:sz w:val="1"/>
                <w:szCs w:val="1"/>
                <w:color w:val="auto"/>
              </w:rPr>
            </w:pPr>
          </w:p>
        </w:tc>
      </w:tr>
      <w:tr>
        <w:trPr>
          <w:trHeight w:val="176"/>
        </w:trPr>
        <w:tc>
          <w:tcPr>
            <w:tcW w:w="1500" w:type="dxa"/>
            <w:vAlign w:val="bottom"/>
            <w:shd w:val="clear" w:color="auto" w:fill="00558C"/>
          </w:tcPr>
          <w:p>
            <w:pPr>
              <w:spacing w:after="0"/>
              <w:rPr>
                <w:sz w:val="15"/>
                <w:szCs w:val="15"/>
                <w:color w:val="auto"/>
              </w:rPr>
            </w:pPr>
          </w:p>
        </w:tc>
        <w:tc>
          <w:tcPr>
            <w:tcW w:w="3160" w:type="dxa"/>
            <w:vAlign w:val="bottom"/>
            <w:shd w:val="clear" w:color="auto" w:fill="00558C"/>
          </w:tcPr>
          <w:p>
            <w:pPr>
              <w:spacing w:after="0"/>
              <w:rPr>
                <w:sz w:val="15"/>
                <w:szCs w:val="15"/>
                <w:color w:val="auto"/>
              </w:rPr>
            </w:pPr>
          </w:p>
        </w:tc>
        <w:tc>
          <w:tcPr>
            <w:tcW w:w="1860" w:type="dxa"/>
            <w:vAlign w:val="bottom"/>
            <w:gridSpan w:val="2"/>
            <w:shd w:val="clear" w:color="auto" w:fill="00558C"/>
          </w:tcPr>
          <w:p>
            <w:pPr>
              <w:jc w:val="right"/>
              <w:ind w:right="493"/>
              <w:spacing w:after="0"/>
              <w:rPr>
                <w:sz w:val="20"/>
                <w:szCs w:val="20"/>
                <w:color w:val="auto"/>
              </w:rPr>
            </w:pPr>
            <w:r>
              <w:rPr>
                <w:rFonts w:ascii="Arial" w:cs="Arial" w:eastAsia="Arial" w:hAnsi="Arial"/>
                <w:sz w:val="14"/>
                <w:szCs w:val="14"/>
                <w:b w:val="1"/>
                <w:bCs w:val="1"/>
                <w:color w:val="FFFFFF"/>
              </w:rPr>
              <w:t>Fees Earned or</w:t>
            </w:r>
          </w:p>
        </w:tc>
        <w:tc>
          <w:tcPr>
            <w:tcW w:w="1460" w:type="dxa"/>
            <w:vAlign w:val="bottom"/>
            <w:gridSpan w:val="2"/>
            <w:shd w:val="clear" w:color="auto" w:fill="00558C"/>
          </w:tcPr>
          <w:p>
            <w:pPr>
              <w:jc w:val="right"/>
              <w:ind w:right="413"/>
              <w:spacing w:after="0"/>
              <w:rPr>
                <w:sz w:val="20"/>
                <w:szCs w:val="20"/>
                <w:color w:val="auto"/>
              </w:rPr>
            </w:pPr>
            <w:r>
              <w:rPr>
                <w:rFonts w:ascii="Arial" w:cs="Arial" w:eastAsia="Arial" w:hAnsi="Arial"/>
                <w:sz w:val="14"/>
                <w:szCs w:val="14"/>
                <w:b w:val="1"/>
                <w:bCs w:val="1"/>
                <w:color w:val="FFFFFF"/>
              </w:rPr>
              <w:t>Stock</w:t>
            </w:r>
          </w:p>
        </w:tc>
        <w:tc>
          <w:tcPr>
            <w:tcW w:w="1100" w:type="dxa"/>
            <w:vAlign w:val="bottom"/>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00558C"/>
          </w:tcPr>
          <w:p>
            <w:pPr>
              <w:spacing w:after="0"/>
              <w:rPr>
                <w:sz w:val="12"/>
                <w:szCs w:val="12"/>
                <w:color w:val="auto"/>
              </w:rPr>
            </w:pPr>
          </w:p>
        </w:tc>
        <w:tc>
          <w:tcPr>
            <w:tcW w:w="3160" w:type="dxa"/>
            <w:vAlign w:val="bottom"/>
            <w:vMerge w:val="restart"/>
            <w:shd w:val="clear" w:color="auto" w:fill="00558C"/>
          </w:tcPr>
          <w:p>
            <w:pPr>
              <w:jc w:val="right"/>
              <w:ind w:right="2993"/>
              <w:spacing w:after="0"/>
              <w:rPr>
                <w:sz w:val="20"/>
                <w:szCs w:val="20"/>
                <w:color w:val="auto"/>
              </w:rPr>
            </w:pPr>
            <w:r>
              <w:rPr>
                <w:rFonts w:ascii="Arial" w:cs="Arial" w:eastAsia="Arial" w:hAnsi="Arial"/>
                <w:sz w:val="9"/>
                <w:szCs w:val="9"/>
                <w:b w:val="1"/>
                <w:bCs w:val="1"/>
                <w:color w:val="00558C"/>
                <w:w w:val="90"/>
              </w:rPr>
              <w:t>(2)</w:t>
            </w:r>
          </w:p>
        </w:tc>
        <w:tc>
          <w:tcPr>
            <w:tcW w:w="1860" w:type="dxa"/>
            <w:vAlign w:val="bottom"/>
            <w:gridSpan w:val="2"/>
            <w:shd w:val="clear" w:color="auto" w:fill="00558C"/>
          </w:tcPr>
          <w:p>
            <w:pPr>
              <w:jc w:val="right"/>
              <w:ind w:right="473"/>
              <w:spacing w:after="0" w:line="145" w:lineRule="exact"/>
              <w:rPr>
                <w:sz w:val="20"/>
                <w:szCs w:val="20"/>
                <w:color w:val="auto"/>
              </w:rPr>
            </w:pPr>
            <w:r>
              <w:rPr>
                <w:rFonts w:ascii="Arial" w:cs="Arial" w:eastAsia="Arial" w:hAnsi="Arial"/>
                <w:sz w:val="14"/>
                <w:szCs w:val="14"/>
                <w:b w:val="1"/>
                <w:bCs w:val="1"/>
                <w:color w:val="FFFFFF"/>
              </w:rPr>
              <w:t>Paid in Cash</w:t>
            </w:r>
          </w:p>
        </w:tc>
        <w:tc>
          <w:tcPr>
            <w:tcW w:w="1460" w:type="dxa"/>
            <w:vAlign w:val="bottom"/>
            <w:gridSpan w:val="2"/>
            <w:shd w:val="clear" w:color="auto" w:fill="00558C"/>
          </w:tcPr>
          <w:p>
            <w:pPr>
              <w:jc w:val="right"/>
              <w:ind w:right="433"/>
              <w:spacing w:after="0" w:line="145" w:lineRule="exact"/>
              <w:rPr>
                <w:sz w:val="20"/>
                <w:szCs w:val="20"/>
                <w:color w:val="auto"/>
              </w:rPr>
            </w:pPr>
            <w:r>
              <w:rPr>
                <w:rFonts w:ascii="Arial" w:cs="Arial" w:eastAsia="Arial" w:hAnsi="Arial"/>
                <w:sz w:val="14"/>
                <w:szCs w:val="14"/>
                <w:b w:val="1"/>
                <w:bCs w:val="1"/>
                <w:color w:val="FFFFFF"/>
              </w:rPr>
              <w:t>Awards</w:t>
            </w:r>
          </w:p>
        </w:tc>
        <w:tc>
          <w:tcPr>
            <w:tcW w:w="1100" w:type="dxa"/>
            <w:vAlign w:val="bottom"/>
            <w:shd w:val="clear" w:color="auto" w:fill="00558C"/>
          </w:tcPr>
          <w:p>
            <w:pPr>
              <w:jc w:val="right"/>
              <w:ind w:right="151"/>
              <w:spacing w:after="0" w:line="145"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54"/>
        </w:trPr>
        <w:tc>
          <w:tcPr>
            <w:tcW w:w="1500" w:type="dxa"/>
            <w:vAlign w:val="bottom"/>
            <w:shd w:val="clear" w:color="auto" w:fill="00558C"/>
          </w:tcPr>
          <w:p>
            <w:pPr>
              <w:spacing w:after="0"/>
              <w:rPr>
                <w:sz w:val="4"/>
                <w:szCs w:val="4"/>
                <w:color w:val="auto"/>
              </w:rPr>
            </w:pPr>
          </w:p>
        </w:tc>
        <w:tc>
          <w:tcPr>
            <w:tcW w:w="3160" w:type="dxa"/>
            <w:vAlign w:val="bottom"/>
            <w:vMerge w:val="continue"/>
            <w:shd w:val="clear" w:color="auto" w:fill="00558C"/>
          </w:tcPr>
          <w:p>
            <w:pPr>
              <w:spacing w:after="0"/>
              <w:rPr>
                <w:sz w:val="4"/>
                <w:szCs w:val="4"/>
                <w:color w:val="auto"/>
              </w:rPr>
            </w:pPr>
          </w:p>
        </w:tc>
        <w:tc>
          <w:tcPr>
            <w:tcW w:w="1860" w:type="dxa"/>
            <w:vAlign w:val="bottom"/>
            <w:gridSpan w:val="2"/>
            <w:vMerge w:val="restart"/>
            <w:shd w:val="clear" w:color="auto" w:fill="00558C"/>
          </w:tcPr>
          <w:p>
            <w:pPr>
              <w:jc w:val="right"/>
              <w:ind w:right="413"/>
              <w:spacing w:after="0" w:line="74" w:lineRule="exact"/>
              <w:rPr>
                <w:sz w:val="20"/>
                <w:szCs w:val="20"/>
                <w:color w:val="auto"/>
              </w:rPr>
            </w:pPr>
            <w:r>
              <w:rPr>
                <w:rFonts w:ascii="Arial" w:cs="Arial" w:eastAsia="Arial" w:hAnsi="Arial"/>
                <w:sz w:val="8"/>
                <w:szCs w:val="8"/>
                <w:color w:val="auto"/>
              </w:rPr>
              <w:t>112,500</w:t>
            </w:r>
          </w:p>
        </w:tc>
        <w:tc>
          <w:tcPr>
            <w:tcW w:w="1460" w:type="dxa"/>
            <w:vAlign w:val="bottom"/>
            <w:gridSpan w:val="2"/>
            <w:vMerge w:val="restart"/>
            <w:shd w:val="clear" w:color="auto" w:fill="00558C"/>
          </w:tcPr>
          <w:p>
            <w:pPr>
              <w:jc w:val="right"/>
              <w:ind w:right="373"/>
              <w:spacing w:after="0" w:line="74" w:lineRule="exact"/>
              <w:rPr>
                <w:sz w:val="20"/>
                <w:szCs w:val="20"/>
                <w:color w:val="auto"/>
              </w:rPr>
            </w:pPr>
            <w:r>
              <w:rPr>
                <w:rFonts w:ascii="Arial" w:cs="Arial" w:eastAsia="Arial" w:hAnsi="Arial"/>
                <w:sz w:val="8"/>
                <w:szCs w:val="8"/>
                <w:color w:val="auto"/>
              </w:rPr>
              <w:t>179,950</w:t>
            </w:r>
          </w:p>
        </w:tc>
        <w:tc>
          <w:tcPr>
            <w:tcW w:w="1100" w:type="dxa"/>
            <w:vAlign w:val="bottom"/>
            <w:vMerge w:val="restart"/>
            <w:shd w:val="clear" w:color="auto" w:fill="00558C"/>
          </w:tcPr>
          <w:p>
            <w:pPr>
              <w:jc w:val="right"/>
              <w:ind w:right="91"/>
              <w:spacing w:after="0" w:line="74" w:lineRule="exact"/>
              <w:rPr>
                <w:sz w:val="20"/>
                <w:szCs w:val="20"/>
                <w:color w:val="auto"/>
              </w:rPr>
            </w:pPr>
            <w:r>
              <w:rPr>
                <w:rFonts w:ascii="Arial" w:cs="Arial" w:eastAsia="Arial" w:hAnsi="Arial"/>
                <w:sz w:val="8"/>
                <w:szCs w:val="8"/>
                <w:color w:val="auto"/>
              </w:rPr>
              <w:t>292,450</w:t>
            </w:r>
          </w:p>
        </w:tc>
        <w:tc>
          <w:tcPr>
            <w:tcW w:w="0" w:type="dxa"/>
            <w:vAlign w:val="bottom"/>
          </w:tcPr>
          <w:p>
            <w:pPr>
              <w:spacing w:after="0"/>
              <w:rPr>
                <w:sz w:val="1"/>
                <w:szCs w:val="1"/>
                <w:color w:val="auto"/>
              </w:rPr>
            </w:pPr>
          </w:p>
        </w:tc>
      </w:tr>
      <w:tr>
        <w:trPr>
          <w:trHeight w:val="20"/>
        </w:trPr>
        <w:tc>
          <w:tcPr>
            <w:tcW w:w="4660" w:type="dxa"/>
            <w:vAlign w:val="bottom"/>
            <w:gridSpan w:val="2"/>
            <w:shd w:val="clear" w:color="auto" w:fill="00558C"/>
          </w:tcPr>
          <w:p>
            <w:pPr>
              <w:ind w:left="140"/>
              <w:spacing w:after="0" w:line="21" w:lineRule="exact"/>
              <w:rPr>
                <w:sz w:val="20"/>
                <w:szCs w:val="20"/>
                <w:color w:val="auto"/>
              </w:rPr>
            </w:pPr>
            <w:r>
              <w:rPr>
                <w:rFonts w:ascii="Arial" w:cs="Arial" w:eastAsia="Arial" w:hAnsi="Arial"/>
                <w:sz w:val="2"/>
                <w:szCs w:val="2"/>
                <w:b w:val="1"/>
                <w:bCs w:val="1"/>
                <w:color w:val="00558C"/>
              </w:rPr>
              <w:t>H. Eugene Lockhart</w:t>
            </w:r>
          </w:p>
        </w:tc>
        <w:tc>
          <w:tcPr>
            <w:tcW w:w="1860" w:type="dxa"/>
            <w:vAlign w:val="bottom"/>
            <w:gridSpan w:val="2"/>
            <w:vMerge w:val="continue"/>
            <w:shd w:val="clear" w:color="auto" w:fill="00558C"/>
          </w:tcPr>
          <w:p>
            <w:pPr>
              <w:spacing w:after="0" w:line="20" w:lineRule="exact"/>
              <w:rPr>
                <w:sz w:val="1"/>
                <w:szCs w:val="1"/>
                <w:color w:val="auto"/>
              </w:rPr>
            </w:pPr>
          </w:p>
        </w:tc>
        <w:tc>
          <w:tcPr>
            <w:tcW w:w="1460" w:type="dxa"/>
            <w:vAlign w:val="bottom"/>
            <w:gridSpan w:val="2"/>
            <w:vMerge w:val="continue"/>
            <w:shd w:val="clear" w:color="auto" w:fill="00558C"/>
          </w:tcPr>
          <w:p>
            <w:pPr>
              <w:spacing w:after="0" w:line="20" w:lineRule="exact"/>
              <w:rPr>
                <w:sz w:val="1"/>
                <w:szCs w:val="1"/>
                <w:color w:val="auto"/>
              </w:rPr>
            </w:pPr>
          </w:p>
        </w:tc>
        <w:tc>
          <w:tcPr>
            <w:tcW w:w="1100" w:type="dxa"/>
            <w:vAlign w:val="bottom"/>
            <w:vMerge w:val="continue"/>
            <w:shd w:val="clear" w:color="auto" w:fill="00558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50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3160" w:type="dxa"/>
            <w:vAlign w:val="bottom"/>
            <w:shd w:val="clear" w:color="auto" w:fill="00558C"/>
          </w:tcPr>
          <w:p>
            <w:pPr>
              <w:spacing w:after="0"/>
              <w:rPr>
                <w:sz w:val="8"/>
                <w:szCs w:val="8"/>
                <w:color w:val="auto"/>
              </w:rPr>
            </w:pPr>
          </w:p>
        </w:tc>
        <w:tc>
          <w:tcPr>
            <w:tcW w:w="1260" w:type="dxa"/>
            <w:vAlign w:val="bottom"/>
            <w:vMerge w:val="restart"/>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00558C"/>
          </w:tcPr>
          <w:p>
            <w:pPr>
              <w:jc w:val="right"/>
              <w:ind w:right="433"/>
              <w:spacing w:after="0" w:line="101" w:lineRule="exact"/>
              <w:rPr>
                <w:sz w:val="20"/>
                <w:szCs w:val="20"/>
                <w:color w:val="auto"/>
              </w:rPr>
            </w:pPr>
            <w:r>
              <w:rPr>
                <w:rFonts w:ascii="Arial" w:cs="Arial" w:eastAsia="Arial" w:hAnsi="Arial"/>
                <w:sz w:val="9"/>
                <w:szCs w:val="9"/>
                <w:b w:val="1"/>
                <w:bCs w:val="1"/>
                <w:color w:val="FFFFFF"/>
                <w:w w:val="90"/>
              </w:rPr>
              <w:t>(4)</w:t>
            </w:r>
          </w:p>
        </w:tc>
        <w:tc>
          <w:tcPr>
            <w:tcW w:w="920" w:type="dxa"/>
            <w:vAlign w:val="bottom"/>
            <w:vMerge w:val="restart"/>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540" w:type="dxa"/>
            <w:vAlign w:val="bottom"/>
            <w:shd w:val="clear" w:color="auto" w:fill="00558C"/>
          </w:tcPr>
          <w:p>
            <w:pPr>
              <w:jc w:val="right"/>
              <w:ind w:right="353"/>
              <w:spacing w:after="0" w:line="101" w:lineRule="exact"/>
              <w:rPr>
                <w:sz w:val="20"/>
                <w:szCs w:val="20"/>
                <w:color w:val="auto"/>
              </w:rPr>
            </w:pPr>
            <w:r>
              <w:rPr>
                <w:rFonts w:ascii="Arial" w:cs="Arial" w:eastAsia="Arial" w:hAnsi="Arial"/>
                <w:sz w:val="9"/>
                <w:szCs w:val="9"/>
                <w:b w:val="1"/>
                <w:bCs w:val="1"/>
                <w:color w:val="FFFFFF"/>
              </w:rPr>
              <w:t>(1)</w:t>
            </w:r>
          </w:p>
        </w:tc>
        <w:tc>
          <w:tcPr>
            <w:tcW w:w="1100" w:type="dxa"/>
            <w:vAlign w:val="bottom"/>
            <w:vMerge w:val="restart"/>
            <w:shd w:val="clear" w:color="auto" w:fill="00558C"/>
          </w:tcPr>
          <w:p>
            <w:pPr>
              <w:jc w:val="right"/>
              <w:ind w:right="111"/>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8"/>
        </w:trPr>
        <w:tc>
          <w:tcPr>
            <w:tcW w:w="1500" w:type="dxa"/>
            <w:vAlign w:val="bottom"/>
            <w:vMerge w:val="continue"/>
            <w:shd w:val="clear" w:color="auto" w:fill="00558C"/>
          </w:tcPr>
          <w:p>
            <w:pPr>
              <w:spacing w:after="0"/>
              <w:rPr>
                <w:sz w:val="5"/>
                <w:szCs w:val="5"/>
                <w:color w:val="auto"/>
              </w:rPr>
            </w:pPr>
          </w:p>
        </w:tc>
        <w:tc>
          <w:tcPr>
            <w:tcW w:w="3160" w:type="dxa"/>
            <w:vAlign w:val="bottom"/>
            <w:shd w:val="clear" w:color="auto" w:fill="00558C"/>
          </w:tcPr>
          <w:p>
            <w:pPr>
              <w:spacing w:after="0"/>
              <w:rPr>
                <w:sz w:val="5"/>
                <w:szCs w:val="5"/>
                <w:color w:val="auto"/>
              </w:rPr>
            </w:pPr>
          </w:p>
        </w:tc>
        <w:tc>
          <w:tcPr>
            <w:tcW w:w="1260" w:type="dxa"/>
            <w:vAlign w:val="bottom"/>
            <w:vMerge w:val="continue"/>
            <w:shd w:val="clear" w:color="auto" w:fill="00558C"/>
          </w:tcPr>
          <w:p>
            <w:pPr>
              <w:spacing w:after="0"/>
              <w:rPr>
                <w:sz w:val="5"/>
                <w:szCs w:val="5"/>
                <w:color w:val="auto"/>
              </w:rPr>
            </w:pPr>
          </w:p>
        </w:tc>
        <w:tc>
          <w:tcPr>
            <w:tcW w:w="600" w:type="dxa"/>
            <w:vAlign w:val="bottom"/>
            <w:shd w:val="clear" w:color="auto" w:fill="00558C"/>
          </w:tcPr>
          <w:p>
            <w:pPr>
              <w:spacing w:after="0"/>
              <w:rPr>
                <w:sz w:val="5"/>
                <w:szCs w:val="5"/>
                <w:color w:val="auto"/>
              </w:rPr>
            </w:pPr>
          </w:p>
        </w:tc>
        <w:tc>
          <w:tcPr>
            <w:tcW w:w="920" w:type="dxa"/>
            <w:vAlign w:val="bottom"/>
            <w:vMerge w:val="continue"/>
            <w:shd w:val="clear" w:color="auto" w:fill="00558C"/>
          </w:tcPr>
          <w:p>
            <w:pPr>
              <w:spacing w:after="0"/>
              <w:rPr>
                <w:sz w:val="5"/>
                <w:szCs w:val="5"/>
                <w:color w:val="auto"/>
              </w:rPr>
            </w:pPr>
          </w:p>
        </w:tc>
        <w:tc>
          <w:tcPr>
            <w:tcW w:w="540" w:type="dxa"/>
            <w:vAlign w:val="bottom"/>
            <w:shd w:val="clear" w:color="auto" w:fill="00558C"/>
          </w:tcPr>
          <w:p>
            <w:pPr>
              <w:spacing w:after="0"/>
              <w:rPr>
                <w:sz w:val="5"/>
                <w:szCs w:val="5"/>
                <w:color w:val="auto"/>
              </w:rPr>
            </w:pPr>
          </w:p>
        </w:tc>
        <w:tc>
          <w:tcPr>
            <w:tcW w:w="1100" w:type="dxa"/>
            <w:vAlign w:val="bottom"/>
            <w:vMerge w:val="continue"/>
            <w:shd w:val="clear" w:color="auto" w:fill="00558C"/>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00558C"/>
          </w:tcPr>
          <w:p>
            <w:pPr>
              <w:spacing w:after="0"/>
              <w:rPr>
                <w:sz w:val="8"/>
                <w:szCs w:val="8"/>
                <w:color w:val="auto"/>
              </w:rPr>
            </w:pPr>
          </w:p>
        </w:tc>
        <w:tc>
          <w:tcPr>
            <w:tcW w:w="3160" w:type="dxa"/>
            <w:vAlign w:val="bottom"/>
            <w:shd w:val="clear" w:color="auto" w:fill="00558C"/>
          </w:tcPr>
          <w:p>
            <w:pPr>
              <w:spacing w:after="0"/>
              <w:rPr>
                <w:sz w:val="8"/>
                <w:szCs w:val="8"/>
                <w:color w:val="auto"/>
              </w:rPr>
            </w:pPr>
          </w:p>
        </w:tc>
        <w:tc>
          <w:tcPr>
            <w:tcW w:w="1860" w:type="dxa"/>
            <w:vAlign w:val="bottom"/>
            <w:gridSpan w:val="2"/>
            <w:shd w:val="clear" w:color="auto" w:fill="00558C"/>
          </w:tcPr>
          <w:p>
            <w:pPr>
              <w:spacing w:after="0"/>
              <w:rPr>
                <w:sz w:val="8"/>
                <w:szCs w:val="8"/>
                <w:color w:val="auto"/>
              </w:rPr>
            </w:pPr>
          </w:p>
        </w:tc>
        <w:tc>
          <w:tcPr>
            <w:tcW w:w="1460" w:type="dxa"/>
            <w:vAlign w:val="bottom"/>
            <w:gridSpan w:val="2"/>
            <w:shd w:val="clear" w:color="auto" w:fill="00558C"/>
          </w:tcPr>
          <w:p>
            <w:pPr>
              <w:spacing w:after="0"/>
              <w:rPr>
                <w:sz w:val="8"/>
                <w:szCs w:val="8"/>
                <w:color w:val="auto"/>
              </w:rPr>
            </w:pPr>
          </w:p>
        </w:tc>
        <w:tc>
          <w:tcPr>
            <w:tcW w:w="110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5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Peter K. Markell</w:t>
            </w:r>
            <w:r>
              <w:rPr>
                <w:rFonts w:ascii="Arial" w:cs="Arial" w:eastAsia="Arial" w:hAnsi="Arial"/>
                <w:sz w:val="18"/>
                <w:szCs w:val="18"/>
                <w:b w:val="1"/>
                <w:bCs w:val="1"/>
                <w:color w:val="00558C"/>
                <w:vertAlign w:val="superscript"/>
              </w:rPr>
              <w:t>(2)</w:t>
            </w:r>
          </w:p>
        </w:tc>
        <w:tc>
          <w:tcPr>
            <w:tcW w:w="3160" w:type="dxa"/>
            <w:vAlign w:val="bottom"/>
            <w:shd w:val="clear" w:color="auto" w:fill="F2F3F2"/>
          </w:tcPr>
          <w:p>
            <w:pPr>
              <w:spacing w:after="0"/>
              <w:rPr>
                <w:sz w:val="24"/>
                <w:szCs w:val="24"/>
                <w:color w:val="auto"/>
              </w:rPr>
            </w:pPr>
          </w:p>
        </w:tc>
        <w:tc>
          <w:tcPr>
            <w:tcW w:w="1860" w:type="dxa"/>
            <w:vAlign w:val="bottom"/>
            <w:gridSpan w:val="2"/>
            <w:shd w:val="clear" w:color="auto" w:fill="F2F3F2"/>
          </w:tcPr>
          <w:p>
            <w:pPr>
              <w:jc w:val="right"/>
              <w:ind w:right="413"/>
              <w:spacing w:after="0"/>
              <w:rPr>
                <w:sz w:val="20"/>
                <w:szCs w:val="20"/>
                <w:color w:val="auto"/>
              </w:rPr>
            </w:pPr>
            <w:r>
              <w:rPr>
                <w:rFonts w:ascii="Arial" w:cs="Arial" w:eastAsia="Arial" w:hAnsi="Arial"/>
                <w:sz w:val="14"/>
                <w:szCs w:val="14"/>
                <w:color w:val="auto"/>
              </w:rPr>
              <w:t>120,000</w:t>
            </w:r>
          </w:p>
        </w:tc>
        <w:tc>
          <w:tcPr>
            <w:tcW w:w="1460" w:type="dxa"/>
            <w:vAlign w:val="bottom"/>
            <w:gridSpan w:val="2"/>
            <w:shd w:val="clear" w:color="auto" w:fill="F2F3F2"/>
          </w:tcPr>
          <w:p>
            <w:pPr>
              <w:jc w:val="right"/>
              <w:ind w:right="373"/>
              <w:spacing w:after="0"/>
              <w:rPr>
                <w:sz w:val="20"/>
                <w:szCs w:val="20"/>
                <w:color w:val="auto"/>
              </w:rPr>
            </w:pPr>
            <w:r>
              <w:rPr>
                <w:rFonts w:ascii="Arial" w:cs="Arial" w:eastAsia="Arial" w:hAnsi="Arial"/>
                <w:sz w:val="14"/>
                <w:szCs w:val="14"/>
                <w:color w:val="auto"/>
              </w:rPr>
              <w:t>179,950</w:t>
            </w:r>
          </w:p>
        </w:tc>
        <w:tc>
          <w:tcPr>
            <w:tcW w:w="1100" w:type="dxa"/>
            <w:vAlign w:val="bottom"/>
            <w:shd w:val="clear" w:color="auto" w:fill="F2F3F2"/>
          </w:tcPr>
          <w:p>
            <w:pPr>
              <w:jc w:val="right"/>
              <w:ind w:right="91"/>
              <w:spacing w:after="0"/>
              <w:rPr>
                <w:sz w:val="20"/>
                <w:szCs w:val="20"/>
                <w:color w:val="auto"/>
              </w:rPr>
            </w:pPr>
            <w:r>
              <w:rPr>
                <w:rFonts w:ascii="Arial" w:cs="Arial" w:eastAsia="Arial" w:hAnsi="Arial"/>
                <w:sz w:val="14"/>
                <w:szCs w:val="14"/>
                <w:color w:val="auto"/>
              </w:rPr>
              <w:t>299,950</w:t>
            </w:r>
          </w:p>
        </w:tc>
        <w:tc>
          <w:tcPr>
            <w:tcW w:w="0" w:type="dxa"/>
            <w:vAlign w:val="bottom"/>
          </w:tcPr>
          <w:p>
            <w:pPr>
              <w:spacing w:after="0"/>
              <w:rPr>
                <w:sz w:val="1"/>
                <w:szCs w:val="1"/>
                <w:color w:val="auto"/>
              </w:rPr>
            </w:pPr>
          </w:p>
        </w:tc>
      </w:tr>
      <w:tr>
        <w:trPr>
          <w:trHeight w:val="123"/>
        </w:trPr>
        <w:tc>
          <w:tcPr>
            <w:tcW w:w="1500" w:type="dxa"/>
            <w:vAlign w:val="bottom"/>
            <w:shd w:val="clear" w:color="auto" w:fill="F2F3F2"/>
          </w:tcPr>
          <w:p>
            <w:pPr>
              <w:spacing w:after="0"/>
              <w:rPr>
                <w:sz w:val="10"/>
                <w:szCs w:val="10"/>
                <w:color w:val="auto"/>
              </w:rPr>
            </w:pPr>
          </w:p>
        </w:tc>
        <w:tc>
          <w:tcPr>
            <w:tcW w:w="3160" w:type="dxa"/>
            <w:vAlign w:val="bottom"/>
            <w:shd w:val="clear" w:color="auto" w:fill="F2F3F2"/>
          </w:tcPr>
          <w:p>
            <w:pPr>
              <w:spacing w:after="0"/>
              <w:rPr>
                <w:sz w:val="10"/>
                <w:szCs w:val="10"/>
                <w:color w:val="auto"/>
              </w:rPr>
            </w:pPr>
          </w:p>
        </w:tc>
        <w:tc>
          <w:tcPr>
            <w:tcW w:w="1860" w:type="dxa"/>
            <w:vAlign w:val="bottom"/>
            <w:gridSpan w:val="2"/>
            <w:shd w:val="clear" w:color="auto" w:fill="F2F3F2"/>
          </w:tcPr>
          <w:p>
            <w:pPr>
              <w:spacing w:after="0"/>
              <w:rPr>
                <w:sz w:val="10"/>
                <w:szCs w:val="10"/>
                <w:color w:val="auto"/>
              </w:rPr>
            </w:pPr>
          </w:p>
        </w:tc>
        <w:tc>
          <w:tcPr>
            <w:tcW w:w="1460" w:type="dxa"/>
            <w:vAlign w:val="bottom"/>
            <w:gridSpan w:val="2"/>
            <w:shd w:val="clear" w:color="auto" w:fill="F2F3F2"/>
          </w:tcPr>
          <w:p>
            <w:pPr>
              <w:spacing w:after="0"/>
              <w:rPr>
                <w:sz w:val="10"/>
                <w:szCs w:val="10"/>
                <w:color w:val="auto"/>
              </w:rPr>
            </w:pPr>
          </w:p>
        </w:tc>
        <w:tc>
          <w:tcPr>
            <w:tcW w:w="110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500" w:type="dxa"/>
            <w:vAlign w:val="bottom"/>
          </w:tcPr>
          <w:p>
            <w:pPr>
              <w:ind w:left="140"/>
              <w:spacing w:after="0"/>
              <w:rPr>
                <w:sz w:val="20"/>
                <w:szCs w:val="20"/>
                <w:color w:val="auto"/>
              </w:rPr>
            </w:pPr>
            <w:r>
              <w:rPr>
                <w:rFonts w:ascii="Arial" w:cs="Arial" w:eastAsia="Arial" w:hAnsi="Arial"/>
                <w:sz w:val="14"/>
                <w:szCs w:val="14"/>
                <w:b w:val="1"/>
                <w:bCs w:val="1"/>
                <w:color w:val="00558C"/>
                <w:w w:val="96"/>
              </w:rPr>
              <w:t>John McCartney</w:t>
            </w:r>
            <w:r>
              <w:rPr>
                <w:rFonts w:ascii="Arial" w:cs="Arial" w:eastAsia="Arial" w:hAnsi="Arial"/>
                <w:sz w:val="18"/>
                <w:szCs w:val="18"/>
                <w:b w:val="1"/>
                <w:bCs w:val="1"/>
                <w:color w:val="00558C"/>
                <w:w w:val="96"/>
                <w:vertAlign w:val="superscript"/>
              </w:rPr>
              <w:t>(2)(3)</w:t>
            </w:r>
          </w:p>
        </w:tc>
        <w:tc>
          <w:tcPr>
            <w:tcW w:w="3160" w:type="dxa"/>
            <w:vAlign w:val="bottom"/>
          </w:tcPr>
          <w:p>
            <w:pPr>
              <w:spacing w:after="0"/>
              <w:rPr>
                <w:sz w:val="24"/>
                <w:szCs w:val="24"/>
                <w:color w:val="auto"/>
              </w:rPr>
            </w:pPr>
          </w:p>
        </w:tc>
        <w:tc>
          <w:tcPr>
            <w:tcW w:w="1860" w:type="dxa"/>
            <w:vAlign w:val="bottom"/>
            <w:gridSpan w:val="2"/>
          </w:tcPr>
          <w:p>
            <w:pPr>
              <w:jc w:val="right"/>
              <w:ind w:right="413"/>
              <w:spacing w:after="0"/>
              <w:rPr>
                <w:sz w:val="20"/>
                <w:szCs w:val="20"/>
                <w:color w:val="auto"/>
              </w:rPr>
            </w:pPr>
            <w:r>
              <w:rPr>
                <w:rFonts w:ascii="Arial" w:cs="Arial" w:eastAsia="Arial" w:hAnsi="Arial"/>
                <w:sz w:val="14"/>
                <w:szCs w:val="14"/>
                <w:color w:val="auto"/>
              </w:rPr>
              <w:t>119,375</w:t>
            </w:r>
          </w:p>
        </w:tc>
        <w:tc>
          <w:tcPr>
            <w:tcW w:w="1460" w:type="dxa"/>
            <w:vAlign w:val="bottom"/>
            <w:gridSpan w:val="2"/>
          </w:tcPr>
          <w:p>
            <w:pPr>
              <w:jc w:val="right"/>
              <w:ind w:right="373"/>
              <w:spacing w:after="0"/>
              <w:rPr>
                <w:sz w:val="20"/>
                <w:szCs w:val="20"/>
                <w:color w:val="auto"/>
              </w:rPr>
            </w:pPr>
            <w:r>
              <w:rPr>
                <w:rFonts w:ascii="Arial" w:cs="Arial" w:eastAsia="Arial" w:hAnsi="Arial"/>
                <w:sz w:val="14"/>
                <w:szCs w:val="14"/>
                <w:color w:val="auto"/>
              </w:rPr>
              <w:t>179,950</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299,325</w:t>
            </w:r>
          </w:p>
        </w:tc>
        <w:tc>
          <w:tcPr>
            <w:tcW w:w="0" w:type="dxa"/>
            <w:vAlign w:val="bottom"/>
          </w:tcPr>
          <w:p>
            <w:pPr>
              <w:spacing w:after="0"/>
              <w:rPr>
                <w:sz w:val="1"/>
                <w:szCs w:val="1"/>
                <w:color w:val="auto"/>
              </w:rPr>
            </w:pPr>
          </w:p>
        </w:tc>
      </w:tr>
      <w:tr>
        <w:trPr>
          <w:trHeight w:val="123"/>
        </w:trPr>
        <w:tc>
          <w:tcPr>
            <w:tcW w:w="15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860" w:type="dxa"/>
            <w:vAlign w:val="bottom"/>
            <w:gridSpan w:val="2"/>
          </w:tcPr>
          <w:p>
            <w:pPr>
              <w:spacing w:after="0"/>
              <w:rPr>
                <w:sz w:val="10"/>
                <w:szCs w:val="10"/>
                <w:color w:val="auto"/>
              </w:rPr>
            </w:pPr>
          </w:p>
        </w:tc>
        <w:tc>
          <w:tcPr>
            <w:tcW w:w="1460" w:type="dxa"/>
            <w:vAlign w:val="bottom"/>
            <w:gridSpan w:val="2"/>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5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Hugh E. Sawyer</w:t>
            </w:r>
            <w:r>
              <w:rPr>
                <w:rFonts w:ascii="Arial" w:cs="Arial" w:eastAsia="Arial" w:hAnsi="Arial"/>
                <w:sz w:val="18"/>
                <w:szCs w:val="18"/>
                <w:b w:val="1"/>
                <w:bCs w:val="1"/>
                <w:color w:val="00558C"/>
                <w:vertAlign w:val="superscript"/>
              </w:rPr>
              <w:t>(2)</w:t>
            </w:r>
          </w:p>
        </w:tc>
        <w:tc>
          <w:tcPr>
            <w:tcW w:w="3160" w:type="dxa"/>
            <w:vAlign w:val="bottom"/>
            <w:shd w:val="clear" w:color="auto" w:fill="F2F3F2"/>
          </w:tcPr>
          <w:p>
            <w:pPr>
              <w:spacing w:after="0"/>
              <w:rPr>
                <w:sz w:val="24"/>
                <w:szCs w:val="24"/>
                <w:color w:val="auto"/>
              </w:rPr>
            </w:pPr>
          </w:p>
        </w:tc>
        <w:tc>
          <w:tcPr>
            <w:tcW w:w="1860" w:type="dxa"/>
            <w:vAlign w:val="bottom"/>
            <w:gridSpan w:val="2"/>
            <w:shd w:val="clear" w:color="auto" w:fill="F2F3F2"/>
          </w:tcPr>
          <w:p>
            <w:pPr>
              <w:jc w:val="right"/>
              <w:ind w:right="413"/>
              <w:spacing w:after="0"/>
              <w:rPr>
                <w:sz w:val="20"/>
                <w:szCs w:val="20"/>
                <w:color w:val="auto"/>
              </w:rPr>
            </w:pPr>
            <w:r>
              <w:rPr>
                <w:rFonts w:ascii="Arial" w:cs="Arial" w:eastAsia="Arial" w:hAnsi="Arial"/>
                <w:sz w:val="14"/>
                <w:szCs w:val="14"/>
                <w:color w:val="auto"/>
              </w:rPr>
              <w:t>268,750</w:t>
            </w:r>
          </w:p>
        </w:tc>
        <w:tc>
          <w:tcPr>
            <w:tcW w:w="1460" w:type="dxa"/>
            <w:vAlign w:val="bottom"/>
            <w:gridSpan w:val="2"/>
            <w:shd w:val="clear" w:color="auto" w:fill="F2F3F2"/>
          </w:tcPr>
          <w:p>
            <w:pPr>
              <w:jc w:val="right"/>
              <w:ind w:right="373"/>
              <w:spacing w:after="0"/>
              <w:rPr>
                <w:sz w:val="20"/>
                <w:szCs w:val="20"/>
                <w:color w:val="auto"/>
              </w:rPr>
            </w:pPr>
            <w:r>
              <w:rPr>
                <w:rFonts w:ascii="Arial" w:cs="Arial" w:eastAsia="Arial" w:hAnsi="Arial"/>
                <w:sz w:val="14"/>
                <w:szCs w:val="14"/>
                <w:color w:val="auto"/>
              </w:rPr>
              <w:t>179,950</w:t>
            </w:r>
          </w:p>
        </w:tc>
        <w:tc>
          <w:tcPr>
            <w:tcW w:w="1100" w:type="dxa"/>
            <w:vAlign w:val="bottom"/>
            <w:shd w:val="clear" w:color="auto" w:fill="F2F3F2"/>
          </w:tcPr>
          <w:p>
            <w:pPr>
              <w:jc w:val="right"/>
              <w:ind w:right="91"/>
              <w:spacing w:after="0"/>
              <w:rPr>
                <w:sz w:val="20"/>
                <w:szCs w:val="20"/>
                <w:color w:val="auto"/>
              </w:rPr>
            </w:pPr>
            <w:r>
              <w:rPr>
                <w:rFonts w:ascii="Arial" w:cs="Arial" w:eastAsia="Arial" w:hAnsi="Arial"/>
                <w:sz w:val="14"/>
                <w:szCs w:val="14"/>
                <w:color w:val="auto"/>
              </w:rPr>
              <w:t>448,700</w:t>
            </w:r>
          </w:p>
        </w:tc>
        <w:tc>
          <w:tcPr>
            <w:tcW w:w="0" w:type="dxa"/>
            <w:vAlign w:val="bottom"/>
          </w:tcPr>
          <w:p>
            <w:pPr>
              <w:spacing w:after="0"/>
              <w:rPr>
                <w:sz w:val="1"/>
                <w:szCs w:val="1"/>
                <w:color w:val="auto"/>
              </w:rPr>
            </w:pPr>
          </w:p>
        </w:tc>
      </w:tr>
      <w:tr>
        <w:trPr>
          <w:trHeight w:val="122"/>
        </w:trPr>
        <w:tc>
          <w:tcPr>
            <w:tcW w:w="4660" w:type="dxa"/>
            <w:vAlign w:val="bottom"/>
            <w:gridSpan w:val="2"/>
            <w:shd w:val="clear" w:color="auto" w:fill="F2F3F2"/>
          </w:tcPr>
          <w:p>
            <w:pPr>
              <w:spacing w:after="0"/>
              <w:rPr>
                <w:sz w:val="10"/>
                <w:szCs w:val="10"/>
                <w:color w:val="auto"/>
              </w:rPr>
            </w:pPr>
          </w:p>
        </w:tc>
        <w:tc>
          <w:tcPr>
            <w:tcW w:w="1860" w:type="dxa"/>
            <w:vAlign w:val="bottom"/>
            <w:gridSpan w:val="2"/>
            <w:shd w:val="clear" w:color="auto" w:fill="F2F3F2"/>
          </w:tcPr>
          <w:p>
            <w:pPr>
              <w:spacing w:after="0"/>
              <w:rPr>
                <w:sz w:val="10"/>
                <w:szCs w:val="10"/>
                <w:color w:val="auto"/>
              </w:rPr>
            </w:pPr>
          </w:p>
        </w:tc>
        <w:tc>
          <w:tcPr>
            <w:tcW w:w="1460" w:type="dxa"/>
            <w:vAlign w:val="bottom"/>
            <w:gridSpan w:val="2"/>
            <w:shd w:val="clear" w:color="auto" w:fill="F2F3F2"/>
          </w:tcPr>
          <w:p>
            <w:pPr>
              <w:spacing w:after="0"/>
              <w:rPr>
                <w:sz w:val="10"/>
                <w:szCs w:val="10"/>
                <w:color w:val="auto"/>
              </w:rPr>
            </w:pPr>
          </w:p>
        </w:tc>
        <w:tc>
          <w:tcPr>
            <w:tcW w:w="110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660" w:type="dxa"/>
            <w:vAlign w:val="bottom"/>
            <w:gridSpan w:val="2"/>
          </w:tcPr>
          <w:p>
            <w:pPr>
              <w:ind w:left="140"/>
              <w:spacing w:after="0"/>
              <w:rPr>
                <w:sz w:val="20"/>
                <w:szCs w:val="20"/>
                <w:color w:val="auto"/>
              </w:rPr>
            </w:pPr>
            <w:r>
              <w:rPr>
                <w:rFonts w:ascii="Arial" w:cs="Arial" w:eastAsia="Arial" w:hAnsi="Arial"/>
                <w:sz w:val="14"/>
                <w:szCs w:val="14"/>
                <w:b w:val="1"/>
                <w:bCs w:val="1"/>
                <w:color w:val="00558C"/>
              </w:rPr>
              <w:t>Ekta Singh-Bushell</w:t>
            </w:r>
            <w:r>
              <w:rPr>
                <w:rFonts w:ascii="Arial" w:cs="Arial" w:eastAsia="Arial" w:hAnsi="Arial"/>
                <w:sz w:val="18"/>
                <w:szCs w:val="18"/>
                <w:b w:val="1"/>
                <w:bCs w:val="1"/>
                <w:color w:val="00558C"/>
                <w:vertAlign w:val="superscript"/>
              </w:rPr>
              <w:t>(2)</w:t>
            </w:r>
          </w:p>
        </w:tc>
        <w:tc>
          <w:tcPr>
            <w:tcW w:w="1860" w:type="dxa"/>
            <w:vAlign w:val="bottom"/>
            <w:gridSpan w:val="2"/>
          </w:tcPr>
          <w:p>
            <w:pPr>
              <w:jc w:val="right"/>
              <w:ind w:right="413"/>
              <w:spacing w:after="0"/>
              <w:rPr>
                <w:sz w:val="20"/>
                <w:szCs w:val="20"/>
                <w:color w:val="auto"/>
              </w:rPr>
            </w:pPr>
            <w:r>
              <w:rPr>
                <w:rFonts w:ascii="Arial" w:cs="Arial" w:eastAsia="Arial" w:hAnsi="Arial"/>
                <w:sz w:val="14"/>
                <w:szCs w:val="14"/>
                <w:color w:val="auto"/>
              </w:rPr>
              <w:t>110,000</w:t>
            </w:r>
          </w:p>
        </w:tc>
        <w:tc>
          <w:tcPr>
            <w:tcW w:w="1460" w:type="dxa"/>
            <w:vAlign w:val="bottom"/>
            <w:gridSpan w:val="2"/>
          </w:tcPr>
          <w:p>
            <w:pPr>
              <w:jc w:val="right"/>
              <w:ind w:right="373"/>
              <w:spacing w:after="0"/>
              <w:rPr>
                <w:sz w:val="20"/>
                <w:szCs w:val="20"/>
                <w:color w:val="auto"/>
              </w:rPr>
            </w:pPr>
            <w:r>
              <w:rPr>
                <w:rFonts w:ascii="Arial" w:cs="Arial" w:eastAsia="Arial" w:hAnsi="Arial"/>
                <w:sz w:val="14"/>
                <w:szCs w:val="14"/>
                <w:color w:val="auto"/>
              </w:rPr>
              <w:t>179,950</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289,950</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860" w:type="dxa"/>
            <w:vAlign w:val="bottom"/>
            <w:gridSpan w:val="2"/>
          </w:tcPr>
          <w:p>
            <w:pPr>
              <w:spacing w:after="0"/>
              <w:rPr>
                <w:sz w:val="10"/>
                <w:szCs w:val="10"/>
                <w:color w:val="auto"/>
              </w:rPr>
            </w:pPr>
          </w:p>
        </w:tc>
        <w:tc>
          <w:tcPr>
            <w:tcW w:w="1460" w:type="dxa"/>
            <w:vAlign w:val="bottom"/>
            <w:gridSpan w:val="2"/>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5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Debra Zumwalt</w:t>
            </w:r>
            <w:r>
              <w:rPr>
                <w:rFonts w:ascii="Arial" w:cs="Arial" w:eastAsia="Arial" w:hAnsi="Arial"/>
                <w:sz w:val="18"/>
                <w:szCs w:val="18"/>
                <w:b w:val="1"/>
                <w:bCs w:val="1"/>
                <w:color w:val="00558C"/>
                <w:vertAlign w:val="superscript"/>
              </w:rPr>
              <w:t>(2)</w:t>
            </w:r>
          </w:p>
        </w:tc>
        <w:tc>
          <w:tcPr>
            <w:tcW w:w="3160" w:type="dxa"/>
            <w:vAlign w:val="bottom"/>
            <w:shd w:val="clear" w:color="auto" w:fill="F2F3F2"/>
          </w:tcPr>
          <w:p>
            <w:pPr>
              <w:spacing w:after="0"/>
              <w:rPr>
                <w:sz w:val="24"/>
                <w:szCs w:val="24"/>
                <w:color w:val="auto"/>
              </w:rPr>
            </w:pPr>
          </w:p>
        </w:tc>
        <w:tc>
          <w:tcPr>
            <w:tcW w:w="1860" w:type="dxa"/>
            <w:vAlign w:val="bottom"/>
            <w:gridSpan w:val="2"/>
            <w:shd w:val="clear" w:color="auto" w:fill="F2F3F2"/>
          </w:tcPr>
          <w:p>
            <w:pPr>
              <w:jc w:val="right"/>
              <w:ind w:right="413"/>
              <w:spacing w:after="0"/>
              <w:rPr>
                <w:sz w:val="20"/>
                <w:szCs w:val="20"/>
                <w:color w:val="auto"/>
              </w:rPr>
            </w:pPr>
            <w:r>
              <w:rPr>
                <w:rFonts w:ascii="Arial" w:cs="Arial" w:eastAsia="Arial" w:hAnsi="Arial"/>
                <w:sz w:val="14"/>
                <w:szCs w:val="14"/>
                <w:color w:val="auto"/>
              </w:rPr>
              <w:t>106,205</w:t>
            </w:r>
          </w:p>
        </w:tc>
        <w:tc>
          <w:tcPr>
            <w:tcW w:w="1460" w:type="dxa"/>
            <w:vAlign w:val="bottom"/>
            <w:gridSpan w:val="2"/>
            <w:shd w:val="clear" w:color="auto" w:fill="F2F3F2"/>
          </w:tcPr>
          <w:p>
            <w:pPr>
              <w:jc w:val="right"/>
              <w:ind w:right="373"/>
              <w:spacing w:after="0"/>
              <w:rPr>
                <w:sz w:val="20"/>
                <w:szCs w:val="20"/>
                <w:color w:val="auto"/>
              </w:rPr>
            </w:pPr>
            <w:r>
              <w:rPr>
                <w:rFonts w:ascii="Arial" w:cs="Arial" w:eastAsia="Arial" w:hAnsi="Arial"/>
                <w:sz w:val="14"/>
                <w:szCs w:val="14"/>
                <w:color w:val="auto"/>
              </w:rPr>
              <w:t>179,950</w:t>
            </w:r>
          </w:p>
        </w:tc>
        <w:tc>
          <w:tcPr>
            <w:tcW w:w="1100" w:type="dxa"/>
            <w:vAlign w:val="bottom"/>
            <w:shd w:val="clear" w:color="auto" w:fill="F2F3F2"/>
          </w:tcPr>
          <w:p>
            <w:pPr>
              <w:jc w:val="right"/>
              <w:ind w:right="91"/>
              <w:spacing w:after="0"/>
              <w:rPr>
                <w:sz w:val="20"/>
                <w:szCs w:val="20"/>
                <w:color w:val="auto"/>
              </w:rPr>
            </w:pPr>
            <w:r>
              <w:rPr>
                <w:rFonts w:ascii="Arial" w:cs="Arial" w:eastAsia="Arial" w:hAnsi="Arial"/>
                <w:sz w:val="14"/>
                <w:szCs w:val="14"/>
                <w:color w:val="auto"/>
              </w:rPr>
              <w:t>286,155</w:t>
            </w:r>
          </w:p>
        </w:tc>
        <w:tc>
          <w:tcPr>
            <w:tcW w:w="0" w:type="dxa"/>
            <w:vAlign w:val="bottom"/>
          </w:tcPr>
          <w:p>
            <w:pPr>
              <w:spacing w:after="0"/>
              <w:rPr>
                <w:sz w:val="1"/>
                <w:szCs w:val="1"/>
                <w:color w:val="auto"/>
              </w:rPr>
            </w:pPr>
          </w:p>
        </w:tc>
      </w:tr>
      <w:tr>
        <w:trPr>
          <w:trHeight w:val="122"/>
        </w:trPr>
        <w:tc>
          <w:tcPr>
            <w:tcW w:w="1500" w:type="dxa"/>
            <w:vAlign w:val="bottom"/>
            <w:shd w:val="clear" w:color="auto" w:fill="F2F3F2"/>
          </w:tcPr>
          <w:p>
            <w:pPr>
              <w:spacing w:after="0"/>
              <w:rPr>
                <w:sz w:val="10"/>
                <w:szCs w:val="10"/>
                <w:color w:val="auto"/>
              </w:rPr>
            </w:pPr>
          </w:p>
        </w:tc>
        <w:tc>
          <w:tcPr>
            <w:tcW w:w="3160" w:type="dxa"/>
            <w:vAlign w:val="bottom"/>
            <w:shd w:val="clear" w:color="auto" w:fill="F2F3F2"/>
          </w:tcPr>
          <w:p>
            <w:pPr>
              <w:spacing w:after="0"/>
              <w:rPr>
                <w:sz w:val="10"/>
                <w:szCs w:val="10"/>
                <w:color w:val="auto"/>
              </w:rPr>
            </w:pPr>
          </w:p>
        </w:tc>
        <w:tc>
          <w:tcPr>
            <w:tcW w:w="1260" w:type="dxa"/>
            <w:vAlign w:val="bottom"/>
            <w:shd w:val="clear" w:color="auto" w:fill="F2F3F2"/>
          </w:tcPr>
          <w:p>
            <w:pPr>
              <w:spacing w:after="0"/>
              <w:rPr>
                <w:sz w:val="10"/>
                <w:szCs w:val="10"/>
                <w:color w:val="auto"/>
              </w:rPr>
            </w:pPr>
          </w:p>
        </w:tc>
        <w:tc>
          <w:tcPr>
            <w:tcW w:w="600" w:type="dxa"/>
            <w:vAlign w:val="bottom"/>
            <w:shd w:val="clear" w:color="auto" w:fill="F2F3F2"/>
          </w:tcPr>
          <w:p>
            <w:pPr>
              <w:spacing w:after="0"/>
              <w:rPr>
                <w:sz w:val="10"/>
                <w:szCs w:val="10"/>
                <w:color w:val="auto"/>
              </w:rPr>
            </w:pPr>
          </w:p>
        </w:tc>
        <w:tc>
          <w:tcPr>
            <w:tcW w:w="920" w:type="dxa"/>
            <w:vAlign w:val="bottom"/>
            <w:shd w:val="clear" w:color="auto" w:fill="F2F3F2"/>
          </w:tcPr>
          <w:p>
            <w:pPr>
              <w:spacing w:after="0"/>
              <w:rPr>
                <w:sz w:val="10"/>
                <w:szCs w:val="10"/>
                <w:color w:val="auto"/>
              </w:rPr>
            </w:pPr>
          </w:p>
        </w:tc>
        <w:tc>
          <w:tcPr>
            <w:tcW w:w="540" w:type="dxa"/>
            <w:vAlign w:val="bottom"/>
            <w:shd w:val="clear" w:color="auto" w:fill="F2F3F2"/>
          </w:tcPr>
          <w:p>
            <w:pPr>
              <w:spacing w:after="0"/>
              <w:rPr>
                <w:sz w:val="10"/>
                <w:szCs w:val="10"/>
                <w:color w:val="auto"/>
              </w:rPr>
            </w:pPr>
          </w:p>
        </w:tc>
        <w:tc>
          <w:tcPr>
            <w:tcW w:w="110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37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6379845"/>
                    </a:xfrm>
                    <a:prstGeom prst="rect">
                      <a:avLst/>
                    </a:prstGeom>
                    <a:noFill/>
                  </pic:spPr>
                </pic:pic>
              </a:graphicData>
            </a:graphic>
          </wp:anchor>
        </w:drawing>
      </w:r>
    </w:p>
    <w:p>
      <w:pPr>
        <w:ind w:left="580" w:right="220" w:hanging="331"/>
        <w:spacing w:after="0" w:line="283" w:lineRule="auto"/>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represents the aggregate grant date fair value of restricted stock units granted to our directors in 2025, computed in accordance with FASB ASC Topic 718. Grant date fair value is based on the closing price of Huron stock on the day of grant. Each of these grants will fully vest on the one-year anniversary of the grant.</w:t>
      </w:r>
    </w:p>
    <w:p>
      <w:pPr>
        <w:spacing w:after="0" w:line="10" w:lineRule="exact"/>
        <w:rPr>
          <w:rFonts w:ascii="Arial" w:cs="Arial" w:eastAsia="Arial" w:hAnsi="Arial"/>
          <w:sz w:val="14"/>
          <w:szCs w:val="14"/>
          <w:color w:val="auto"/>
        </w:rPr>
      </w:pPr>
    </w:p>
    <w:p>
      <w:pPr>
        <w:ind w:left="580" w:right="40" w:hanging="331"/>
        <w:spacing w:after="0" w:line="291" w:lineRule="auto"/>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December 31, 2025, each of Ms. Brown, Mr. Lockhart, Mr. Markell, Mr. McCartney, Mr. Sawyer, Ms. Singh-Bushell, and Ms. Zumwalt held 2,531 unvested restricted stock units.</w:t>
      </w:r>
    </w:p>
    <w:p>
      <w:pPr>
        <w:spacing w:after="0" w:line="1" w:lineRule="exact"/>
        <w:rPr>
          <w:rFonts w:ascii="Arial" w:cs="Arial" w:eastAsia="Arial" w:hAnsi="Arial"/>
          <w:sz w:val="14"/>
          <w:szCs w:val="14"/>
          <w:color w:val="auto"/>
        </w:rPr>
      </w:pPr>
    </w:p>
    <w:p>
      <w:pPr>
        <w:ind w:left="580" w:right="300" w:hanging="331"/>
        <w:spacing w:after="0" w:line="301" w:lineRule="auto"/>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McCartney has access to office space at the Company’s principal business offices in Chicago. The Company does not incur any incremental costs in connection with the provision of this office space.</w:t>
      </w:r>
    </w:p>
    <w:p>
      <w:pPr>
        <w:spacing w:after="0" w:line="1" w:lineRule="exact"/>
        <w:rPr>
          <w:rFonts w:ascii="Arial" w:cs="Arial" w:eastAsia="Arial" w:hAnsi="Arial"/>
          <w:sz w:val="14"/>
          <w:szCs w:val="14"/>
          <w:color w:val="auto"/>
        </w:rPr>
      </w:pPr>
    </w:p>
    <w:p>
      <w:pPr>
        <w:ind w:left="580" w:right="160" w:hanging="331"/>
        <w:spacing w:after="0" w:line="266" w:lineRule="auto"/>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cash board fees deferred by non-employee directors under our Deferred Compensation Plan, as further described under the heading "Deferred Compensation Plan" within the Compensation Discussion and Analysis of this Proxy Statement. During 2025, Ms. Zumwalt was the only non-employee director to make deferrals of cash board fees in the Deferred Compensation Plan. Ms. Zumwalt and Mr. McCartney have account balances in the Deferred Compensation Plan. The earnings on Ms. Zumwalt's and Mr. McCartney’s account balances in the Deferred Compensation Plan were $162,604 and $218,660, respectively, in 2025. Huron does not pay above-market interest or preferential dividends on investments in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tabs>
          <w:tab w:leader="none" w:pos="4600" w:val="left"/>
          <w:tab w:leader="none" w:pos="792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24</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332740</wp:posOffset>
            </wp:positionV>
            <wp:extent cx="6810375" cy="4053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405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6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6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Company’s executive officers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7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82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FFFFFF"/>
                <w:w w:val="98"/>
              </w:rPr>
              <w:t>Age</w:t>
            </w:r>
          </w:p>
        </w:tc>
        <w:tc>
          <w:tcPr>
            <w:tcW w:w="6540" w:type="dxa"/>
            <w:vAlign w:val="bottom"/>
            <w:shd w:val="clear" w:color="auto" w:fill="00558C"/>
          </w:tcPr>
          <w:p>
            <w:pPr>
              <w:ind w:left="240"/>
              <w:spacing w:after="0"/>
              <w:rPr>
                <w:sz w:val="20"/>
                <w:szCs w:val="20"/>
                <w:color w:val="auto"/>
              </w:rPr>
            </w:pPr>
            <w:r>
              <w:rPr>
                <w:rFonts w:ascii="Arial" w:cs="Arial" w:eastAsia="Arial" w:hAnsi="Arial"/>
                <w:sz w:val="14"/>
                <w:szCs w:val="14"/>
                <w:b w:val="1"/>
                <w:bCs w:val="1"/>
                <w:color w:val="FFFFFF"/>
              </w:rPr>
              <w:t>Position</w:t>
            </w:r>
          </w:p>
        </w:tc>
      </w:tr>
      <w:tr>
        <w:trPr>
          <w:trHeight w:val="110"/>
        </w:trPr>
        <w:tc>
          <w:tcPr>
            <w:tcW w:w="1720" w:type="dxa"/>
            <w:vAlign w:val="bottom"/>
            <w:shd w:val="clear" w:color="auto" w:fill="00558C"/>
          </w:tcPr>
          <w:p>
            <w:pPr>
              <w:spacing w:after="0"/>
              <w:rPr>
                <w:sz w:val="9"/>
                <w:szCs w:val="9"/>
                <w:color w:val="auto"/>
              </w:rPr>
            </w:pPr>
          </w:p>
        </w:tc>
        <w:tc>
          <w:tcPr>
            <w:tcW w:w="820" w:type="dxa"/>
            <w:vAlign w:val="bottom"/>
            <w:shd w:val="clear" w:color="auto" w:fill="00558C"/>
          </w:tcPr>
          <w:p>
            <w:pPr>
              <w:spacing w:after="0"/>
              <w:rPr>
                <w:sz w:val="9"/>
                <w:szCs w:val="9"/>
                <w:color w:val="auto"/>
              </w:rPr>
            </w:pPr>
          </w:p>
        </w:tc>
        <w:tc>
          <w:tcPr>
            <w:tcW w:w="6540" w:type="dxa"/>
            <w:vAlign w:val="bottom"/>
            <w:shd w:val="clear" w:color="auto" w:fill="00558C"/>
          </w:tcPr>
          <w:p>
            <w:pPr>
              <w:spacing w:after="0"/>
              <w:rPr>
                <w:sz w:val="9"/>
                <w:szCs w:val="9"/>
                <w:color w:val="auto"/>
              </w:rPr>
            </w:pPr>
          </w:p>
        </w:tc>
      </w:tr>
      <w:tr>
        <w:trPr>
          <w:trHeight w:val="318"/>
        </w:trPr>
        <w:tc>
          <w:tcPr>
            <w:tcW w:w="17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820" w:type="dxa"/>
            <w:vAlign w:val="bottom"/>
            <w:tcBorders>
              <w:bottom w:val="single" w:sz="8" w:color="F2F3F2"/>
            </w:tcBorders>
            <w:shd w:val="clear" w:color="auto" w:fill="F2F3F2"/>
          </w:tcPr>
          <w:p>
            <w:pPr>
              <w:jc w:val="center"/>
              <w:ind w:left="28"/>
              <w:spacing w:after="0"/>
              <w:rPr>
                <w:sz w:val="20"/>
                <w:szCs w:val="20"/>
                <w:color w:val="auto"/>
              </w:rPr>
            </w:pPr>
            <w:r>
              <w:rPr>
                <w:rFonts w:ascii="Arial" w:cs="Arial" w:eastAsia="Arial" w:hAnsi="Arial"/>
                <w:sz w:val="14"/>
                <w:szCs w:val="14"/>
                <w:color w:val="auto"/>
              </w:rPr>
              <w:t>65</w:t>
            </w:r>
          </w:p>
        </w:tc>
        <w:tc>
          <w:tcPr>
            <w:tcW w:w="6540" w:type="dxa"/>
            <w:vAlign w:val="bottom"/>
            <w:tcBorders>
              <w:bottom w:val="single" w:sz="8" w:color="F2F3F2"/>
            </w:tcBorders>
            <w:shd w:val="clear" w:color="auto" w:fill="F2F3F2"/>
          </w:tcPr>
          <w:p>
            <w:pPr>
              <w:ind w:left="240"/>
              <w:spacing w:after="0"/>
              <w:rPr>
                <w:sz w:val="20"/>
                <w:szCs w:val="20"/>
                <w:color w:val="auto"/>
              </w:rPr>
            </w:pPr>
            <w:r>
              <w:rPr>
                <w:rFonts w:ascii="Arial" w:cs="Arial" w:eastAsia="Arial" w:hAnsi="Arial"/>
                <w:sz w:val="14"/>
                <w:szCs w:val="14"/>
                <w:color w:val="auto"/>
              </w:rPr>
              <w:t>Chief Executive Officer and President</w:t>
            </w:r>
          </w:p>
        </w:tc>
      </w:tr>
      <w:tr>
        <w:trPr>
          <w:trHeight w:val="282"/>
        </w:trPr>
        <w:tc>
          <w:tcPr>
            <w:tcW w:w="1720" w:type="dxa"/>
            <w:vAlign w:val="bottom"/>
          </w:tcPr>
          <w:p>
            <w:pPr>
              <w:ind w:left="140"/>
              <w:spacing w:after="0"/>
              <w:rPr>
                <w:sz w:val="20"/>
                <w:szCs w:val="20"/>
                <w:color w:val="auto"/>
              </w:rPr>
            </w:pPr>
            <w:r>
              <w:rPr>
                <w:rFonts w:ascii="Arial" w:cs="Arial" w:eastAsia="Arial" w:hAnsi="Arial"/>
                <w:sz w:val="14"/>
                <w:szCs w:val="14"/>
                <w:b w:val="1"/>
                <w:bCs w:val="1"/>
                <w:color w:val="00558C"/>
              </w:rPr>
              <w:t>J. Ronald Dail</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56</w:t>
            </w:r>
          </w:p>
        </w:tc>
        <w:tc>
          <w:tcPr>
            <w:tcW w:w="6540" w:type="dxa"/>
            <w:vAlign w:val="bottom"/>
          </w:tcPr>
          <w:p>
            <w:pPr>
              <w:ind w:left="240"/>
              <w:spacing w:after="0"/>
              <w:rPr>
                <w:sz w:val="20"/>
                <w:szCs w:val="20"/>
                <w:color w:val="auto"/>
              </w:rPr>
            </w:pPr>
            <w:r>
              <w:rPr>
                <w:rFonts w:ascii="Arial" w:cs="Arial" w:eastAsia="Arial" w:hAnsi="Arial"/>
                <w:sz w:val="14"/>
                <w:szCs w:val="14"/>
                <w:color w:val="auto"/>
              </w:rPr>
              <w:t>Executive Vice President and Chief Operating Officer</w:t>
            </w:r>
          </w:p>
        </w:tc>
      </w:tr>
      <w:tr>
        <w:trPr>
          <w:trHeight w:val="56"/>
        </w:trPr>
        <w:tc>
          <w:tcPr>
            <w:tcW w:w="1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540" w:type="dxa"/>
            <w:vAlign w:val="bottom"/>
          </w:tcPr>
          <w:p>
            <w:pPr>
              <w:spacing w:after="0"/>
              <w:rPr>
                <w:sz w:val="4"/>
                <w:szCs w:val="4"/>
                <w:color w:val="auto"/>
              </w:rPr>
            </w:pPr>
          </w:p>
        </w:tc>
      </w:tr>
      <w:tr>
        <w:trPr>
          <w:trHeight w:val="318"/>
        </w:trPr>
        <w:tc>
          <w:tcPr>
            <w:tcW w:w="17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John D. Kelly</w:t>
            </w:r>
          </w:p>
        </w:tc>
        <w:tc>
          <w:tcPr>
            <w:tcW w:w="820" w:type="dxa"/>
            <w:vAlign w:val="bottom"/>
            <w:tcBorders>
              <w:bottom w:val="single" w:sz="8" w:color="F2F3F2"/>
            </w:tcBorders>
            <w:shd w:val="clear" w:color="auto" w:fill="F2F3F2"/>
          </w:tcPr>
          <w:p>
            <w:pPr>
              <w:jc w:val="center"/>
              <w:ind w:left="28"/>
              <w:spacing w:after="0"/>
              <w:rPr>
                <w:sz w:val="20"/>
                <w:szCs w:val="20"/>
                <w:color w:val="auto"/>
              </w:rPr>
            </w:pPr>
            <w:r>
              <w:rPr>
                <w:rFonts w:ascii="Arial" w:cs="Arial" w:eastAsia="Arial" w:hAnsi="Arial"/>
                <w:sz w:val="14"/>
                <w:szCs w:val="14"/>
                <w:color w:val="auto"/>
              </w:rPr>
              <w:t>50</w:t>
            </w:r>
          </w:p>
        </w:tc>
        <w:tc>
          <w:tcPr>
            <w:tcW w:w="6540" w:type="dxa"/>
            <w:vAlign w:val="bottom"/>
            <w:tcBorders>
              <w:bottom w:val="single" w:sz="8" w:color="F2F3F2"/>
            </w:tcBorders>
            <w:shd w:val="clear" w:color="auto" w:fill="F2F3F2"/>
          </w:tcPr>
          <w:p>
            <w:pPr>
              <w:ind w:left="240"/>
              <w:spacing w:after="0"/>
              <w:rPr>
                <w:sz w:val="20"/>
                <w:szCs w:val="20"/>
                <w:color w:val="auto"/>
              </w:rPr>
            </w:pPr>
            <w:r>
              <w:rPr>
                <w:rFonts w:ascii="Arial" w:cs="Arial" w:eastAsia="Arial" w:hAnsi="Arial"/>
                <w:sz w:val="14"/>
                <w:szCs w:val="14"/>
                <w:color w:val="auto"/>
              </w:rPr>
              <w:t>Executive Vice President, Chief Financial Officer and Treasurer</w:t>
            </w:r>
          </w:p>
        </w:tc>
      </w:tr>
      <w:tr>
        <w:trPr>
          <w:trHeight w:val="281"/>
        </w:trPr>
        <w:tc>
          <w:tcPr>
            <w:tcW w:w="1720" w:type="dxa"/>
            <w:vAlign w:val="bottom"/>
          </w:tcPr>
          <w:p>
            <w:pPr>
              <w:ind w:left="140"/>
              <w:spacing w:after="0"/>
              <w:rPr>
                <w:sz w:val="20"/>
                <w:szCs w:val="20"/>
                <w:color w:val="auto"/>
              </w:rPr>
            </w:pPr>
            <w:r>
              <w:rPr>
                <w:rFonts w:ascii="Arial" w:cs="Arial" w:eastAsia="Arial" w:hAnsi="Arial"/>
                <w:sz w:val="14"/>
                <w:szCs w:val="14"/>
                <w:b w:val="1"/>
                <w:bCs w:val="1"/>
                <w:color w:val="00558C"/>
              </w:rPr>
              <w:t>Hope Katz</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48</w:t>
            </w:r>
          </w:p>
        </w:tc>
        <w:tc>
          <w:tcPr>
            <w:tcW w:w="6540" w:type="dxa"/>
            <w:vAlign w:val="bottom"/>
          </w:tcPr>
          <w:p>
            <w:pPr>
              <w:ind w:left="240"/>
              <w:spacing w:after="0"/>
              <w:rPr>
                <w:sz w:val="20"/>
                <w:szCs w:val="20"/>
                <w:color w:val="auto"/>
              </w:rPr>
            </w:pPr>
            <w:r>
              <w:rPr>
                <w:rFonts w:ascii="Arial" w:cs="Arial" w:eastAsia="Arial" w:hAnsi="Arial"/>
                <w:sz w:val="14"/>
                <w:szCs w:val="14"/>
                <w:color w:val="auto"/>
              </w:rPr>
              <w:t>Executive Vice President, General Counsel and Corporate Secretary</w:t>
            </w:r>
          </w:p>
        </w:tc>
      </w:tr>
      <w:tr>
        <w:trPr>
          <w:trHeight w:val="56"/>
        </w:trPr>
        <w:tc>
          <w:tcPr>
            <w:tcW w:w="1720" w:type="dxa"/>
            <w:vAlign w:val="bottom"/>
            <w:tcBorders>
              <w:bottom w:val="single" w:sz="8" w:color="B2B3B6"/>
            </w:tcBorders>
          </w:tcPr>
          <w:p>
            <w:pPr>
              <w:spacing w:after="0"/>
              <w:rPr>
                <w:sz w:val="4"/>
                <w:szCs w:val="4"/>
                <w:color w:val="auto"/>
              </w:rPr>
            </w:pPr>
          </w:p>
        </w:tc>
        <w:tc>
          <w:tcPr>
            <w:tcW w:w="820" w:type="dxa"/>
            <w:vAlign w:val="bottom"/>
            <w:tcBorders>
              <w:bottom w:val="single" w:sz="8" w:color="B2B3B6"/>
            </w:tcBorders>
          </w:tcPr>
          <w:p>
            <w:pPr>
              <w:spacing w:after="0"/>
              <w:rPr>
                <w:sz w:val="4"/>
                <w:szCs w:val="4"/>
                <w:color w:val="auto"/>
              </w:rPr>
            </w:pPr>
          </w:p>
        </w:tc>
        <w:tc>
          <w:tcPr>
            <w:tcW w:w="6540" w:type="dxa"/>
            <w:vAlign w:val="bottom"/>
            <w:tcBorders>
              <w:bottom w:val="single" w:sz="8" w:color="B2B3B6"/>
            </w:tcBorders>
          </w:tcPr>
          <w:p>
            <w:pPr>
              <w:spacing w:after="0"/>
              <w:rPr>
                <w:sz w:val="4"/>
                <w:szCs w:val="4"/>
                <w:color w:val="auto"/>
              </w:rPr>
            </w:pPr>
          </w:p>
        </w:tc>
      </w:tr>
    </w:tbl>
    <w:p>
      <w:pPr>
        <w:spacing w:after="0" w:line="120" w:lineRule="exact"/>
        <w:rPr>
          <w:sz w:val="20"/>
          <w:szCs w:val="20"/>
          <w:color w:val="auto"/>
        </w:rPr>
      </w:pPr>
    </w:p>
    <w:p>
      <w:pPr>
        <w:sectPr>
          <w:pgSz w:w="11900" w:h="16838" w:orient="portrait"/>
          <w:cols w:equalWidth="0" w:num="1">
            <w:col w:w="9240"/>
          </w:cols>
          <w:pgMar w:left="1240" w:top="104" w:right="1419" w:bottom="1440" w:gutter="0" w:footer="0" w:header="0"/>
        </w:sectPr>
      </w:pPr>
    </w:p>
    <w:p>
      <w:pPr>
        <w:spacing w:after="0"/>
        <w:rPr>
          <w:sz w:val="20"/>
          <w:szCs w:val="20"/>
          <w:color w:val="auto"/>
        </w:rPr>
      </w:pPr>
      <w:r>
        <w:rPr>
          <w:rFonts w:ascii="Arial" w:cs="Arial" w:eastAsia="Arial" w:hAnsi="Arial"/>
          <w:sz w:val="22"/>
          <w:szCs w:val="22"/>
          <w:b w:val="1"/>
          <w:bCs w:val="1"/>
          <w:color w:val="00558C"/>
        </w:rPr>
        <w:t xml:space="preserve">C. Mark Hussey’s  </w:t>
      </w:r>
      <w:r>
        <w:rPr>
          <w:rFonts w:ascii="Arial" w:cs="Arial" w:eastAsia="Arial" w:hAnsi="Arial"/>
          <w:sz w:val="16"/>
          <w:szCs w:val="16"/>
          <w:color w:val="000000"/>
        </w:rPr>
        <w:t>biographical information is provided above under the caption “Nominees to Board of Directors.”</w:t>
      </w:r>
    </w:p>
    <w:p>
      <w:pPr>
        <w:sectPr>
          <w:pgSz w:w="11900" w:h="16838" w:orient="portrait"/>
          <w:cols w:equalWidth="0" w:num="1">
            <w:col w:w="9240"/>
          </w:cols>
          <w:pgMar w:left="1240" w:top="104" w:right="1419"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00558C"/>
        </w:rPr>
        <w:t>J. Ronald Dail</w:t>
      </w:r>
    </w:p>
    <w:p>
      <w:pPr>
        <w:spacing w:after="0" w:line="45" w:lineRule="exact"/>
        <w:rPr>
          <w:sz w:val="20"/>
          <w:szCs w:val="20"/>
          <w:color w:val="auto"/>
        </w:rPr>
      </w:pPr>
    </w:p>
    <w:p>
      <w:pPr>
        <w:ind w:left="60"/>
        <w:spacing w:after="0" w:line="381" w:lineRule="auto"/>
        <w:rPr>
          <w:sz w:val="20"/>
          <w:szCs w:val="20"/>
          <w:color w:val="auto"/>
        </w:rPr>
      </w:pPr>
      <w:r>
        <w:rPr>
          <w:rFonts w:ascii="Arial" w:cs="Arial" w:eastAsia="Arial" w:hAnsi="Arial"/>
          <w:sz w:val="11"/>
          <w:szCs w:val="11"/>
          <w:b w:val="1"/>
          <w:bCs w:val="1"/>
          <w:color w:val="6AAA37"/>
        </w:rPr>
        <w:t>EXECUTIVE VICE PRESIDENT AND CHIEF</w:t>
      </w:r>
      <w:r>
        <w:rPr>
          <w:rFonts w:ascii="Arial" w:cs="Arial" w:eastAsia="Arial" w:hAnsi="Arial"/>
          <w:sz w:val="24"/>
          <w:szCs w:val="24"/>
          <w:b w:val="1"/>
          <w:bCs w:val="1"/>
          <w:color w:val="00558C"/>
          <w:vertAlign w:val="subscript"/>
        </w:rPr>
        <w:t>John</w:t>
      </w:r>
      <w:r>
        <w:rPr>
          <w:rFonts w:ascii="Arial" w:cs="Arial" w:eastAsia="Arial" w:hAnsi="Arial"/>
          <w:sz w:val="11"/>
          <w:szCs w:val="11"/>
          <w:b w:val="1"/>
          <w:bCs w:val="1"/>
          <w:color w:val="6AAA37"/>
        </w:rPr>
        <w:t>OPERATING</w:t>
      </w:r>
      <w:r>
        <w:rPr>
          <w:rFonts w:ascii="Arial" w:cs="Arial" w:eastAsia="Arial" w:hAnsi="Arial"/>
          <w:sz w:val="24"/>
          <w:szCs w:val="24"/>
          <w:b w:val="1"/>
          <w:bCs w:val="1"/>
          <w:color w:val="00558C"/>
          <w:vertAlign w:val="subscript"/>
        </w:rPr>
        <w:t>D.Kelly</w:t>
      </w:r>
      <w:r>
        <w:rPr>
          <w:rFonts w:ascii="Arial" w:cs="Arial" w:eastAsia="Arial" w:hAnsi="Arial"/>
          <w:sz w:val="11"/>
          <w:szCs w:val="11"/>
          <w:b w:val="1"/>
          <w:bCs w:val="1"/>
          <w:color w:val="6AAA37"/>
        </w:rPr>
        <w:t>OFFICER</w:t>
      </w:r>
    </w:p>
    <w:p>
      <w:pPr>
        <w:spacing w:after="0" w:line="1" w:lineRule="exact"/>
        <w:rPr>
          <w:sz w:val="20"/>
          <w:szCs w:val="20"/>
          <w:color w:val="auto"/>
        </w:rPr>
      </w:pPr>
    </w:p>
    <w:p>
      <w:pPr>
        <w:ind w:left="60" w:right="140"/>
        <w:spacing w:after="0" w:line="287" w:lineRule="auto"/>
        <w:rPr>
          <w:sz w:val="20"/>
          <w:szCs w:val="20"/>
          <w:color w:val="auto"/>
        </w:rPr>
      </w:pPr>
      <w:r>
        <w:rPr>
          <w:rFonts w:ascii="Arial" w:cs="Arial" w:eastAsia="Arial" w:hAnsi="Arial"/>
          <w:sz w:val="14"/>
          <w:szCs w:val="14"/>
          <w:b w:val="1"/>
          <w:bCs w:val="1"/>
          <w:color w:val="6AAA37"/>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00558C"/>
        </w:rPr>
        <w:t>Hope Katz</w:t>
      </w:r>
    </w:p>
    <w:p>
      <w:pPr>
        <w:spacing w:after="0" w:line="117" w:lineRule="exact"/>
        <w:rPr>
          <w:sz w:val="20"/>
          <w:szCs w:val="20"/>
          <w:color w:val="auto"/>
        </w:rPr>
      </w:pPr>
    </w:p>
    <w:p>
      <w:pPr>
        <w:ind w:left="60" w:right="340"/>
        <w:spacing w:after="0" w:line="287" w:lineRule="auto"/>
        <w:rPr>
          <w:sz w:val="20"/>
          <w:szCs w:val="20"/>
          <w:color w:val="auto"/>
        </w:rPr>
      </w:pPr>
      <w:r>
        <w:rPr>
          <w:rFonts w:ascii="Arial" w:cs="Arial" w:eastAsia="Arial" w:hAnsi="Arial"/>
          <w:sz w:val="14"/>
          <w:szCs w:val="14"/>
          <w:b w:val="1"/>
          <w:bCs w:val="1"/>
          <w:color w:val="6AAA37"/>
        </w:rPr>
        <w:t>EXECUTIVE VICE PRESIDENT, GENERAL COUNSEL AND CORPORATE SECRETARY</w:t>
      </w:r>
    </w:p>
    <w:p>
      <w:pPr>
        <w:spacing w:after="0" w:line="20" w:lineRule="exact"/>
        <w:rPr>
          <w:sz w:val="20"/>
          <w:szCs w:val="20"/>
          <w:color w:val="auto"/>
        </w:rPr>
      </w:pPr>
      <w:r>
        <w:rPr>
          <w:sz w:val="20"/>
          <w:szCs w:val="20"/>
          <w:color w:val="auto"/>
        </w:rPr>
        <w:br w:type="column"/>
      </w:r>
    </w:p>
    <w:p>
      <w:pPr>
        <w:jc w:val="both"/>
        <w:ind w:right="320"/>
        <w:spacing w:after="0" w:line="268" w:lineRule="auto"/>
        <w:rPr>
          <w:sz w:val="20"/>
          <w:szCs w:val="20"/>
          <w:color w:val="auto"/>
        </w:rPr>
      </w:pPr>
      <w:r>
        <w:rPr>
          <w:rFonts w:ascii="Arial" w:cs="Arial" w:eastAsia="Arial" w:hAnsi="Arial"/>
          <w:sz w:val="14"/>
          <w:szCs w:val="14"/>
          <w:color w:val="auto"/>
        </w:rPr>
        <w:t>Mr. Dail has served as Chief Operating Officer of Huron (“COO”) since July 1, 2022. Mr. Dail brings nearly 35 years of management consulting and operational leadership experience. As COO, Mr. Dail is responsible for ensuring operational excellence across the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-370205</wp:posOffset>
            </wp:positionV>
            <wp:extent cx="6810375" cy="48025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4802505"/>
                    </a:xfrm>
                    <a:prstGeom prst="rect">
                      <a:avLst/>
                    </a:prstGeom>
                    <a:noFill/>
                  </pic:spPr>
                </pic:pic>
              </a:graphicData>
            </a:graphic>
          </wp:anchor>
        </w:drawing>
      </w:r>
    </w:p>
    <w:p>
      <w:pPr>
        <w:ind w:right="80"/>
        <w:spacing w:after="0" w:line="345" w:lineRule="auto"/>
        <w:rPr>
          <w:sz w:val="20"/>
          <w:szCs w:val="20"/>
          <w:color w:val="auto"/>
        </w:rPr>
      </w:pPr>
      <w:r>
        <w:rPr>
          <w:rFonts w:ascii="Arial" w:cs="Arial" w:eastAsia="Arial" w:hAnsi="Arial"/>
          <w:sz w:val="8"/>
          <w:szCs w:val="8"/>
          <w:color w:val="auto"/>
        </w:rPr>
        <w:t>supporting</w:t>
      </w:r>
      <w:r>
        <w:rPr>
          <w:rFonts w:ascii="Arial" w:cs="Arial" w:eastAsia="Arial" w:hAnsi="Arial"/>
          <w:sz w:val="11"/>
          <w:szCs w:val="11"/>
          <w:color w:val="auto"/>
          <w:vertAlign w:val="subscript"/>
        </w:rPr>
        <w:t>JohnD.Kelly</w:t>
      </w:r>
      <w:r>
        <w:rPr>
          <w:rFonts w:ascii="Arial" w:cs="Arial" w:eastAsia="Arial" w:hAnsi="Arial"/>
          <w:sz w:val="8"/>
          <w:szCs w:val="8"/>
          <w:color w:val="auto"/>
        </w:rPr>
        <w:t>global</w:t>
      </w:r>
      <w:r>
        <w:rPr>
          <w:rFonts w:ascii="Arial" w:cs="Arial" w:eastAsia="Arial" w:hAnsi="Arial"/>
          <w:sz w:val="11"/>
          <w:szCs w:val="11"/>
          <w:color w:val="auto"/>
          <w:vertAlign w:val="subscript"/>
        </w:rPr>
        <w:t>has</w:t>
      </w:r>
      <w:r>
        <w:rPr>
          <w:rFonts w:ascii="Arial" w:cs="Arial" w:eastAsia="Arial" w:hAnsi="Arial"/>
          <w:sz w:val="8"/>
          <w:szCs w:val="8"/>
          <w:color w:val="auto"/>
        </w:rPr>
        <w:t xml:space="preserve"> growth,</w:t>
      </w:r>
      <w:r>
        <w:rPr>
          <w:rFonts w:ascii="Arial" w:cs="Arial" w:eastAsia="Arial" w:hAnsi="Arial"/>
          <w:sz w:val="11"/>
          <w:szCs w:val="11"/>
          <w:color w:val="auto"/>
          <w:vertAlign w:val="subscript"/>
        </w:rPr>
        <w:t>served as</w:t>
      </w:r>
      <w:r>
        <w:rPr>
          <w:rFonts w:ascii="Arial" w:cs="Arial" w:eastAsia="Arial" w:hAnsi="Arial"/>
          <w:sz w:val="8"/>
          <w:szCs w:val="8"/>
          <w:color w:val="auto"/>
        </w:rPr>
        <w:t>advancing</w:t>
      </w:r>
      <w:r>
        <w:rPr>
          <w:rFonts w:ascii="Arial" w:cs="Arial" w:eastAsia="Arial" w:hAnsi="Arial"/>
          <w:sz w:val="11"/>
          <w:szCs w:val="11"/>
          <w:color w:val="auto"/>
          <w:vertAlign w:val="subscript"/>
        </w:rPr>
        <w:t>Executive</w:t>
      </w:r>
      <w:r>
        <w:rPr>
          <w:rFonts w:ascii="Arial" w:cs="Arial" w:eastAsia="Arial" w:hAnsi="Arial"/>
          <w:sz w:val="8"/>
          <w:szCs w:val="8"/>
          <w:color w:val="auto"/>
        </w:rPr>
        <w:t>margin</w:t>
      </w:r>
      <w:r>
        <w:rPr>
          <w:rFonts w:ascii="Arial" w:cs="Arial" w:eastAsia="Arial" w:hAnsi="Arial"/>
          <w:sz w:val="11"/>
          <w:szCs w:val="11"/>
          <w:color w:val="auto"/>
          <w:vertAlign w:val="subscript"/>
        </w:rPr>
        <w:t>Vice President</w:t>
      </w:r>
      <w:r>
        <w:rPr>
          <w:rFonts w:ascii="Arial" w:cs="Arial" w:eastAsia="Arial" w:hAnsi="Arial"/>
          <w:sz w:val="8"/>
          <w:szCs w:val="8"/>
          <w:color w:val="auto"/>
        </w:rPr>
        <w:t>performance</w:t>
      </w:r>
      <w:r>
        <w:rPr>
          <w:rFonts w:ascii="Arial" w:cs="Arial" w:eastAsia="Arial" w:hAnsi="Arial"/>
          <w:sz w:val="11"/>
          <w:szCs w:val="11"/>
          <w:color w:val="auto"/>
          <w:vertAlign w:val="subscript"/>
        </w:rPr>
        <w:t>and</w:t>
      </w:r>
      <w:r>
        <w:rPr>
          <w:rFonts w:ascii="Arial" w:cs="Arial" w:eastAsia="Arial" w:hAnsi="Arial"/>
          <w:sz w:val="8"/>
          <w:szCs w:val="8"/>
          <w:color w:val="auto"/>
        </w:rPr>
        <w:t>and</w:t>
      </w:r>
      <w:r>
        <w:rPr>
          <w:rFonts w:ascii="Arial" w:cs="Arial" w:eastAsia="Arial" w:hAnsi="Arial"/>
          <w:sz w:val="11"/>
          <w:szCs w:val="11"/>
          <w:color w:val="auto"/>
          <w:vertAlign w:val="subscript"/>
        </w:rPr>
        <w:t>Chief</w:t>
      </w:r>
      <w:r>
        <w:rPr>
          <w:rFonts w:ascii="Arial" w:cs="Arial" w:eastAsia="Arial" w:hAnsi="Arial"/>
          <w:sz w:val="8"/>
          <w:szCs w:val="8"/>
          <w:color w:val="auto"/>
        </w:rPr>
        <w:t>strengthening</w:t>
      </w:r>
      <w:r>
        <w:rPr>
          <w:rFonts w:ascii="Arial" w:cs="Arial" w:eastAsia="Arial" w:hAnsi="Arial"/>
          <w:sz w:val="11"/>
          <w:szCs w:val="11"/>
          <w:color w:val="auto"/>
          <w:vertAlign w:val="subscript"/>
        </w:rPr>
        <w:t>FinancialOfficer</w:t>
      </w:r>
      <w:r>
        <w:rPr>
          <w:rFonts w:ascii="Arial" w:cs="Arial" w:eastAsia="Arial" w:hAnsi="Arial"/>
          <w:sz w:val="8"/>
          <w:szCs w:val="8"/>
          <w:color w:val="auto"/>
        </w:rPr>
        <w:t>Huron’s</w:t>
      </w:r>
      <w:r>
        <w:rPr>
          <w:rFonts w:ascii="Arial" w:cs="Arial" w:eastAsia="Arial" w:hAnsi="Arial"/>
          <w:sz w:val="11"/>
          <w:szCs w:val="11"/>
          <w:color w:val="auto"/>
          <w:vertAlign w:val="subscript"/>
        </w:rPr>
        <w:t>ofHuron</w:t>
      </w:r>
      <w:r>
        <w:rPr>
          <w:rFonts w:ascii="Arial" w:cs="Arial" w:eastAsia="Arial" w:hAnsi="Arial"/>
          <w:sz w:val="8"/>
          <w:szCs w:val="8"/>
          <w:color w:val="auto"/>
        </w:rPr>
        <w:t>operational</w:t>
      </w:r>
      <w:r>
        <w:rPr>
          <w:rFonts w:ascii="Arial" w:cs="Arial" w:eastAsia="Arial" w:hAnsi="Arial"/>
          <w:sz w:val="11"/>
          <w:szCs w:val="11"/>
          <w:color w:val="auto"/>
          <w:vertAlign w:val="subscript"/>
        </w:rPr>
        <w:t>since</w:t>
      </w:r>
      <w:r>
        <w:rPr>
          <w:rFonts w:ascii="Arial" w:cs="Arial" w:eastAsia="Arial" w:hAnsi="Arial"/>
          <w:sz w:val="8"/>
          <w:szCs w:val="8"/>
          <w:color w:val="auto"/>
        </w:rPr>
        <w:t xml:space="preserve"> infrast</w:t>
      </w:r>
      <w:r>
        <w:rPr>
          <w:rFonts w:ascii="Arial" w:cs="Arial" w:eastAsia="Arial" w:hAnsi="Arial"/>
          <w:sz w:val="11"/>
          <w:szCs w:val="11"/>
          <w:color w:val="auto"/>
          <w:vertAlign w:val="subscript"/>
        </w:rPr>
        <w:t>Janua</w:t>
      </w:r>
      <w:r>
        <w:rPr>
          <w:rFonts w:ascii="Arial" w:cs="Arial" w:eastAsia="Arial" w:hAnsi="Arial"/>
          <w:sz w:val="8"/>
          <w:szCs w:val="8"/>
          <w:b w:val="1"/>
          <w:bCs w:val="1"/>
          <w:color w:val="auto"/>
        </w:rPr>
        <w:t>r</w:t>
      </w:r>
      <w:r>
        <w:rPr>
          <w:rFonts w:ascii="Arial" w:cs="Arial" w:eastAsia="Arial" w:hAnsi="Arial"/>
          <w:sz w:val="8"/>
          <w:szCs w:val="8"/>
          <w:color w:val="auto"/>
        </w:rPr>
        <w:t>ucture</w:t>
      </w:r>
      <w:r>
        <w:rPr>
          <w:rFonts w:ascii="Arial" w:cs="Arial" w:eastAsia="Arial" w:hAnsi="Arial"/>
          <w:sz w:val="11"/>
          <w:szCs w:val="11"/>
          <w:color w:val="auto"/>
          <w:vertAlign w:val="subscript"/>
        </w:rPr>
        <w:t>y3,2017</w:t>
      </w:r>
      <w:r>
        <w:rPr>
          <w:rFonts w:ascii="Arial" w:cs="Arial" w:eastAsia="Arial" w:hAnsi="Arial"/>
          <w:sz w:val="8"/>
          <w:szCs w:val="8"/>
          <w:color w:val="auto"/>
        </w:rPr>
        <w:t>.He</w:t>
      </w:r>
      <w:r>
        <w:rPr>
          <w:rFonts w:ascii="Arial" w:cs="Arial" w:eastAsia="Arial" w:hAnsi="Arial"/>
          <w:sz w:val="11"/>
          <w:szCs w:val="11"/>
          <w:color w:val="auto"/>
          <w:vertAlign w:val="subscript"/>
        </w:rPr>
        <w:t>and</w:t>
      </w:r>
      <w:r>
        <w:rPr>
          <w:rFonts w:ascii="Arial" w:cs="Arial" w:eastAsia="Arial" w:hAnsi="Arial"/>
          <w:sz w:val="8"/>
          <w:szCs w:val="8"/>
          <w:color w:val="auto"/>
        </w:rPr>
        <w:t>has</w:t>
      </w:r>
      <w:r>
        <w:rPr>
          <w:rFonts w:ascii="Arial" w:cs="Arial" w:eastAsia="Arial" w:hAnsi="Arial"/>
          <w:sz w:val="11"/>
          <w:szCs w:val="11"/>
          <w:color w:val="auto"/>
          <w:vertAlign w:val="subscript"/>
        </w:rPr>
        <w:t>as</w:t>
      </w:r>
      <w:r>
        <w:rPr>
          <w:rFonts w:ascii="Arial" w:cs="Arial" w:eastAsia="Arial" w:hAnsi="Arial"/>
          <w:sz w:val="8"/>
          <w:szCs w:val="8"/>
          <w:color w:val="auto"/>
        </w:rPr>
        <w:t>guided</w:t>
      </w:r>
      <w:r>
        <w:rPr>
          <w:rFonts w:ascii="Arial" w:cs="Arial" w:eastAsia="Arial" w:hAnsi="Arial"/>
          <w:sz w:val="11"/>
          <w:szCs w:val="11"/>
          <w:color w:val="auto"/>
          <w:vertAlign w:val="subscript"/>
        </w:rPr>
        <w:t>Huron’s</w:t>
      </w:r>
      <w:r>
        <w:rPr>
          <w:rFonts w:ascii="Arial" w:cs="Arial" w:eastAsia="Arial" w:hAnsi="Arial"/>
          <w:sz w:val="8"/>
          <w:szCs w:val="8"/>
          <w:color w:val="auto"/>
        </w:rPr>
        <w:t>Huron’s</w:t>
      </w:r>
      <w:r>
        <w:rPr>
          <w:rFonts w:ascii="Arial" w:cs="Arial" w:eastAsia="Arial" w:hAnsi="Arial"/>
          <w:sz w:val="11"/>
          <w:szCs w:val="11"/>
          <w:color w:val="auto"/>
          <w:vertAlign w:val="subscript"/>
        </w:rPr>
        <w:t>Treasurer</w:t>
      </w:r>
      <w:r>
        <w:rPr>
          <w:rFonts w:ascii="Arial" w:cs="Arial" w:eastAsia="Arial" w:hAnsi="Arial"/>
          <w:sz w:val="8"/>
          <w:szCs w:val="8"/>
          <w:color w:val="auto"/>
        </w:rPr>
        <w:t>multi-</w:t>
      </w:r>
      <w:r>
        <w:rPr>
          <w:rFonts w:ascii="Arial" w:cs="Arial" w:eastAsia="Arial" w:hAnsi="Arial"/>
          <w:sz w:val="11"/>
          <w:szCs w:val="11"/>
          <w:color w:val="auto"/>
          <w:vertAlign w:val="subscript"/>
        </w:rPr>
        <w:t>since</w:t>
      </w:r>
      <w:r>
        <w:rPr>
          <w:rFonts w:ascii="Arial" w:cs="Arial" w:eastAsia="Arial" w:hAnsi="Arial"/>
          <w:sz w:val="8"/>
          <w:szCs w:val="8"/>
          <w:color w:val="auto"/>
        </w:rPr>
        <w:t>year efforts</w:t>
      </w:r>
      <w:r>
        <w:rPr>
          <w:rFonts w:ascii="Arial" w:cs="Arial" w:eastAsia="Arial" w:hAnsi="Arial"/>
          <w:sz w:val="11"/>
          <w:szCs w:val="11"/>
          <w:color w:val="auto"/>
          <w:vertAlign w:val="subscript"/>
        </w:rPr>
        <w:t>2016. He</w:t>
      </w:r>
      <w:r>
        <w:rPr>
          <w:rFonts w:ascii="Arial" w:cs="Arial" w:eastAsia="Arial" w:hAnsi="Arial"/>
          <w:sz w:val="8"/>
          <w:szCs w:val="8"/>
          <w:color w:val="auto"/>
        </w:rPr>
        <w:t>toimprove</w:t>
      </w:r>
      <w:r>
        <w:rPr>
          <w:rFonts w:ascii="Arial" w:cs="Arial" w:eastAsia="Arial" w:hAnsi="Arial"/>
          <w:sz w:val="11"/>
          <w:szCs w:val="11"/>
          <w:color w:val="auto"/>
          <w:vertAlign w:val="subscript"/>
        </w:rPr>
        <w:t>hadserved</w:t>
      </w:r>
      <w:r>
        <w:rPr>
          <w:rFonts w:ascii="Arial" w:cs="Arial" w:eastAsia="Arial" w:hAnsi="Arial"/>
          <w:sz w:val="8"/>
          <w:szCs w:val="8"/>
          <w:color w:val="auto"/>
        </w:rPr>
        <w:t>profitability,</w:t>
      </w:r>
      <w:r>
        <w:rPr>
          <w:rFonts w:ascii="Arial" w:cs="Arial" w:eastAsia="Arial" w:hAnsi="Arial"/>
          <w:sz w:val="11"/>
          <w:szCs w:val="11"/>
          <w:color w:val="auto"/>
          <w:vertAlign w:val="subscript"/>
        </w:rPr>
        <w:t>asChief</w:t>
      </w:r>
      <w:r>
        <w:rPr>
          <w:rFonts w:ascii="Arial" w:cs="Arial" w:eastAsia="Arial" w:hAnsi="Arial"/>
          <w:sz w:val="8"/>
          <w:szCs w:val="8"/>
          <w:color w:val="auto"/>
        </w:rPr>
        <w:t>scale</w:t>
      </w:r>
      <w:r>
        <w:rPr>
          <w:rFonts w:ascii="Arial" w:cs="Arial" w:eastAsia="Arial" w:hAnsi="Arial"/>
          <w:sz w:val="11"/>
          <w:szCs w:val="11"/>
          <w:color w:val="auto"/>
          <w:vertAlign w:val="subscript"/>
        </w:rPr>
        <w:t>Accounting</w:t>
      </w:r>
      <w:r>
        <w:rPr>
          <w:rFonts w:ascii="Arial" w:cs="Arial" w:eastAsia="Arial" w:hAnsi="Arial"/>
          <w:sz w:val="8"/>
          <w:szCs w:val="8"/>
          <w:color w:val="auto"/>
        </w:rPr>
        <w:t>global</w:t>
      </w:r>
    </w:p>
    <w:p>
      <w:pPr>
        <w:ind w:right="140"/>
        <w:spacing w:after="0" w:line="197" w:lineRule="auto"/>
        <w:rPr>
          <w:sz w:val="20"/>
          <w:szCs w:val="20"/>
          <w:color w:val="auto"/>
        </w:rPr>
      </w:pPr>
      <w:r>
        <w:rPr>
          <w:rFonts w:ascii="Arial" w:cs="Arial" w:eastAsia="Arial" w:hAnsi="Arial"/>
          <w:sz w:val="10"/>
          <w:szCs w:val="10"/>
          <w:color w:val="auto"/>
        </w:rPr>
        <w:t>operations, and enhance enterprise performance. Prior to being named COO, he served on the Officer of Huron from 2015 until 2017, and had served as Corporate Vice President from 2012</w:t>
      </w:r>
    </w:p>
    <w:p>
      <w:pPr>
        <w:jc w:val="both"/>
        <w:ind w:right="100"/>
        <w:spacing w:after="0" w:line="333" w:lineRule="auto"/>
        <w:rPr>
          <w:sz w:val="20"/>
          <w:szCs w:val="20"/>
          <w:color w:val="auto"/>
        </w:rPr>
      </w:pPr>
      <w:r>
        <w:rPr>
          <w:rFonts w:ascii="Arial" w:cs="Arial" w:eastAsia="Arial" w:hAnsi="Arial"/>
          <w:sz w:val="11"/>
          <w:szCs w:val="11"/>
          <w:color w:val="auto"/>
          <w:vertAlign w:val="superscript"/>
        </w:rPr>
        <w:t>executive</w:t>
      </w:r>
      <w:r>
        <w:rPr>
          <w:rFonts w:ascii="Arial" w:cs="Arial" w:eastAsia="Arial" w:hAnsi="Arial"/>
          <w:sz w:val="8"/>
          <w:szCs w:val="8"/>
          <w:color w:val="auto"/>
        </w:rPr>
        <w:t>untilhisappointment</w:t>
      </w:r>
      <w:r>
        <w:rPr>
          <w:rFonts w:ascii="Arial" w:cs="Arial" w:eastAsia="Arial" w:hAnsi="Arial"/>
          <w:sz w:val="11"/>
          <w:szCs w:val="11"/>
          <w:color w:val="auto"/>
          <w:vertAlign w:val="superscript"/>
        </w:rPr>
        <w:t>leadership team</w:t>
      </w:r>
      <w:r>
        <w:rPr>
          <w:rFonts w:ascii="Arial" w:cs="Arial" w:eastAsia="Arial" w:hAnsi="Arial"/>
          <w:sz w:val="8"/>
          <w:szCs w:val="8"/>
          <w:color w:val="auto"/>
        </w:rPr>
        <w:t>asExecutive</w:t>
      </w:r>
      <w:r>
        <w:rPr>
          <w:rFonts w:ascii="Arial" w:cs="Arial" w:eastAsia="Arial" w:hAnsi="Arial"/>
          <w:sz w:val="11"/>
          <w:szCs w:val="11"/>
          <w:color w:val="auto"/>
          <w:vertAlign w:val="superscript"/>
        </w:rPr>
        <w:t>forHuron’s</w:t>
      </w:r>
      <w:r>
        <w:rPr>
          <w:rFonts w:ascii="Arial" w:cs="Arial" w:eastAsia="Arial" w:hAnsi="Arial"/>
          <w:sz w:val="8"/>
          <w:szCs w:val="8"/>
          <w:color w:val="auto"/>
        </w:rPr>
        <w:t>Vice</w:t>
      </w:r>
      <w:r>
        <w:rPr>
          <w:rFonts w:ascii="Arial" w:cs="Arial" w:eastAsia="Arial" w:hAnsi="Arial"/>
          <w:sz w:val="11"/>
          <w:szCs w:val="11"/>
          <w:color w:val="auto"/>
          <w:vertAlign w:val="superscript"/>
        </w:rPr>
        <w:t>healthcare</w:t>
      </w:r>
      <w:r>
        <w:rPr>
          <w:rFonts w:ascii="Arial" w:cs="Arial" w:eastAsia="Arial" w:hAnsi="Arial"/>
          <w:sz w:val="8"/>
          <w:szCs w:val="8"/>
          <w:color w:val="auto"/>
        </w:rPr>
        <w:t>President.</w:t>
      </w:r>
      <w:r>
        <w:rPr>
          <w:rFonts w:ascii="Arial" w:cs="Arial" w:eastAsia="Arial" w:hAnsi="Arial"/>
          <w:sz w:val="11"/>
          <w:szCs w:val="11"/>
          <w:color w:val="auto"/>
          <w:vertAlign w:val="superscript"/>
        </w:rPr>
        <w:t>business</w:t>
      </w:r>
      <w:r>
        <w:rPr>
          <w:rFonts w:ascii="Arial" w:cs="Arial" w:eastAsia="Arial" w:hAnsi="Arial"/>
          <w:sz w:val="8"/>
          <w:szCs w:val="8"/>
          <w:color w:val="auto"/>
        </w:rPr>
        <w:t>Previously,</w:t>
      </w:r>
      <w:r>
        <w:rPr>
          <w:rFonts w:ascii="Arial" w:cs="Arial" w:eastAsia="Arial" w:hAnsi="Arial"/>
          <w:sz w:val="11"/>
          <w:szCs w:val="11"/>
          <w:color w:val="auto"/>
          <w:vertAlign w:val="superscript"/>
        </w:rPr>
        <w:t>and</w:t>
      </w:r>
      <w:r>
        <w:rPr>
          <w:rFonts w:ascii="Arial" w:cs="Arial" w:eastAsia="Arial" w:hAnsi="Arial"/>
          <w:sz w:val="8"/>
          <w:szCs w:val="8"/>
          <w:color w:val="auto"/>
        </w:rPr>
        <w:t>Mr</w:t>
      </w:r>
      <w:r>
        <w:rPr>
          <w:rFonts w:ascii="Arial" w:cs="Arial" w:eastAsia="Arial" w:hAnsi="Arial"/>
          <w:sz w:val="11"/>
          <w:szCs w:val="11"/>
          <w:color w:val="auto"/>
          <w:vertAlign w:val="superscript"/>
        </w:rPr>
        <w:t>was</w:t>
      </w:r>
      <w:r>
        <w:rPr>
          <w:rFonts w:ascii="Arial" w:cs="Arial" w:eastAsia="Arial" w:hAnsi="Arial"/>
          <w:sz w:val="8"/>
          <w:szCs w:val="8"/>
          <w:color w:val="auto"/>
        </w:rPr>
        <w:t>.Kelly</w:t>
      </w:r>
      <w:r>
        <w:rPr>
          <w:rFonts w:ascii="Arial" w:cs="Arial" w:eastAsia="Arial" w:hAnsi="Arial"/>
          <w:sz w:val="11"/>
          <w:szCs w:val="11"/>
          <w:color w:val="auto"/>
          <w:vertAlign w:val="superscript"/>
        </w:rPr>
        <w:t>the</w:t>
      </w:r>
      <w:r>
        <w:rPr>
          <w:rFonts w:ascii="Arial" w:cs="Arial" w:eastAsia="Arial" w:hAnsi="Arial"/>
          <w:sz w:val="8"/>
          <w:szCs w:val="8"/>
          <w:color w:val="auto"/>
        </w:rPr>
        <w:t>had</w:t>
      </w:r>
      <w:r>
        <w:rPr>
          <w:rFonts w:ascii="Arial" w:cs="Arial" w:eastAsia="Arial" w:hAnsi="Arial"/>
          <w:sz w:val="11"/>
          <w:szCs w:val="11"/>
          <w:color w:val="auto"/>
          <w:vertAlign w:val="superscript"/>
        </w:rPr>
        <w:t>national</w:t>
      </w:r>
      <w:r>
        <w:rPr>
          <w:rFonts w:ascii="Arial" w:cs="Arial" w:eastAsia="Arial" w:hAnsi="Arial"/>
          <w:sz w:val="8"/>
          <w:szCs w:val="8"/>
          <w:color w:val="auto"/>
        </w:rPr>
        <w:t>served</w:t>
      </w:r>
      <w:r>
        <w:rPr>
          <w:rFonts w:ascii="Arial" w:cs="Arial" w:eastAsia="Arial" w:hAnsi="Arial"/>
          <w:sz w:val="11"/>
          <w:szCs w:val="11"/>
          <w:color w:val="auto"/>
          <w:vertAlign w:val="superscript"/>
        </w:rPr>
        <w:t>leader</w:t>
      </w:r>
      <w:r>
        <w:rPr>
          <w:rFonts w:ascii="Arial" w:cs="Arial" w:eastAsia="Arial" w:hAnsi="Arial"/>
          <w:sz w:val="8"/>
          <w:szCs w:val="8"/>
          <w:color w:val="auto"/>
        </w:rPr>
        <w:t>ascontroller</w:t>
      </w:r>
      <w:r>
        <w:rPr>
          <w:rFonts w:ascii="Arial" w:cs="Arial" w:eastAsia="Arial" w:hAnsi="Arial"/>
          <w:sz w:val="11"/>
          <w:szCs w:val="11"/>
          <w:color w:val="auto"/>
          <w:vertAlign w:val="superscript"/>
        </w:rPr>
        <w:t>f</w:t>
      </w:r>
      <w:r>
        <w:rPr>
          <w:rFonts w:ascii="Arial" w:cs="Arial" w:eastAsia="Arial" w:hAnsi="Arial"/>
          <w:sz w:val="8"/>
          <w:szCs w:val="8"/>
          <w:color w:val="auto"/>
        </w:rPr>
        <w:t xml:space="preserve"> Huron’s</w:t>
      </w:r>
      <w:r>
        <w:rPr>
          <w:rFonts w:ascii="Arial" w:cs="Arial" w:eastAsia="Arial" w:hAnsi="Arial"/>
          <w:sz w:val="11"/>
          <w:szCs w:val="11"/>
          <w:color w:val="auto"/>
          <w:vertAlign w:val="subscript"/>
        </w:rPr>
        <w:t>ofHuron</w:t>
      </w:r>
      <w:r>
        <w:rPr>
          <w:rFonts w:ascii="Arial" w:cs="Arial" w:eastAsia="Arial" w:hAnsi="Arial"/>
          <w:sz w:val="8"/>
          <w:szCs w:val="8"/>
          <w:color w:val="auto"/>
        </w:rPr>
        <w:t>performance</w:t>
      </w:r>
      <w:r>
        <w:rPr>
          <w:rFonts w:ascii="Arial" w:cs="Arial" w:eastAsia="Arial" w:hAnsi="Arial"/>
          <w:sz w:val="11"/>
          <w:szCs w:val="11"/>
          <w:color w:val="auto"/>
          <w:vertAlign w:val="subscript"/>
        </w:rPr>
        <w:t>from2012until</w:t>
      </w:r>
      <w:r>
        <w:rPr>
          <w:rFonts w:ascii="Arial" w:cs="Arial" w:eastAsia="Arial" w:hAnsi="Arial"/>
          <w:sz w:val="8"/>
          <w:szCs w:val="8"/>
          <w:color w:val="auto"/>
        </w:rPr>
        <w:t>improvement</w:t>
      </w:r>
      <w:r>
        <w:rPr>
          <w:rFonts w:ascii="Arial" w:cs="Arial" w:eastAsia="Arial" w:hAnsi="Arial"/>
          <w:sz w:val="11"/>
          <w:szCs w:val="11"/>
          <w:color w:val="auto"/>
          <w:vertAlign w:val="subscript"/>
        </w:rPr>
        <w:t>2015,and</w:t>
      </w:r>
      <w:r>
        <w:rPr>
          <w:rFonts w:ascii="Arial" w:cs="Arial" w:eastAsia="Arial" w:hAnsi="Arial"/>
          <w:sz w:val="8"/>
          <w:szCs w:val="8"/>
          <w:color w:val="auto"/>
        </w:rPr>
        <w:t xml:space="preserve"> business</w:t>
      </w:r>
      <w:r>
        <w:rPr>
          <w:rFonts w:ascii="Arial" w:cs="Arial" w:eastAsia="Arial" w:hAnsi="Arial"/>
          <w:sz w:val="11"/>
          <w:szCs w:val="11"/>
          <w:color w:val="auto"/>
          <w:vertAlign w:val="subscript"/>
        </w:rPr>
        <w:t>priortothat</w:t>
      </w:r>
      <w:r>
        <w:rPr>
          <w:rFonts w:ascii="Arial" w:cs="Arial" w:eastAsia="Arial" w:hAnsi="Arial"/>
          <w:sz w:val="8"/>
          <w:szCs w:val="8"/>
          <w:color w:val="auto"/>
        </w:rPr>
        <w:t>unit</w:t>
      </w:r>
      <w:r>
        <w:rPr>
          <w:rFonts w:ascii="Arial" w:cs="Arial" w:eastAsia="Arial" w:hAnsi="Arial"/>
          <w:sz w:val="11"/>
          <w:szCs w:val="11"/>
          <w:color w:val="auto"/>
          <w:vertAlign w:val="subscript"/>
        </w:rPr>
        <w:t>served</w:t>
      </w:r>
      <w:r>
        <w:rPr>
          <w:rFonts w:ascii="Arial" w:cs="Arial" w:eastAsia="Arial" w:hAnsi="Arial"/>
          <w:sz w:val="8"/>
          <w:szCs w:val="8"/>
          <w:color w:val="auto"/>
        </w:rPr>
        <w:t>.Under</w:t>
      </w:r>
      <w:r>
        <w:rPr>
          <w:rFonts w:ascii="Arial" w:cs="Arial" w:eastAsia="Arial" w:hAnsi="Arial"/>
          <w:sz w:val="11"/>
          <w:szCs w:val="11"/>
          <w:color w:val="auto"/>
          <w:vertAlign w:val="subscript"/>
        </w:rPr>
        <w:t>as</w:t>
      </w:r>
      <w:r>
        <w:rPr>
          <w:rFonts w:ascii="Arial" w:cs="Arial" w:eastAsia="Arial" w:hAnsi="Arial"/>
          <w:sz w:val="8"/>
          <w:szCs w:val="8"/>
          <w:color w:val="auto"/>
        </w:rPr>
        <w:t>his</w:t>
      </w:r>
      <w:r>
        <w:rPr>
          <w:rFonts w:ascii="Arial" w:cs="Arial" w:eastAsia="Arial" w:hAnsi="Arial"/>
          <w:sz w:val="11"/>
          <w:szCs w:val="11"/>
          <w:color w:val="auto"/>
          <w:vertAlign w:val="subscript"/>
        </w:rPr>
        <w:t>assistant</w:t>
      </w:r>
      <w:r>
        <w:rPr>
          <w:rFonts w:ascii="Arial" w:cs="Arial" w:eastAsia="Arial" w:hAnsi="Arial"/>
          <w:sz w:val="8"/>
          <w:szCs w:val="8"/>
          <w:color w:val="auto"/>
        </w:rPr>
        <w:t>leadership,</w:t>
      </w:r>
      <w:r>
        <w:rPr>
          <w:rFonts w:ascii="Arial" w:cs="Arial" w:eastAsia="Arial" w:hAnsi="Arial"/>
          <w:sz w:val="11"/>
          <w:szCs w:val="11"/>
          <w:color w:val="auto"/>
          <w:vertAlign w:val="subscript"/>
        </w:rPr>
        <w:t>controller</w:t>
      </w:r>
      <w:r>
        <w:rPr>
          <w:rFonts w:ascii="Arial" w:cs="Arial" w:eastAsia="Arial" w:hAnsi="Arial"/>
          <w:sz w:val="8"/>
          <w:szCs w:val="8"/>
          <w:color w:val="auto"/>
        </w:rPr>
        <w:t>thatbusiness</w:t>
      </w:r>
      <w:r>
        <w:rPr>
          <w:rFonts w:ascii="Arial" w:cs="Arial" w:eastAsia="Arial" w:hAnsi="Arial"/>
          <w:sz w:val="11"/>
          <w:szCs w:val="11"/>
          <w:color w:val="auto"/>
          <w:vertAlign w:val="subscript"/>
        </w:rPr>
        <w:t>from2009</w:t>
      </w:r>
      <w:r>
        <w:rPr>
          <w:rFonts w:ascii="Arial" w:cs="Arial" w:eastAsia="Arial" w:hAnsi="Arial"/>
          <w:sz w:val="8"/>
          <w:szCs w:val="8"/>
          <w:color w:val="auto"/>
        </w:rPr>
        <w:t>delivered</w:t>
      </w:r>
      <w:r>
        <w:rPr>
          <w:rFonts w:ascii="Arial" w:cs="Arial" w:eastAsia="Arial" w:hAnsi="Arial"/>
          <w:sz w:val="11"/>
          <w:szCs w:val="11"/>
          <w:color w:val="auto"/>
          <w:vertAlign w:val="subscript"/>
        </w:rPr>
        <w:t>.Mr.</w:t>
      </w:r>
    </w:p>
    <w:p>
      <w:pPr>
        <w:ind w:right="320"/>
        <w:spacing w:after="0" w:line="197" w:lineRule="auto"/>
        <w:rPr>
          <w:sz w:val="20"/>
          <w:szCs w:val="20"/>
          <w:color w:val="auto"/>
        </w:rPr>
      </w:pPr>
      <w:r>
        <w:rPr>
          <w:rFonts w:ascii="Arial" w:cs="Arial" w:eastAsia="Arial" w:hAnsi="Arial"/>
          <w:sz w:val="10"/>
          <w:szCs w:val="10"/>
          <w:color w:val="auto"/>
        </w:rPr>
        <w:t>hundreds of millions of dollars in annual, recurring benefit for many of Huron’s largest clients Kelly served as Huron's Assistant Treasurer from 2015 until 2016. Prior to joining Huron's</w:t>
      </w:r>
    </w:p>
    <w:p>
      <w:pPr>
        <w:ind w:right="200"/>
        <w:spacing w:after="0" w:line="333" w:lineRule="auto"/>
        <w:rPr>
          <w:sz w:val="20"/>
          <w:szCs w:val="20"/>
          <w:color w:val="auto"/>
        </w:rPr>
      </w:pPr>
      <w:r>
        <w:rPr>
          <w:rFonts w:ascii="Arial" w:cs="Arial" w:eastAsia="Arial" w:hAnsi="Arial"/>
          <w:sz w:val="8"/>
          <w:szCs w:val="8"/>
          <w:color w:val="auto"/>
        </w:rPr>
        <w:t>through</w:t>
      </w:r>
      <w:r>
        <w:rPr>
          <w:rFonts w:ascii="Arial" w:cs="Arial" w:eastAsia="Arial" w:hAnsi="Arial"/>
          <w:sz w:val="11"/>
          <w:szCs w:val="11"/>
          <w:color w:val="auto"/>
          <w:vertAlign w:val="subscript"/>
        </w:rPr>
        <w:t>Finance</w:t>
      </w:r>
      <w:r>
        <w:rPr>
          <w:rFonts w:ascii="Arial" w:cs="Arial" w:eastAsia="Arial" w:hAnsi="Arial"/>
          <w:sz w:val="8"/>
          <w:szCs w:val="8"/>
          <w:color w:val="auto"/>
        </w:rPr>
        <w:t xml:space="preserve"> la</w:t>
      </w:r>
      <w:r>
        <w:rPr>
          <w:rFonts w:ascii="Arial" w:cs="Arial" w:eastAsia="Arial" w:hAnsi="Arial"/>
          <w:sz w:val="11"/>
          <w:szCs w:val="11"/>
          <w:color w:val="auto"/>
          <w:vertAlign w:val="subscript"/>
        </w:rPr>
        <w:t>nd</w:t>
      </w:r>
      <w:r>
        <w:rPr>
          <w:rFonts w:ascii="Arial" w:cs="Arial" w:eastAsia="Arial" w:hAnsi="Arial"/>
          <w:sz w:val="8"/>
          <w:szCs w:val="8"/>
          <w:color w:val="auto"/>
        </w:rPr>
        <w:t>rge</w:t>
      </w:r>
      <w:r>
        <w:rPr>
          <w:rFonts w:ascii="Arial" w:cs="Arial" w:eastAsia="Arial" w:hAnsi="Arial"/>
          <w:sz w:val="11"/>
          <w:szCs w:val="11"/>
          <w:color w:val="auto"/>
          <w:vertAlign w:val="subscript"/>
        </w:rPr>
        <w:t>Accounting</w:t>
      </w:r>
      <w:r>
        <w:rPr>
          <w:rFonts w:ascii="Arial" w:cs="Arial" w:eastAsia="Arial" w:hAnsi="Arial"/>
          <w:sz w:val="8"/>
          <w:szCs w:val="8"/>
          <w:color w:val="auto"/>
        </w:rPr>
        <w:t>scaleoperational,</w:t>
      </w:r>
      <w:r>
        <w:rPr>
          <w:rFonts w:ascii="Arial" w:cs="Arial" w:eastAsia="Arial" w:hAnsi="Arial"/>
          <w:sz w:val="11"/>
          <w:szCs w:val="11"/>
          <w:color w:val="auto"/>
          <w:vertAlign w:val="subscript"/>
        </w:rPr>
        <w:t>department,</w:t>
      </w:r>
      <w:r>
        <w:rPr>
          <w:rFonts w:ascii="Arial" w:cs="Arial" w:eastAsia="Arial" w:hAnsi="Arial"/>
          <w:sz w:val="8"/>
          <w:szCs w:val="8"/>
          <w:color w:val="auto"/>
        </w:rPr>
        <w:t>technology,</w:t>
      </w:r>
      <w:r>
        <w:rPr>
          <w:rFonts w:ascii="Arial" w:cs="Arial" w:eastAsia="Arial" w:hAnsi="Arial"/>
          <w:sz w:val="11"/>
          <w:szCs w:val="11"/>
          <w:color w:val="auto"/>
          <w:vertAlign w:val="subscript"/>
        </w:rPr>
        <w:t>Mr.Kelly</w:t>
      </w:r>
      <w:r>
        <w:rPr>
          <w:rFonts w:ascii="Arial" w:cs="Arial" w:eastAsia="Arial" w:hAnsi="Arial"/>
          <w:sz w:val="8"/>
          <w:szCs w:val="8"/>
          <w:color w:val="auto"/>
        </w:rPr>
        <w:t>and</w:t>
      </w:r>
      <w:r>
        <w:rPr>
          <w:rFonts w:ascii="Arial" w:cs="Arial" w:eastAsia="Arial" w:hAnsi="Arial"/>
          <w:sz w:val="11"/>
          <w:szCs w:val="11"/>
          <w:color w:val="auto"/>
          <w:vertAlign w:val="subscript"/>
        </w:rPr>
        <w:t>was</w:t>
      </w:r>
      <w:r>
        <w:rPr>
          <w:rFonts w:ascii="Arial" w:cs="Arial" w:eastAsia="Arial" w:hAnsi="Arial"/>
          <w:sz w:val="8"/>
          <w:szCs w:val="8"/>
          <w:color w:val="auto"/>
        </w:rPr>
        <w:t>organizational</w:t>
      </w:r>
      <w:r>
        <w:rPr>
          <w:rFonts w:ascii="Arial" w:cs="Arial" w:eastAsia="Arial" w:hAnsi="Arial"/>
          <w:sz w:val="11"/>
          <w:szCs w:val="11"/>
          <w:color w:val="auto"/>
          <w:vertAlign w:val="subscript"/>
        </w:rPr>
        <w:t>adirectorin</w:t>
      </w:r>
      <w:r>
        <w:rPr>
          <w:rFonts w:ascii="Arial" w:cs="Arial" w:eastAsia="Arial" w:hAnsi="Arial"/>
          <w:sz w:val="8"/>
          <w:szCs w:val="8"/>
          <w:color w:val="auto"/>
        </w:rPr>
        <w:t xml:space="preserve"> transformation</w:t>
      </w:r>
      <w:r>
        <w:rPr>
          <w:rFonts w:ascii="Arial" w:cs="Arial" w:eastAsia="Arial" w:hAnsi="Arial"/>
          <w:sz w:val="11"/>
          <w:szCs w:val="11"/>
          <w:color w:val="auto"/>
          <w:vertAlign w:val="subscript"/>
        </w:rPr>
        <w:t>theCompany'</w:t>
      </w:r>
      <w:r>
        <w:rPr>
          <w:rFonts w:ascii="Arial" w:cs="Arial" w:eastAsia="Arial" w:hAnsi="Arial"/>
          <w:sz w:val="8"/>
          <w:szCs w:val="8"/>
          <w:b w:val="1"/>
          <w:bCs w:val="1"/>
          <w:color w:val="auto"/>
        </w:rPr>
        <w:t>s</w:t>
      </w:r>
      <w:r>
        <w:rPr>
          <w:rFonts w:ascii="Arial" w:cs="Arial" w:eastAsia="Arial" w:hAnsi="Arial"/>
          <w:sz w:val="8"/>
          <w:szCs w:val="8"/>
          <w:color w:val="auto"/>
        </w:rPr>
        <w:t>.</w:t>
      </w:r>
      <w:r>
        <w:rPr>
          <w:rFonts w:ascii="Arial" w:cs="Arial" w:eastAsia="Arial" w:hAnsi="Arial"/>
          <w:sz w:val="11"/>
          <w:szCs w:val="11"/>
          <w:color w:val="auto"/>
          <w:vertAlign w:val="subscript"/>
        </w:rPr>
        <w:t>Disputes</w:t>
      </w:r>
      <w:r>
        <w:rPr>
          <w:rFonts w:ascii="Arial" w:cs="Arial" w:eastAsia="Arial" w:hAnsi="Arial"/>
          <w:sz w:val="8"/>
          <w:szCs w:val="8"/>
          <w:color w:val="auto"/>
        </w:rPr>
        <w:t>Beforejoining</w:t>
      </w:r>
      <w:r>
        <w:rPr>
          <w:rFonts w:ascii="Arial" w:cs="Arial" w:eastAsia="Arial" w:hAnsi="Arial"/>
          <w:sz w:val="11"/>
          <w:szCs w:val="11"/>
          <w:color w:val="auto"/>
          <w:vertAlign w:val="subscript"/>
        </w:rPr>
        <w:t>and</w:t>
      </w:r>
      <w:r>
        <w:rPr>
          <w:rFonts w:ascii="Arial" w:cs="Arial" w:eastAsia="Arial" w:hAnsi="Arial"/>
          <w:sz w:val="8"/>
          <w:szCs w:val="8"/>
          <w:color w:val="auto"/>
        </w:rPr>
        <w:t xml:space="preserve"> </w:t>
      </w:r>
      <w:r>
        <w:rPr>
          <w:rFonts w:ascii="Arial" w:cs="Arial" w:eastAsia="Arial" w:hAnsi="Arial"/>
          <w:sz w:val="11"/>
          <w:szCs w:val="11"/>
          <w:color w:val="auto"/>
          <w:vertAlign w:val="superscript"/>
        </w:rPr>
        <w:t>Huron</w:t>
      </w:r>
      <w:r>
        <w:rPr>
          <w:rFonts w:ascii="Arial" w:cs="Arial" w:eastAsia="Arial" w:hAnsi="Arial"/>
          <w:sz w:val="8"/>
          <w:szCs w:val="8"/>
          <w:color w:val="auto"/>
        </w:rPr>
        <w:t>Investigations</w:t>
      </w:r>
      <w:r>
        <w:rPr>
          <w:rFonts w:ascii="Arial" w:cs="Arial" w:eastAsia="Arial" w:hAnsi="Arial"/>
          <w:sz w:val="11"/>
          <w:szCs w:val="11"/>
          <w:color w:val="auto"/>
          <w:vertAlign w:val="superscript"/>
        </w:rPr>
        <w:t>through</w:t>
      </w:r>
      <w:r>
        <w:rPr>
          <w:rFonts w:ascii="Arial" w:cs="Arial" w:eastAsia="Arial" w:hAnsi="Arial"/>
          <w:sz w:val="8"/>
          <w:szCs w:val="8"/>
          <w:color w:val="auto"/>
        </w:rPr>
        <w:t>practice</w:t>
      </w:r>
      <w:r>
        <w:rPr>
          <w:rFonts w:ascii="Arial" w:cs="Arial" w:eastAsia="Arial" w:hAnsi="Arial"/>
          <w:sz w:val="11"/>
          <w:szCs w:val="11"/>
          <w:color w:val="auto"/>
          <w:vertAlign w:val="superscript"/>
        </w:rPr>
        <w:t>its2008</w:t>
      </w:r>
      <w:r>
        <w:rPr>
          <w:rFonts w:ascii="Arial" w:cs="Arial" w:eastAsia="Arial" w:hAnsi="Arial"/>
          <w:sz w:val="8"/>
          <w:szCs w:val="8"/>
          <w:color w:val="auto"/>
        </w:rPr>
        <w:t>for</w:t>
      </w:r>
      <w:r>
        <w:rPr>
          <w:rFonts w:ascii="Arial" w:cs="Arial" w:eastAsia="Arial" w:hAnsi="Arial"/>
          <w:sz w:val="11"/>
          <w:szCs w:val="11"/>
          <w:color w:val="auto"/>
          <w:vertAlign w:val="superscript"/>
        </w:rPr>
        <w:t>acquisition</w:t>
      </w:r>
      <w:r>
        <w:rPr>
          <w:rFonts w:ascii="Arial" w:cs="Arial" w:eastAsia="Arial" w:hAnsi="Arial"/>
          <w:sz w:val="8"/>
          <w:szCs w:val="8"/>
          <w:color w:val="auto"/>
        </w:rPr>
        <w:t>threeyears,</w:t>
      </w:r>
      <w:r>
        <w:rPr>
          <w:rFonts w:ascii="Arial" w:cs="Arial" w:eastAsia="Arial" w:hAnsi="Arial"/>
          <w:sz w:val="11"/>
          <w:szCs w:val="11"/>
          <w:color w:val="auto"/>
          <w:vertAlign w:val="superscript"/>
        </w:rPr>
        <w:t>ofStockamp</w:t>
      </w:r>
      <w:r>
        <w:rPr>
          <w:rFonts w:ascii="Arial" w:cs="Arial" w:eastAsia="Arial" w:hAnsi="Arial"/>
          <w:sz w:val="8"/>
          <w:szCs w:val="8"/>
          <w:color w:val="auto"/>
        </w:rPr>
        <w:t>servingclients</w:t>
      </w:r>
      <w:r>
        <w:rPr>
          <w:rFonts w:ascii="Arial" w:cs="Arial" w:eastAsia="Arial" w:hAnsi="Arial"/>
          <w:sz w:val="11"/>
          <w:szCs w:val="11"/>
          <w:color w:val="auto"/>
          <w:vertAlign w:val="superscript"/>
        </w:rPr>
        <w:t>&amp;Associates,</w:t>
      </w:r>
      <w:r>
        <w:rPr>
          <w:rFonts w:ascii="Arial" w:cs="Arial" w:eastAsia="Arial" w:hAnsi="Arial"/>
          <w:sz w:val="8"/>
          <w:szCs w:val="8"/>
          <w:color w:val="auto"/>
        </w:rPr>
        <w:t>inthemanufacturing</w:t>
      </w:r>
      <w:r>
        <w:rPr>
          <w:rFonts w:ascii="Arial" w:cs="Arial" w:eastAsia="Arial" w:hAnsi="Arial"/>
          <w:sz w:val="11"/>
          <w:szCs w:val="11"/>
          <w:color w:val="auto"/>
          <w:vertAlign w:val="superscript"/>
        </w:rPr>
        <w:t>Mr.Dailspent</w:t>
      </w:r>
      <w:r>
        <w:rPr>
          <w:rFonts w:ascii="Arial" w:cs="Arial" w:eastAsia="Arial" w:hAnsi="Arial"/>
          <w:sz w:val="8"/>
          <w:szCs w:val="8"/>
          <w:color w:val="auto"/>
        </w:rPr>
        <w:t>and</w:t>
      </w:r>
      <w:r>
        <w:rPr>
          <w:rFonts w:ascii="Arial" w:cs="Arial" w:eastAsia="Arial" w:hAnsi="Arial"/>
          <w:sz w:val="11"/>
          <w:szCs w:val="11"/>
          <w:color w:val="auto"/>
          <w:vertAlign w:val="superscript"/>
        </w:rPr>
        <w:t>12</w:t>
      </w:r>
      <w:r>
        <w:rPr>
          <w:rFonts w:ascii="Arial" w:cs="Arial" w:eastAsia="Arial" w:hAnsi="Arial"/>
          <w:sz w:val="8"/>
          <w:szCs w:val="8"/>
          <w:color w:val="auto"/>
        </w:rPr>
        <w:t>services</w:t>
      </w:r>
      <w:r>
        <w:rPr>
          <w:rFonts w:ascii="Arial" w:cs="Arial" w:eastAsia="Arial" w:hAnsi="Arial"/>
          <w:sz w:val="11"/>
          <w:szCs w:val="11"/>
          <w:color w:val="auto"/>
          <w:vertAlign w:val="superscript"/>
        </w:rPr>
        <w:t>yearsat</w:t>
      </w:r>
    </w:p>
    <w:p>
      <w:pPr>
        <w:ind w:right="40"/>
        <w:spacing w:after="0" w:line="197" w:lineRule="auto"/>
        <w:rPr>
          <w:sz w:val="20"/>
          <w:szCs w:val="20"/>
          <w:color w:val="auto"/>
        </w:rPr>
      </w:pPr>
      <w:r>
        <w:rPr>
          <w:rFonts w:ascii="Arial" w:cs="Arial" w:eastAsia="Arial" w:hAnsi="Arial"/>
          <w:sz w:val="10"/>
          <w:szCs w:val="10"/>
          <w:color w:val="auto"/>
        </w:rPr>
        <w:t>Accenture (formerly Andersen Consulting LLP), specializing in complex program management, industries. Before he joined the Company in 2006, Mr. Kelly held several positions within Deloitte</w:t>
      </w:r>
    </w:p>
    <w:p>
      <w:pPr>
        <w:ind w:right="100"/>
        <w:spacing w:after="0" w:line="371" w:lineRule="auto"/>
        <w:rPr>
          <w:sz w:val="20"/>
          <w:szCs w:val="20"/>
          <w:color w:val="auto"/>
        </w:rPr>
      </w:pPr>
      <w:r>
        <w:rPr>
          <w:rFonts w:ascii="Arial" w:cs="Arial" w:eastAsia="Arial" w:hAnsi="Arial"/>
          <w:sz w:val="8"/>
          <w:szCs w:val="8"/>
          <w:color w:val="auto"/>
        </w:rPr>
        <w:t>strategic</w:t>
      </w:r>
      <w:r>
        <w:rPr>
          <w:rFonts w:ascii="Arial" w:cs="Arial" w:eastAsia="Arial" w:hAnsi="Arial"/>
          <w:sz w:val="11"/>
          <w:szCs w:val="11"/>
          <w:color w:val="auto"/>
          <w:vertAlign w:val="subscript"/>
        </w:rPr>
        <w:t>&amp;Touche’s</w:t>
      </w:r>
      <w:r>
        <w:rPr>
          <w:rFonts w:ascii="Arial" w:cs="Arial" w:eastAsia="Arial" w:hAnsi="Arial"/>
          <w:sz w:val="8"/>
          <w:szCs w:val="8"/>
          <w:color w:val="auto"/>
        </w:rPr>
        <w:t>planning,</w:t>
      </w:r>
      <w:r>
        <w:rPr>
          <w:rFonts w:ascii="Arial" w:cs="Arial" w:eastAsia="Arial" w:hAnsi="Arial"/>
          <w:sz w:val="11"/>
          <w:szCs w:val="11"/>
          <w:color w:val="auto"/>
          <w:vertAlign w:val="subscript"/>
        </w:rPr>
        <w:t>Assurance</w:t>
      </w:r>
      <w:r>
        <w:rPr>
          <w:rFonts w:ascii="Arial" w:cs="Arial" w:eastAsia="Arial" w:hAnsi="Arial"/>
          <w:sz w:val="8"/>
          <w:szCs w:val="8"/>
          <w:color w:val="auto"/>
        </w:rPr>
        <w:t>systems</w:t>
      </w:r>
      <w:r>
        <w:rPr>
          <w:rFonts w:ascii="Arial" w:cs="Arial" w:eastAsia="Arial" w:hAnsi="Arial"/>
          <w:sz w:val="11"/>
          <w:szCs w:val="11"/>
          <w:color w:val="auto"/>
          <w:vertAlign w:val="subscript"/>
        </w:rPr>
        <w:t>and Advisory</w:t>
      </w:r>
      <w:r>
        <w:rPr>
          <w:rFonts w:ascii="Arial" w:cs="Arial" w:eastAsia="Arial" w:hAnsi="Arial"/>
          <w:sz w:val="8"/>
          <w:szCs w:val="8"/>
          <w:color w:val="auto"/>
        </w:rPr>
        <w:t>integration</w:t>
      </w:r>
      <w:r>
        <w:rPr>
          <w:rFonts w:ascii="Arial" w:cs="Arial" w:eastAsia="Arial" w:hAnsi="Arial"/>
          <w:sz w:val="11"/>
          <w:szCs w:val="11"/>
          <w:color w:val="auto"/>
          <w:vertAlign w:val="subscript"/>
        </w:rPr>
        <w:t>Services</w:t>
      </w:r>
      <w:r>
        <w:rPr>
          <w:rFonts w:ascii="Arial" w:cs="Arial" w:eastAsia="Arial" w:hAnsi="Arial"/>
          <w:sz w:val="8"/>
          <w:szCs w:val="8"/>
          <w:color w:val="auto"/>
        </w:rPr>
        <w:t>andope</w:t>
      </w:r>
      <w:r>
        <w:rPr>
          <w:rFonts w:ascii="Arial" w:cs="Arial" w:eastAsia="Arial" w:hAnsi="Arial"/>
          <w:sz w:val="11"/>
          <w:szCs w:val="11"/>
          <w:color w:val="auto"/>
          <w:vertAlign w:val="subscript"/>
        </w:rPr>
        <w:t>g</w:t>
      </w:r>
      <w:r>
        <w:rPr>
          <w:rFonts w:ascii="Arial" w:cs="Arial" w:eastAsia="Arial" w:hAnsi="Arial"/>
          <w:sz w:val="8"/>
          <w:szCs w:val="8"/>
          <w:color w:val="auto"/>
        </w:rPr>
        <w:t>r</w:t>
      </w:r>
      <w:r>
        <w:rPr>
          <w:rFonts w:ascii="Arial" w:cs="Arial" w:eastAsia="Arial" w:hAnsi="Arial"/>
          <w:sz w:val="11"/>
          <w:szCs w:val="11"/>
          <w:color w:val="auto"/>
          <w:vertAlign w:val="subscript"/>
        </w:rPr>
        <w:t>oup,</w:t>
      </w:r>
      <w:r>
        <w:rPr>
          <w:rFonts w:ascii="Arial" w:cs="Arial" w:eastAsia="Arial" w:hAnsi="Arial"/>
          <w:sz w:val="8"/>
          <w:szCs w:val="8"/>
          <w:color w:val="auto"/>
        </w:rPr>
        <w:t>ational</w:t>
      </w:r>
      <w:r>
        <w:rPr>
          <w:rFonts w:ascii="Arial" w:cs="Arial" w:eastAsia="Arial" w:hAnsi="Arial"/>
          <w:sz w:val="11"/>
          <w:szCs w:val="11"/>
          <w:color w:val="auto"/>
          <w:vertAlign w:val="subscript"/>
        </w:rPr>
        <w:t>most</w:t>
      </w:r>
      <w:r>
        <w:rPr>
          <w:rFonts w:ascii="Arial" w:cs="Arial" w:eastAsia="Arial" w:hAnsi="Arial"/>
          <w:sz w:val="8"/>
          <w:szCs w:val="8"/>
          <w:color w:val="auto"/>
        </w:rPr>
        <w:t>reengineering</w:t>
      </w:r>
      <w:r>
        <w:rPr>
          <w:rFonts w:ascii="Arial" w:cs="Arial" w:eastAsia="Arial" w:hAnsi="Arial"/>
          <w:sz w:val="11"/>
          <w:szCs w:val="11"/>
          <w:color w:val="auto"/>
          <w:vertAlign w:val="subscript"/>
        </w:rPr>
        <w:t>recentlyas</w:t>
      </w:r>
      <w:r>
        <w:rPr>
          <w:rFonts w:ascii="Arial" w:cs="Arial" w:eastAsia="Arial" w:hAnsi="Arial"/>
          <w:sz w:val="8"/>
          <w:szCs w:val="8"/>
          <w:color w:val="auto"/>
        </w:rPr>
        <w:t xml:space="preserve">. </w:t>
      </w:r>
      <w:r>
        <w:rPr>
          <w:rFonts w:ascii="Arial" w:cs="Arial" w:eastAsia="Arial" w:hAnsi="Arial"/>
          <w:sz w:val="11"/>
          <w:szCs w:val="11"/>
          <w:color w:val="auto"/>
          <w:vertAlign w:val="subscript"/>
        </w:rPr>
        <w:t>a</w:t>
      </w:r>
      <w:r>
        <w:rPr>
          <w:rFonts w:ascii="Arial" w:cs="Arial" w:eastAsia="Arial" w:hAnsi="Arial"/>
          <w:sz w:val="8"/>
          <w:szCs w:val="8"/>
          <w:color w:val="auto"/>
        </w:rPr>
        <w:t>Mr</w:t>
      </w:r>
      <w:r>
        <w:rPr>
          <w:rFonts w:ascii="Arial" w:cs="Arial" w:eastAsia="Arial" w:hAnsi="Arial"/>
          <w:sz w:val="11"/>
          <w:szCs w:val="11"/>
          <w:color w:val="auto"/>
          <w:vertAlign w:val="subscript"/>
        </w:rPr>
        <w:t>senior</w:t>
      </w:r>
      <w:r>
        <w:rPr>
          <w:rFonts w:ascii="Arial" w:cs="Arial" w:eastAsia="Arial" w:hAnsi="Arial"/>
          <w:sz w:val="8"/>
          <w:szCs w:val="8"/>
          <w:color w:val="auto"/>
        </w:rPr>
        <w:t>.Dail holds</w:t>
      </w:r>
      <w:r>
        <w:rPr>
          <w:rFonts w:ascii="Arial" w:cs="Arial" w:eastAsia="Arial" w:hAnsi="Arial"/>
          <w:sz w:val="11"/>
          <w:szCs w:val="11"/>
          <w:color w:val="auto"/>
          <w:vertAlign w:val="subscript"/>
        </w:rPr>
        <w:t>manager</w:t>
      </w:r>
      <w:r>
        <w:rPr>
          <w:rFonts w:ascii="Arial" w:cs="Arial" w:eastAsia="Arial" w:hAnsi="Arial"/>
          <w:sz w:val="8"/>
          <w:szCs w:val="8"/>
          <w:color w:val="auto"/>
        </w:rPr>
        <w:t>aBachelor</w:t>
      </w:r>
      <w:r>
        <w:rPr>
          <w:rFonts w:ascii="Arial" w:cs="Arial" w:eastAsia="Arial" w:hAnsi="Arial"/>
          <w:sz w:val="11"/>
          <w:szCs w:val="11"/>
          <w:color w:val="auto"/>
          <w:vertAlign w:val="subscript"/>
        </w:rPr>
        <w:t>.He</w:t>
      </w:r>
      <w:r>
        <w:rPr>
          <w:rFonts w:ascii="Arial" w:cs="Arial" w:eastAsia="Arial" w:hAnsi="Arial"/>
          <w:sz w:val="8"/>
          <w:szCs w:val="8"/>
          <w:color w:val="auto"/>
        </w:rPr>
        <w:t xml:space="preserve"> </w:t>
      </w:r>
      <w:r>
        <w:rPr>
          <w:rFonts w:ascii="Arial" w:cs="Arial" w:eastAsia="Arial" w:hAnsi="Arial"/>
          <w:sz w:val="11"/>
          <w:szCs w:val="11"/>
          <w:color w:val="auto"/>
          <w:vertAlign w:val="superscript"/>
        </w:rPr>
        <w:t>of</w:t>
      </w:r>
      <w:r>
        <w:rPr>
          <w:rFonts w:ascii="Arial" w:cs="Arial" w:eastAsia="Arial" w:hAnsi="Arial"/>
          <w:sz w:val="8"/>
          <w:szCs w:val="8"/>
          <w:color w:val="auto"/>
        </w:rPr>
        <w:t>received</w:t>
      </w:r>
      <w:r>
        <w:rPr>
          <w:rFonts w:ascii="Arial" w:cs="Arial" w:eastAsia="Arial" w:hAnsi="Arial"/>
          <w:sz w:val="11"/>
          <w:szCs w:val="11"/>
          <w:color w:val="auto"/>
          <w:vertAlign w:val="superscript"/>
        </w:rPr>
        <w:t>Artsin</w:t>
      </w:r>
      <w:r>
        <w:rPr>
          <w:rFonts w:ascii="Arial" w:cs="Arial" w:eastAsia="Arial" w:hAnsi="Arial"/>
          <w:sz w:val="8"/>
          <w:szCs w:val="8"/>
          <w:color w:val="auto"/>
        </w:rPr>
        <w:t xml:space="preserve"> both</w:t>
      </w:r>
      <w:r>
        <w:rPr>
          <w:rFonts w:ascii="Arial" w:cs="Arial" w:eastAsia="Arial" w:hAnsi="Arial"/>
          <w:sz w:val="11"/>
          <w:szCs w:val="11"/>
          <w:color w:val="auto"/>
          <w:vertAlign w:val="superscript"/>
        </w:rPr>
        <w:t>Economics</w:t>
      </w:r>
      <w:r>
        <w:rPr>
          <w:rFonts w:ascii="Arial" w:cs="Arial" w:eastAsia="Arial" w:hAnsi="Arial"/>
          <w:sz w:val="8"/>
          <w:szCs w:val="8"/>
          <w:color w:val="auto"/>
        </w:rPr>
        <w:t>aB.S. and</w:t>
      </w:r>
      <w:r>
        <w:rPr>
          <w:rFonts w:ascii="Arial" w:cs="Arial" w:eastAsia="Arial" w:hAnsi="Arial"/>
          <w:sz w:val="11"/>
          <w:szCs w:val="11"/>
          <w:color w:val="auto"/>
          <w:vertAlign w:val="superscript"/>
        </w:rPr>
        <w:t>from</w:t>
      </w:r>
      <w:r>
        <w:rPr>
          <w:rFonts w:ascii="Arial" w:cs="Arial" w:eastAsia="Arial" w:hAnsi="Arial"/>
          <w:sz w:val="8"/>
          <w:szCs w:val="8"/>
          <w:color w:val="auto"/>
        </w:rPr>
        <w:t>M</w:t>
      </w:r>
      <w:r>
        <w:rPr>
          <w:rFonts w:ascii="Arial" w:cs="Arial" w:eastAsia="Arial" w:hAnsi="Arial"/>
          <w:sz w:val="11"/>
          <w:szCs w:val="11"/>
          <w:color w:val="auto"/>
          <w:vertAlign w:val="superscript"/>
        </w:rPr>
        <w:t>the</w:t>
      </w:r>
      <w:r>
        <w:rPr>
          <w:rFonts w:ascii="Arial" w:cs="Arial" w:eastAsia="Arial" w:hAnsi="Arial"/>
          <w:sz w:val="8"/>
          <w:szCs w:val="8"/>
          <w:color w:val="auto"/>
        </w:rPr>
        <w:t xml:space="preserve">.S. </w:t>
      </w:r>
      <w:r>
        <w:rPr>
          <w:rFonts w:ascii="Arial" w:cs="Arial" w:eastAsia="Arial" w:hAnsi="Arial"/>
          <w:sz w:val="11"/>
          <w:szCs w:val="11"/>
          <w:color w:val="auto"/>
          <w:vertAlign w:val="superscript"/>
        </w:rPr>
        <w:t>University</w:t>
      </w:r>
      <w:r>
        <w:rPr>
          <w:rFonts w:ascii="Arial" w:cs="Arial" w:eastAsia="Arial" w:hAnsi="Arial"/>
          <w:sz w:val="8"/>
          <w:szCs w:val="8"/>
          <w:color w:val="auto"/>
        </w:rPr>
        <w:t>inAccounting</w:t>
      </w:r>
      <w:r>
        <w:rPr>
          <w:rFonts w:ascii="Arial" w:cs="Arial" w:eastAsia="Arial" w:hAnsi="Arial"/>
          <w:sz w:val="11"/>
          <w:szCs w:val="11"/>
          <w:color w:val="auto"/>
          <w:vertAlign w:val="superscript"/>
        </w:rPr>
        <w:t>ofNorth</w:t>
      </w:r>
      <w:r>
        <w:rPr>
          <w:rFonts w:ascii="Arial" w:cs="Arial" w:eastAsia="Arial" w:hAnsi="Arial"/>
          <w:sz w:val="8"/>
          <w:szCs w:val="8"/>
          <w:color w:val="auto"/>
        </w:rPr>
        <w:t>from</w:t>
      </w:r>
      <w:r>
        <w:rPr>
          <w:rFonts w:ascii="Arial" w:cs="Arial" w:eastAsia="Arial" w:hAnsi="Arial"/>
          <w:sz w:val="11"/>
          <w:szCs w:val="11"/>
          <w:color w:val="auto"/>
          <w:vertAlign w:val="superscript"/>
        </w:rPr>
        <w:t>Caroli</w:t>
      </w:r>
      <w:r>
        <w:rPr>
          <w:rFonts w:ascii="Arial" w:cs="Arial" w:eastAsia="Arial" w:hAnsi="Arial"/>
          <w:sz w:val="8"/>
          <w:szCs w:val="8"/>
          <w:color w:val="auto"/>
        </w:rPr>
        <w:t>theUn</w:t>
      </w:r>
      <w:r>
        <w:rPr>
          <w:rFonts w:ascii="Arial" w:cs="Arial" w:eastAsia="Arial" w:hAnsi="Arial"/>
          <w:sz w:val="11"/>
          <w:szCs w:val="11"/>
          <w:color w:val="auto"/>
          <w:vertAlign w:val="superscript"/>
        </w:rPr>
        <w:t>a</w:t>
      </w:r>
      <w:r>
        <w:rPr>
          <w:rFonts w:ascii="Arial" w:cs="Arial" w:eastAsia="Arial" w:hAnsi="Arial"/>
          <w:sz w:val="8"/>
          <w:szCs w:val="8"/>
          <w:color w:val="auto"/>
        </w:rPr>
        <w:t>iversity</w:t>
      </w:r>
      <w:r>
        <w:rPr>
          <w:rFonts w:ascii="Arial" w:cs="Arial" w:eastAsia="Arial" w:hAnsi="Arial"/>
          <w:sz w:val="11"/>
          <w:szCs w:val="11"/>
          <w:color w:val="auto"/>
          <w:vertAlign w:val="superscript"/>
        </w:rPr>
        <w:t>atChapel</w:t>
      </w:r>
      <w:r>
        <w:rPr>
          <w:rFonts w:ascii="Arial" w:cs="Arial" w:eastAsia="Arial" w:hAnsi="Arial"/>
          <w:sz w:val="8"/>
          <w:szCs w:val="8"/>
          <w:color w:val="auto"/>
        </w:rPr>
        <w:t>ofNotre</w:t>
      </w:r>
      <w:r>
        <w:rPr>
          <w:rFonts w:ascii="Arial" w:cs="Arial" w:eastAsia="Arial" w:hAnsi="Arial"/>
          <w:sz w:val="11"/>
          <w:szCs w:val="11"/>
          <w:color w:val="auto"/>
          <w:vertAlign w:val="superscript"/>
        </w:rPr>
        <w:t>Hill.</w:t>
      </w:r>
      <w:r>
        <w:rPr>
          <w:rFonts w:ascii="Arial" w:cs="Arial" w:eastAsia="Arial" w:hAnsi="Arial"/>
          <w:sz w:val="8"/>
          <w:szCs w:val="8"/>
          <w:color w:val="auto"/>
        </w:rPr>
        <w:t xml:space="preserve"> Dame. Mr. Kelly is a</w:t>
      </w:r>
    </w:p>
    <w:p>
      <w:pPr>
        <w:ind w:right="200"/>
        <w:spacing w:after="0" w:line="284" w:lineRule="auto"/>
        <w:rPr>
          <w:sz w:val="20"/>
          <w:szCs w:val="20"/>
          <w:color w:val="auto"/>
        </w:rPr>
      </w:pPr>
      <w:r>
        <w:rPr>
          <w:rFonts w:ascii="Arial" w:cs="Arial" w:eastAsia="Arial" w:hAnsi="Arial"/>
          <w:sz w:val="14"/>
          <w:szCs w:val="14"/>
          <w:color w:val="auto"/>
        </w:rPr>
        <w:t>Certified Public Accountant in Illinois (inactive). Commencing in 2020, Mr. Kelly was appointed as a member of the board of directors of Shorelight Holdings LLC.</w:t>
      </w:r>
    </w:p>
    <w:p>
      <w:pPr>
        <w:spacing w:after="0" w:line="200" w:lineRule="exact"/>
        <w:rPr>
          <w:sz w:val="20"/>
          <w:szCs w:val="20"/>
          <w:color w:val="auto"/>
        </w:rPr>
      </w:pPr>
    </w:p>
    <w:p>
      <w:pPr>
        <w:spacing w:after="0" w:line="282"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Hope Katz has served as General Counsel and Executive Vice President of Huron since January 1, 2025. She previously served as Huron’s Corporate Vice President, Legal Affairs beginning in March 2024 and has served as Corporate Secretary since March 2024. Previously, Ms. Katz served as Huron’s Deputy General Counsel from January 2020 until March 2024, and as Associate General Counsel from April 2018 until January 2020. Before she joined Huron, Ms. Katz was senior employment counsel at Accenture from 2014 to 2018 and served as associate general counsel and vice president at Hitachi Consulting Corporation from 2007 until 2013. Previously, she was an associate in the litigation and corporate restructuring groups at Skadden, Arps, Slate, Meagher &amp; Flom LLP. She received her B.A in Political Science from the University of Michigan and her J.D. from Cornell Law School. Hope is a Sustaining Member of the Children’s Research Fund, Ann and Robert H. Lurie Children’s Hospital of Chicago.</w:t>
      </w:r>
    </w:p>
    <w:p>
      <w:pPr>
        <w:spacing w:after="0" w:line="890" w:lineRule="exact"/>
        <w:rPr>
          <w:sz w:val="20"/>
          <w:szCs w:val="20"/>
          <w:color w:val="auto"/>
        </w:rPr>
      </w:pPr>
    </w:p>
    <w:p>
      <w:pPr>
        <w:sectPr>
          <w:pgSz w:w="11900" w:h="16838" w:orient="portrait"/>
          <w:cols w:equalWidth="0" w:num="2">
            <w:col w:w="2480" w:space="400"/>
            <w:col w:w="6180"/>
          </w:cols>
          <w:pgMar w:left="1400" w:top="184" w:right="14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25</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5631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563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Stock Ownership of Certain Beneficial Owners and Management</w:t>
      </w:r>
    </w:p>
    <w:p>
      <w:pPr>
        <w:spacing w:after="0" w:line="139"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34"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6"/>
          <w:szCs w:val="16"/>
          <w:b w:val="1"/>
          <w:bCs w:val="1"/>
          <w:color w:val="6AAA37"/>
        </w:rPr>
      </w:pPr>
      <w:r>
        <w:rPr>
          <w:rFonts w:ascii="Arial" w:cs="Arial" w:eastAsia="Arial" w:hAnsi="Arial"/>
          <w:sz w:val="16"/>
          <w:szCs w:val="16"/>
          <w:color w:val="auto"/>
        </w:rPr>
        <w:t>each person known by us to beneficially own more than 5% of our common stock;</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43"/>
        </w:numPr>
        <w:rPr>
          <w:rFonts w:ascii="Arial" w:cs="Arial" w:eastAsia="Arial" w:hAnsi="Arial"/>
          <w:sz w:val="16"/>
          <w:szCs w:val="16"/>
          <w:b w:val="1"/>
          <w:bCs w:val="1"/>
          <w:color w:val="6AAA37"/>
        </w:rPr>
      </w:pPr>
      <w:r>
        <w:rPr>
          <w:rFonts w:ascii="Arial" w:cs="Arial" w:eastAsia="Arial" w:hAnsi="Arial"/>
          <w:sz w:val="16"/>
          <w:szCs w:val="16"/>
          <w:color w:val="auto"/>
        </w:rPr>
        <w:t>each of our named executive officers;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43"/>
        </w:numPr>
        <w:rPr>
          <w:rFonts w:ascii="Arial" w:cs="Arial" w:eastAsia="Arial" w:hAnsi="Arial"/>
          <w:sz w:val="16"/>
          <w:szCs w:val="16"/>
          <w:b w:val="1"/>
          <w:bCs w:val="1"/>
          <w:color w:val="6AAA37"/>
        </w:rPr>
      </w:pPr>
      <w:r>
        <w:rPr>
          <w:rFonts w:ascii="Arial" w:cs="Arial" w:eastAsia="Arial" w:hAnsi="Arial"/>
          <w:sz w:val="16"/>
          <w:szCs w:val="16"/>
          <w:color w:val="auto"/>
        </w:rPr>
        <w:t>each member of the board;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43"/>
        </w:numPr>
        <w:rPr>
          <w:rFonts w:ascii="Arial" w:cs="Arial" w:eastAsia="Arial" w:hAnsi="Arial"/>
          <w:sz w:val="16"/>
          <w:szCs w:val="16"/>
          <w:b w:val="1"/>
          <w:bCs w:val="1"/>
          <w:color w:val="6AAA37"/>
        </w:rPr>
      </w:pPr>
      <w:r>
        <w:rPr>
          <w:rFonts w:ascii="Arial" w:cs="Arial" w:eastAsia="Arial" w:hAnsi="Arial"/>
          <w:sz w:val="16"/>
          <w:szCs w:val="16"/>
          <w:color w:val="auto"/>
        </w:rPr>
        <w:t>all directors and executive officers as a group.</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or she possesses sole or shared voting or investment power of that security and includes options that are currently exercisable or exercisable within 60 days as of the record date. The information provided in the table is based on our records, information filed with the SEC, and information provided to us, except where otherwise noted. Except as otherwise indicated, we believe based on the information furnished to us, that the beneficial owners of common stock listed below have sole investment and voting power with respect to their shares, except where community property laws may apply.</w:t>
      </w:r>
    </w:p>
    <w:p>
      <w:pPr>
        <w:sectPr>
          <w:pgSz w:w="11900" w:h="16838" w:orient="portrait"/>
          <w:cols w:equalWidth="0" w:num="1">
            <w:col w:w="9060"/>
          </w:cols>
          <w:pgMar w:left="1400" w:top="184" w:right="143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225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322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26</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72085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7208520"/>
                    </a:xfrm>
                    <a:prstGeom prst="rect">
                      <a:avLst/>
                    </a:prstGeom>
                    <a:noFill/>
                  </pic:spPr>
                </pic:pic>
              </a:graphicData>
            </a:graphic>
          </wp:anchor>
        </w:drawing>
      </w:r>
    </w:p>
    <w:p>
      <w:pPr>
        <w:sectPr>
          <w:pgSz w:w="11900" w:h="16980" w:orient="portrait"/>
          <w:cols w:equalWidth="0" w:num="1">
            <w:col w:w="9080"/>
          </w:cols>
          <w:pgMar w:left="1400" w:top="14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6AAA37"/>
        </w:rPr>
        <w:t xml:space="preserve">Corporate </w:t>
      </w:r>
      <w:r>
        <w:rPr>
          <w:rFonts w:ascii="Arial" w:cs="Arial" w:eastAsia="Arial" w:hAnsi="Arial"/>
          <w:sz w:val="13"/>
          <w:szCs w:val="13"/>
          <w:b w:val="1"/>
          <w:bCs w:val="1"/>
          <w:color w:val="B2B3B6"/>
        </w:rPr>
        <w:t>Proposal Executive</w:t>
      </w:r>
      <w:r>
        <w:rPr>
          <w:rFonts w:ascii="Arial" w:cs="Arial" w:eastAsia="Arial" w:hAnsi="Arial"/>
          <w:sz w:val="13"/>
          <w:szCs w:val="13"/>
          <w:b w:val="1"/>
          <w:bCs w:val="1"/>
          <w:color w:val="6AAA37"/>
        </w:rPr>
        <w:t xml:space="preserve"> Governance </w:t>
      </w:r>
      <w:r>
        <w:rPr>
          <w:rFonts w:ascii="Arial" w:cs="Arial" w:eastAsia="Arial" w:hAnsi="Arial"/>
          <w:sz w:val="13"/>
          <w:szCs w:val="13"/>
          <w:b w:val="1"/>
          <w:bCs w:val="1"/>
          <w:color w:val="B2B3B6"/>
        </w:rPr>
        <w:t>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00" w:lineRule="exact"/>
        <w:rPr>
          <w:sz w:val="20"/>
          <w:szCs w:val="20"/>
          <w:color w:val="auto"/>
        </w:rPr>
      </w:pPr>
    </w:p>
    <w:p>
      <w:pPr>
        <w:sectPr>
          <w:pgSz w:w="11900" w:h="16980" w:orient="portrait"/>
          <w:cols w:equalWidth="0" w:num="3">
            <w:col w:w="1600" w:space="300"/>
            <w:col w:w="2700" w:space="320"/>
            <w:col w:w="4160"/>
          </w:cols>
          <w:pgMar w:left="1400" w:top="1440" w:right="1419" w:bottom="0" w:gutter="0" w:footer="0" w:header="0"/>
          <w:type w:val="continuous"/>
        </w:sectPr>
      </w:pPr>
    </w:p>
    <w:p>
      <w:pPr>
        <w:spacing w:after="0" w:line="277"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FFFFFF"/>
        </w:rPr>
        <w:t>Beneficial Ownership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2100" w:type="dxa"/>
            <w:vAlign w:val="bottom"/>
            <w:vMerge w:val="restart"/>
          </w:tcPr>
          <w:p>
            <w:pPr>
              <w:ind w:left="140"/>
              <w:spacing w:after="0"/>
              <w:rPr>
                <w:sz w:val="20"/>
                <w:szCs w:val="20"/>
                <w:color w:val="auto"/>
              </w:rPr>
            </w:pPr>
            <w:r>
              <w:rPr>
                <w:rFonts w:ascii="Arial" w:cs="Arial" w:eastAsia="Arial" w:hAnsi="Arial"/>
                <w:sz w:val="14"/>
                <w:szCs w:val="14"/>
                <w:b w:val="1"/>
                <w:bCs w:val="1"/>
                <w:color w:val="FFFFFF"/>
              </w:rPr>
              <w:t>Name of beneficial owner</w:t>
            </w:r>
          </w:p>
        </w:tc>
        <w:tc>
          <w:tcPr>
            <w:tcW w:w="4380" w:type="dxa"/>
            <w:vAlign w:val="bottom"/>
          </w:tcPr>
          <w:p>
            <w:pPr>
              <w:jc w:val="right"/>
              <w:ind w:right="4193"/>
              <w:spacing w:after="0"/>
              <w:rPr>
                <w:sz w:val="20"/>
                <w:szCs w:val="20"/>
                <w:color w:val="auto"/>
              </w:rPr>
            </w:pPr>
            <w:r>
              <w:rPr>
                <w:rFonts w:ascii="Arial" w:cs="Arial" w:eastAsia="Arial" w:hAnsi="Arial"/>
                <w:sz w:val="9"/>
                <w:szCs w:val="9"/>
                <w:b w:val="1"/>
                <w:bCs w:val="1"/>
                <w:color w:val="FFFFFF"/>
              </w:rPr>
              <w:t>(1)</w:t>
            </w:r>
          </w:p>
        </w:tc>
        <w:tc>
          <w:tcPr>
            <w:tcW w:w="1360" w:type="dxa"/>
            <w:vAlign w:val="bottom"/>
            <w:vMerge w:val="restart"/>
            <w:shd w:val="clear" w:color="auto" w:fill="00558C"/>
          </w:tcPr>
          <w:p>
            <w:pPr>
              <w:ind w:left="420"/>
              <w:spacing w:after="0"/>
              <w:rPr>
                <w:sz w:val="20"/>
                <w:szCs w:val="20"/>
                <w:color w:val="auto"/>
              </w:rPr>
            </w:pPr>
            <w:r>
              <w:rPr>
                <w:rFonts w:ascii="Arial" w:cs="Arial" w:eastAsia="Arial" w:hAnsi="Arial"/>
                <w:sz w:val="14"/>
                <w:szCs w:val="14"/>
                <w:b w:val="1"/>
                <w:bCs w:val="1"/>
                <w:color w:val="FFFFFF"/>
              </w:rPr>
              <w:t>Shares</w:t>
            </w:r>
          </w:p>
        </w:tc>
        <w:tc>
          <w:tcPr>
            <w:tcW w:w="118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380" w:type="dxa"/>
            <w:vAlign w:val="bottom"/>
          </w:tcPr>
          <w:p>
            <w:pPr>
              <w:spacing w:after="0"/>
              <w:rPr>
                <w:sz w:val="8"/>
                <w:szCs w:val="8"/>
                <w:color w:val="auto"/>
              </w:rPr>
            </w:pPr>
          </w:p>
        </w:tc>
        <w:tc>
          <w:tcPr>
            <w:tcW w:w="1360" w:type="dxa"/>
            <w:vAlign w:val="bottom"/>
            <w:vMerge w:val="continue"/>
            <w:shd w:val="clear" w:color="auto" w:fill="00558C"/>
          </w:tcPr>
          <w:p>
            <w:pPr>
              <w:spacing w:after="0"/>
              <w:rPr>
                <w:sz w:val="8"/>
                <w:szCs w:val="8"/>
                <w:color w:val="auto"/>
              </w:rPr>
            </w:pPr>
          </w:p>
        </w:tc>
        <w:tc>
          <w:tcPr>
            <w:tcW w:w="1180" w:type="dxa"/>
            <w:vAlign w:val="bottom"/>
            <w:vMerge w:val="continue"/>
            <w:shd w:val="clear" w:color="auto" w:fill="00558C"/>
          </w:tcPr>
          <w:p>
            <w:pPr>
              <w:spacing w:after="0"/>
              <w:rPr>
                <w:sz w:val="8"/>
                <w:szCs w:val="8"/>
                <w:color w:val="auto"/>
              </w:rPr>
            </w:pPr>
          </w:p>
        </w:tc>
        <w:tc>
          <w:tcPr>
            <w:tcW w:w="6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480" w:type="dxa"/>
            <w:vAlign w:val="bottom"/>
            <w:gridSpan w:val="2"/>
          </w:tcPr>
          <w:p>
            <w:pPr>
              <w:spacing w:after="0"/>
              <w:rPr>
                <w:sz w:val="10"/>
                <w:szCs w:val="10"/>
                <w:color w:val="auto"/>
              </w:rPr>
            </w:pPr>
          </w:p>
        </w:tc>
        <w:tc>
          <w:tcPr>
            <w:tcW w:w="1360" w:type="dxa"/>
            <w:vAlign w:val="bottom"/>
            <w:shd w:val="clear" w:color="auto" w:fill="00558C"/>
          </w:tcPr>
          <w:p>
            <w:pPr>
              <w:spacing w:after="0"/>
              <w:rPr>
                <w:sz w:val="10"/>
                <w:szCs w:val="10"/>
                <w:color w:val="auto"/>
              </w:rPr>
            </w:pPr>
          </w:p>
        </w:tc>
        <w:tc>
          <w:tcPr>
            <w:tcW w:w="1180" w:type="dxa"/>
            <w:vAlign w:val="bottom"/>
            <w:shd w:val="clear" w:color="auto" w:fill="00558C"/>
          </w:tcPr>
          <w:p>
            <w:pPr>
              <w:spacing w:after="0"/>
              <w:rPr>
                <w:sz w:val="10"/>
                <w:szCs w:val="10"/>
                <w:color w:val="auto"/>
              </w:rPr>
            </w:pPr>
          </w:p>
        </w:tc>
        <w:tc>
          <w:tcPr>
            <w:tcW w:w="60" w:type="dxa"/>
            <w:vAlign w:val="bottom"/>
            <w:shd w:val="clear" w:color="auto" w:fill="00558C"/>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6480" w:type="dxa"/>
            <w:vAlign w:val="bottom"/>
            <w:gridSpan w:val="2"/>
            <w:shd w:val="clear" w:color="auto" w:fill="6AAA37"/>
          </w:tcPr>
          <w:p>
            <w:pPr>
              <w:ind w:left="140"/>
              <w:spacing w:after="0"/>
              <w:rPr>
                <w:sz w:val="20"/>
                <w:szCs w:val="20"/>
                <w:color w:val="auto"/>
              </w:rPr>
            </w:pPr>
            <w:r>
              <w:rPr>
                <w:rFonts w:ascii="Arial" w:cs="Arial" w:eastAsia="Arial" w:hAnsi="Arial"/>
                <w:sz w:val="14"/>
                <w:szCs w:val="14"/>
                <w:b w:val="1"/>
                <w:bCs w:val="1"/>
                <w:color w:val="FFFFFF"/>
              </w:rPr>
              <w:t>Beneficial owners of more than 5%:</w:t>
            </w:r>
          </w:p>
        </w:tc>
        <w:tc>
          <w:tcPr>
            <w:tcW w:w="1360" w:type="dxa"/>
            <w:vAlign w:val="bottom"/>
            <w:shd w:val="clear" w:color="auto" w:fill="6AAA37"/>
          </w:tcPr>
          <w:p>
            <w:pPr>
              <w:spacing w:after="0"/>
              <w:rPr>
                <w:sz w:val="24"/>
                <w:szCs w:val="24"/>
                <w:color w:val="auto"/>
              </w:rPr>
            </w:pPr>
          </w:p>
        </w:tc>
        <w:tc>
          <w:tcPr>
            <w:tcW w:w="1180" w:type="dxa"/>
            <w:vAlign w:val="bottom"/>
            <w:shd w:val="clear" w:color="auto" w:fill="6AAA37"/>
          </w:tcPr>
          <w:p>
            <w:pPr>
              <w:spacing w:after="0"/>
              <w:rPr>
                <w:sz w:val="24"/>
                <w:szCs w:val="24"/>
                <w:color w:val="auto"/>
              </w:rPr>
            </w:pPr>
          </w:p>
        </w:tc>
        <w:tc>
          <w:tcPr>
            <w:tcW w:w="6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100" w:type="dxa"/>
            <w:vAlign w:val="bottom"/>
            <w:shd w:val="clear" w:color="auto" w:fill="6AAA37"/>
          </w:tcPr>
          <w:p>
            <w:pPr>
              <w:spacing w:after="0"/>
              <w:rPr>
                <w:sz w:val="10"/>
                <w:szCs w:val="10"/>
                <w:color w:val="auto"/>
              </w:rPr>
            </w:pPr>
          </w:p>
        </w:tc>
        <w:tc>
          <w:tcPr>
            <w:tcW w:w="4380" w:type="dxa"/>
            <w:vAlign w:val="bottom"/>
            <w:shd w:val="clear" w:color="auto" w:fill="6AAA37"/>
          </w:tcPr>
          <w:p>
            <w:pPr>
              <w:spacing w:after="0"/>
              <w:rPr>
                <w:sz w:val="10"/>
                <w:szCs w:val="10"/>
                <w:color w:val="auto"/>
              </w:rPr>
            </w:pPr>
          </w:p>
        </w:tc>
        <w:tc>
          <w:tcPr>
            <w:tcW w:w="1360" w:type="dxa"/>
            <w:vAlign w:val="bottom"/>
            <w:shd w:val="clear" w:color="auto" w:fill="6AAA37"/>
          </w:tcPr>
          <w:p>
            <w:pPr>
              <w:spacing w:after="0"/>
              <w:rPr>
                <w:sz w:val="10"/>
                <w:szCs w:val="10"/>
                <w:color w:val="auto"/>
              </w:rPr>
            </w:pPr>
          </w:p>
        </w:tc>
        <w:tc>
          <w:tcPr>
            <w:tcW w:w="1180" w:type="dxa"/>
            <w:vAlign w:val="bottom"/>
            <w:shd w:val="clear" w:color="auto" w:fill="6AAA37"/>
          </w:tcPr>
          <w:p>
            <w:pPr>
              <w:spacing w:after="0"/>
              <w:rPr>
                <w:sz w:val="10"/>
                <w:szCs w:val="10"/>
                <w:color w:val="auto"/>
              </w:rPr>
            </w:pPr>
          </w:p>
        </w:tc>
        <w:tc>
          <w:tcPr>
            <w:tcW w:w="60" w:type="dxa"/>
            <w:vAlign w:val="bottom"/>
            <w:shd w:val="clear" w:color="auto" w:fill="6AAA37"/>
          </w:tcPr>
          <w:p>
            <w:pPr>
              <w:spacing w:after="0"/>
              <w:rPr>
                <w:sz w:val="10"/>
                <w:szCs w:val="10"/>
                <w:color w:val="auto"/>
              </w:rPr>
            </w:pPr>
          </w:p>
        </w:tc>
        <w:tc>
          <w:tcPr>
            <w:tcW w:w="0" w:type="dxa"/>
            <w:vAlign w:val="bottom"/>
          </w:tcPr>
          <w:p>
            <w:pPr>
              <w:spacing w:after="0"/>
              <w:rPr>
                <w:sz w:val="1"/>
                <w:szCs w:val="1"/>
                <w:color w:val="auto"/>
              </w:rPr>
            </w:pPr>
          </w:p>
        </w:tc>
      </w:tr>
      <w:tr>
        <w:trPr>
          <w:trHeight w:val="377"/>
        </w:trPr>
        <w:tc>
          <w:tcPr>
            <w:tcW w:w="21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 xml:space="preserve">The Vanguard Group, Inc. </w:t>
            </w:r>
            <w:r>
              <w:rPr>
                <w:rFonts w:ascii="Arial" w:cs="Arial" w:eastAsia="Arial" w:hAnsi="Arial"/>
                <w:sz w:val="18"/>
                <w:szCs w:val="18"/>
                <w:b w:val="1"/>
                <w:bCs w:val="1"/>
                <w:color w:val="auto"/>
                <w:vertAlign w:val="superscript"/>
              </w:rPr>
              <w:t>(2)</w:t>
            </w:r>
          </w:p>
        </w:tc>
        <w:tc>
          <w:tcPr>
            <w:tcW w:w="438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1,679,238</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9.73</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F2F3F2"/>
          </w:tcPr>
          <w:p>
            <w:pPr>
              <w:spacing w:after="0"/>
              <w:rPr>
                <w:sz w:val="5"/>
                <w:szCs w:val="5"/>
                <w:color w:val="auto"/>
              </w:rPr>
            </w:pPr>
          </w:p>
        </w:tc>
        <w:tc>
          <w:tcPr>
            <w:tcW w:w="438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tcPr>
          <w:p>
            <w:pPr>
              <w:ind w:left="140"/>
              <w:spacing w:after="0"/>
              <w:rPr>
                <w:sz w:val="20"/>
                <w:szCs w:val="20"/>
                <w:color w:val="auto"/>
              </w:rPr>
            </w:pPr>
            <w:r>
              <w:rPr>
                <w:rFonts w:ascii="Arial" w:cs="Arial" w:eastAsia="Arial" w:hAnsi="Arial"/>
                <w:sz w:val="14"/>
                <w:szCs w:val="14"/>
                <w:b w:val="1"/>
                <w:bCs w:val="1"/>
                <w:color w:val="auto"/>
              </w:rPr>
              <w:t>BlackRock, Inc.</w:t>
            </w:r>
            <w:r>
              <w:rPr>
                <w:rFonts w:ascii="Arial" w:cs="Arial" w:eastAsia="Arial" w:hAnsi="Arial"/>
                <w:sz w:val="18"/>
                <w:szCs w:val="18"/>
                <w:b w:val="1"/>
                <w:bCs w:val="1"/>
                <w:color w:val="auto"/>
                <w:vertAlign w:val="superscript"/>
              </w:rPr>
              <w:t>(3)</w:t>
            </w:r>
          </w:p>
        </w:tc>
        <w:tc>
          <w:tcPr>
            <w:tcW w:w="43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3,252,664</w:t>
            </w:r>
          </w:p>
        </w:tc>
        <w:tc>
          <w:tcPr>
            <w:tcW w:w="1180" w:type="dxa"/>
            <w:vAlign w:val="bottom"/>
          </w:tcPr>
          <w:p>
            <w:pPr>
              <w:jc w:val="center"/>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48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6480" w:type="dxa"/>
            <w:vAlign w:val="bottom"/>
            <w:gridSpan w:val="2"/>
            <w:shd w:val="clear" w:color="auto" w:fill="6AAA37"/>
          </w:tcPr>
          <w:p>
            <w:pPr>
              <w:ind w:left="140"/>
              <w:spacing w:after="0"/>
              <w:rPr>
                <w:sz w:val="20"/>
                <w:szCs w:val="20"/>
                <w:color w:val="auto"/>
              </w:rPr>
            </w:pPr>
            <w:r>
              <w:rPr>
                <w:rFonts w:ascii="Arial" w:cs="Arial" w:eastAsia="Arial" w:hAnsi="Arial"/>
                <w:sz w:val="14"/>
                <w:szCs w:val="14"/>
                <w:b w:val="1"/>
                <w:bCs w:val="1"/>
                <w:color w:val="FFFFFF"/>
              </w:rPr>
              <w:t>Directors and Executive Officers:</w:t>
            </w:r>
          </w:p>
        </w:tc>
        <w:tc>
          <w:tcPr>
            <w:tcW w:w="1360" w:type="dxa"/>
            <w:vAlign w:val="bottom"/>
            <w:shd w:val="clear" w:color="auto" w:fill="6AAA37"/>
          </w:tcPr>
          <w:p>
            <w:pPr>
              <w:spacing w:after="0"/>
              <w:rPr>
                <w:sz w:val="24"/>
                <w:szCs w:val="24"/>
                <w:color w:val="auto"/>
              </w:rPr>
            </w:pPr>
          </w:p>
        </w:tc>
        <w:tc>
          <w:tcPr>
            <w:tcW w:w="1180" w:type="dxa"/>
            <w:vAlign w:val="bottom"/>
            <w:shd w:val="clear" w:color="auto" w:fill="6AAA37"/>
          </w:tcPr>
          <w:p>
            <w:pPr>
              <w:spacing w:after="0"/>
              <w:rPr>
                <w:sz w:val="24"/>
                <w:szCs w:val="24"/>
                <w:color w:val="auto"/>
              </w:rPr>
            </w:pPr>
          </w:p>
        </w:tc>
        <w:tc>
          <w:tcPr>
            <w:tcW w:w="6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100" w:type="dxa"/>
            <w:vAlign w:val="bottom"/>
            <w:shd w:val="clear" w:color="auto" w:fill="6AAA37"/>
          </w:tcPr>
          <w:p>
            <w:pPr>
              <w:spacing w:after="0"/>
              <w:rPr>
                <w:sz w:val="10"/>
                <w:szCs w:val="10"/>
                <w:color w:val="auto"/>
              </w:rPr>
            </w:pPr>
          </w:p>
        </w:tc>
        <w:tc>
          <w:tcPr>
            <w:tcW w:w="4380" w:type="dxa"/>
            <w:vAlign w:val="bottom"/>
            <w:shd w:val="clear" w:color="auto" w:fill="6AAA37"/>
          </w:tcPr>
          <w:p>
            <w:pPr>
              <w:spacing w:after="0"/>
              <w:rPr>
                <w:sz w:val="10"/>
                <w:szCs w:val="10"/>
                <w:color w:val="auto"/>
              </w:rPr>
            </w:pPr>
          </w:p>
        </w:tc>
        <w:tc>
          <w:tcPr>
            <w:tcW w:w="1360" w:type="dxa"/>
            <w:vAlign w:val="bottom"/>
            <w:shd w:val="clear" w:color="auto" w:fill="6AAA37"/>
          </w:tcPr>
          <w:p>
            <w:pPr>
              <w:spacing w:after="0"/>
              <w:rPr>
                <w:sz w:val="10"/>
                <w:szCs w:val="10"/>
                <w:color w:val="auto"/>
              </w:rPr>
            </w:pPr>
          </w:p>
        </w:tc>
        <w:tc>
          <w:tcPr>
            <w:tcW w:w="1180" w:type="dxa"/>
            <w:vAlign w:val="bottom"/>
            <w:shd w:val="clear" w:color="auto" w:fill="6AAA37"/>
          </w:tcPr>
          <w:p>
            <w:pPr>
              <w:spacing w:after="0"/>
              <w:rPr>
                <w:sz w:val="10"/>
                <w:szCs w:val="10"/>
                <w:color w:val="auto"/>
              </w:rPr>
            </w:pPr>
          </w:p>
        </w:tc>
        <w:tc>
          <w:tcPr>
            <w:tcW w:w="60" w:type="dxa"/>
            <w:vAlign w:val="bottom"/>
            <w:shd w:val="clear" w:color="auto" w:fill="6AAA37"/>
          </w:tcPr>
          <w:p>
            <w:pPr>
              <w:spacing w:after="0"/>
              <w:rPr>
                <w:sz w:val="10"/>
                <w:szCs w:val="10"/>
                <w:color w:val="auto"/>
              </w:rPr>
            </w:pPr>
          </w:p>
        </w:tc>
        <w:tc>
          <w:tcPr>
            <w:tcW w:w="0" w:type="dxa"/>
            <w:vAlign w:val="bottom"/>
          </w:tcPr>
          <w:p>
            <w:pPr>
              <w:spacing w:after="0"/>
              <w:rPr>
                <w:sz w:val="1"/>
                <w:szCs w:val="1"/>
                <w:color w:val="auto"/>
              </w:rPr>
            </w:pPr>
          </w:p>
        </w:tc>
      </w:tr>
      <w:tr>
        <w:trPr>
          <w:trHeight w:val="377"/>
        </w:trPr>
        <w:tc>
          <w:tcPr>
            <w:tcW w:w="21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Joy T. Brown</w:t>
            </w:r>
            <w:r>
              <w:rPr>
                <w:rFonts w:ascii="Arial" w:cs="Arial" w:eastAsia="Arial" w:hAnsi="Arial"/>
                <w:sz w:val="18"/>
                <w:szCs w:val="18"/>
                <w:b w:val="1"/>
                <w:bCs w:val="1"/>
                <w:color w:val="00558C"/>
                <w:vertAlign w:val="superscript"/>
              </w:rPr>
              <w:t>(4)</w:t>
            </w:r>
          </w:p>
        </w:tc>
        <w:tc>
          <w:tcPr>
            <w:tcW w:w="438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7,043</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F2F3F2"/>
          </w:tcPr>
          <w:p>
            <w:pPr>
              <w:spacing w:after="0"/>
              <w:rPr>
                <w:sz w:val="5"/>
                <w:szCs w:val="5"/>
                <w:color w:val="auto"/>
              </w:rPr>
            </w:pPr>
          </w:p>
        </w:tc>
        <w:tc>
          <w:tcPr>
            <w:tcW w:w="438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J. Ronald Dail </w:t>
            </w:r>
            <w:r>
              <w:rPr>
                <w:rFonts w:ascii="Arial" w:cs="Arial" w:eastAsia="Arial" w:hAnsi="Arial"/>
                <w:sz w:val="18"/>
                <w:szCs w:val="18"/>
                <w:b w:val="1"/>
                <w:bCs w:val="1"/>
                <w:color w:val="00558C"/>
                <w:vertAlign w:val="superscript"/>
              </w:rPr>
              <w:t>(5)</w:t>
            </w:r>
          </w:p>
        </w:tc>
        <w:tc>
          <w:tcPr>
            <w:tcW w:w="43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36,244</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C. Mark Hussey </w:t>
            </w:r>
            <w:r>
              <w:rPr>
                <w:rFonts w:ascii="Arial" w:cs="Arial" w:eastAsia="Arial" w:hAnsi="Arial"/>
                <w:sz w:val="18"/>
                <w:szCs w:val="18"/>
                <w:b w:val="1"/>
                <w:bCs w:val="1"/>
                <w:color w:val="00558C"/>
                <w:vertAlign w:val="superscript"/>
              </w:rPr>
              <w:t>(6)</w:t>
            </w:r>
          </w:p>
        </w:tc>
        <w:tc>
          <w:tcPr>
            <w:tcW w:w="438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76,222</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F2F3F2"/>
          </w:tcPr>
          <w:p>
            <w:pPr>
              <w:spacing w:after="0"/>
              <w:rPr>
                <w:sz w:val="5"/>
                <w:szCs w:val="5"/>
                <w:color w:val="auto"/>
              </w:rPr>
            </w:pPr>
          </w:p>
        </w:tc>
        <w:tc>
          <w:tcPr>
            <w:tcW w:w="438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Hope Katz </w:t>
            </w:r>
            <w:r>
              <w:rPr>
                <w:rFonts w:ascii="Arial" w:cs="Arial" w:eastAsia="Arial" w:hAnsi="Arial"/>
                <w:sz w:val="18"/>
                <w:szCs w:val="18"/>
                <w:b w:val="1"/>
                <w:bCs w:val="1"/>
                <w:color w:val="00558C"/>
                <w:vertAlign w:val="superscript"/>
              </w:rPr>
              <w:t>(7)</w:t>
            </w:r>
          </w:p>
        </w:tc>
        <w:tc>
          <w:tcPr>
            <w:tcW w:w="43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1,554</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John D. Kelly </w:t>
            </w:r>
            <w:r>
              <w:rPr>
                <w:rFonts w:ascii="Arial" w:cs="Arial" w:eastAsia="Arial" w:hAnsi="Arial"/>
                <w:sz w:val="18"/>
                <w:szCs w:val="18"/>
                <w:b w:val="1"/>
                <w:bCs w:val="1"/>
                <w:color w:val="00558C"/>
                <w:vertAlign w:val="superscript"/>
              </w:rPr>
              <w:t>(8)</w:t>
            </w:r>
          </w:p>
        </w:tc>
        <w:tc>
          <w:tcPr>
            <w:tcW w:w="438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75,215</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F2F3F2"/>
          </w:tcPr>
          <w:p>
            <w:pPr>
              <w:spacing w:after="0"/>
              <w:rPr>
                <w:sz w:val="5"/>
                <w:szCs w:val="5"/>
                <w:color w:val="auto"/>
              </w:rPr>
            </w:pPr>
          </w:p>
        </w:tc>
        <w:tc>
          <w:tcPr>
            <w:tcW w:w="438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H. Eugene Lockhart </w:t>
            </w:r>
            <w:r>
              <w:rPr>
                <w:rFonts w:ascii="Arial" w:cs="Arial" w:eastAsia="Arial" w:hAnsi="Arial"/>
                <w:sz w:val="18"/>
                <w:szCs w:val="18"/>
                <w:b w:val="1"/>
                <w:bCs w:val="1"/>
                <w:color w:val="00558C"/>
                <w:vertAlign w:val="superscript"/>
              </w:rPr>
              <w:t>(9)</w:t>
            </w:r>
          </w:p>
        </w:tc>
        <w:tc>
          <w:tcPr>
            <w:tcW w:w="43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6,309</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Peter K. Markell </w:t>
            </w:r>
            <w:r>
              <w:rPr>
                <w:rFonts w:ascii="Arial" w:cs="Arial" w:eastAsia="Arial" w:hAnsi="Arial"/>
                <w:sz w:val="18"/>
                <w:szCs w:val="18"/>
                <w:b w:val="1"/>
                <w:bCs w:val="1"/>
                <w:color w:val="00558C"/>
                <w:vertAlign w:val="superscript"/>
              </w:rPr>
              <w:t>(10)</w:t>
            </w:r>
          </w:p>
        </w:tc>
        <w:tc>
          <w:tcPr>
            <w:tcW w:w="438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10,918</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F2F3F2"/>
          </w:tcPr>
          <w:p>
            <w:pPr>
              <w:spacing w:after="0"/>
              <w:rPr>
                <w:sz w:val="5"/>
                <w:szCs w:val="5"/>
                <w:color w:val="auto"/>
              </w:rPr>
            </w:pPr>
          </w:p>
        </w:tc>
        <w:tc>
          <w:tcPr>
            <w:tcW w:w="438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John McCartney </w:t>
            </w:r>
            <w:r>
              <w:rPr>
                <w:rFonts w:ascii="Arial" w:cs="Arial" w:eastAsia="Arial" w:hAnsi="Arial"/>
                <w:sz w:val="18"/>
                <w:szCs w:val="18"/>
                <w:b w:val="1"/>
                <w:bCs w:val="1"/>
                <w:color w:val="00558C"/>
                <w:vertAlign w:val="superscript"/>
              </w:rPr>
              <w:t>(11)</w:t>
            </w:r>
          </w:p>
        </w:tc>
        <w:tc>
          <w:tcPr>
            <w:tcW w:w="43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39,464</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James H. Roth </w:t>
            </w:r>
            <w:r>
              <w:rPr>
                <w:rFonts w:ascii="Arial" w:cs="Arial" w:eastAsia="Arial" w:hAnsi="Arial"/>
                <w:sz w:val="18"/>
                <w:szCs w:val="18"/>
                <w:b w:val="1"/>
                <w:bCs w:val="1"/>
                <w:color w:val="00558C"/>
                <w:vertAlign w:val="superscript"/>
              </w:rPr>
              <w:t>(12)</w:t>
            </w:r>
          </w:p>
        </w:tc>
        <w:tc>
          <w:tcPr>
            <w:tcW w:w="438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34,358</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F2F3F2"/>
          </w:tcPr>
          <w:p>
            <w:pPr>
              <w:spacing w:after="0"/>
              <w:rPr>
                <w:sz w:val="5"/>
                <w:szCs w:val="5"/>
                <w:color w:val="auto"/>
              </w:rPr>
            </w:pPr>
          </w:p>
        </w:tc>
        <w:tc>
          <w:tcPr>
            <w:tcW w:w="438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Hugh E. Sawyer </w:t>
            </w:r>
            <w:r>
              <w:rPr>
                <w:rFonts w:ascii="Arial" w:cs="Arial" w:eastAsia="Arial" w:hAnsi="Arial"/>
                <w:sz w:val="18"/>
                <w:szCs w:val="18"/>
                <w:b w:val="1"/>
                <w:bCs w:val="1"/>
                <w:color w:val="00558C"/>
                <w:vertAlign w:val="superscript"/>
              </w:rPr>
              <w:t>(13)</w:t>
            </w:r>
          </w:p>
        </w:tc>
        <w:tc>
          <w:tcPr>
            <w:tcW w:w="43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19,137</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Ekta Singh-Bushell </w:t>
            </w:r>
            <w:r>
              <w:rPr>
                <w:rFonts w:ascii="Arial" w:cs="Arial" w:eastAsia="Arial" w:hAnsi="Arial"/>
                <w:sz w:val="18"/>
                <w:szCs w:val="18"/>
                <w:b w:val="1"/>
                <w:bCs w:val="1"/>
                <w:color w:val="00558C"/>
                <w:vertAlign w:val="superscript"/>
              </w:rPr>
              <w:t>(14)</w:t>
            </w:r>
          </w:p>
        </w:tc>
        <w:tc>
          <w:tcPr>
            <w:tcW w:w="438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12,362</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F2F3F2"/>
          </w:tcPr>
          <w:p>
            <w:pPr>
              <w:spacing w:after="0"/>
              <w:rPr>
                <w:sz w:val="5"/>
                <w:szCs w:val="5"/>
                <w:color w:val="auto"/>
              </w:rPr>
            </w:pPr>
          </w:p>
        </w:tc>
        <w:tc>
          <w:tcPr>
            <w:tcW w:w="438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10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Debra Zumwalt </w:t>
            </w:r>
            <w:r>
              <w:rPr>
                <w:rFonts w:ascii="Arial" w:cs="Arial" w:eastAsia="Arial" w:hAnsi="Arial"/>
                <w:sz w:val="18"/>
                <w:szCs w:val="18"/>
                <w:b w:val="1"/>
                <w:bCs w:val="1"/>
                <w:color w:val="00558C"/>
                <w:vertAlign w:val="superscript"/>
              </w:rPr>
              <w:t>(15)</w:t>
            </w:r>
          </w:p>
        </w:tc>
        <w:tc>
          <w:tcPr>
            <w:tcW w:w="43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24,616</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48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6480" w:type="dxa"/>
            <w:vAlign w:val="bottom"/>
            <w:gridSpan w:val="2"/>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All directors and executive officers as a group (12 persons) </w:t>
            </w:r>
            <w:r>
              <w:rPr>
                <w:rFonts w:ascii="Arial" w:cs="Arial" w:eastAsia="Arial" w:hAnsi="Arial"/>
                <w:sz w:val="18"/>
                <w:szCs w:val="18"/>
                <w:b w:val="1"/>
                <w:bCs w:val="1"/>
                <w:color w:val="00558C"/>
                <w:vertAlign w:val="superscript"/>
              </w:rPr>
              <w:t>(16)</w:t>
            </w: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343,442</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2.07</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tcBorders>
              <w:bottom w:val="single" w:sz="8" w:color="B2B3B6"/>
            </w:tcBorders>
            <w:shd w:val="clear" w:color="auto" w:fill="F2F3F2"/>
          </w:tcPr>
          <w:p>
            <w:pPr>
              <w:spacing w:after="0"/>
              <w:rPr>
                <w:sz w:val="5"/>
                <w:szCs w:val="5"/>
                <w:color w:val="auto"/>
              </w:rPr>
            </w:pPr>
          </w:p>
        </w:tc>
        <w:tc>
          <w:tcPr>
            <w:tcW w:w="4380" w:type="dxa"/>
            <w:vAlign w:val="bottom"/>
            <w:tcBorders>
              <w:bottom w:val="single" w:sz="8" w:color="B2B3B6"/>
            </w:tcBorders>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hanging="331"/>
        <w:spacing w:after="0"/>
        <w:tabs>
          <w:tab w:leader="none" w:pos="420" w:val="left"/>
        </w:tabs>
        <w:numPr>
          <w:ilvl w:val="0"/>
          <w:numId w:val="44"/>
        </w:numPr>
        <w:rPr>
          <w:rFonts w:ascii="Arial" w:cs="Arial" w:eastAsia="Arial" w:hAnsi="Arial"/>
          <w:sz w:val="14"/>
          <w:szCs w:val="14"/>
          <w:color w:val="auto"/>
          <w:highlight w:val="white"/>
        </w:rPr>
      </w:pPr>
      <w:r>
        <w:rPr>
          <w:rFonts w:ascii="Arial" w:cs="Arial" w:eastAsia="Arial" w:hAnsi="Arial"/>
          <w:sz w:val="14"/>
          <w:szCs w:val="14"/>
          <w:color w:val="auto"/>
        </w:rPr>
        <w:t>Indicates less than 1% ownership.</w:t>
      </w:r>
    </w:p>
    <w:p>
      <w:pPr>
        <w:spacing w:after="0" w:line="96" w:lineRule="exact"/>
        <w:rPr>
          <w:sz w:val="20"/>
          <w:szCs w:val="20"/>
          <w:color w:val="auto"/>
        </w:rPr>
      </w:pPr>
    </w:p>
    <w:p>
      <w:pPr>
        <w:ind w:left="420" w:right="160" w:hanging="331"/>
        <w:spacing w:after="0" w:line="291"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principal address for each of the stockholders, other than The Vanguard Group, Inc. and BlackRock, Inc. listed below is c/o Huron Consulting Group Inc., 550 West Van Buren Street, Chicago, Illinois 60607.</w:t>
      </w:r>
    </w:p>
    <w:p>
      <w:pPr>
        <w:spacing w:after="0" w:line="1" w:lineRule="exact"/>
        <w:rPr>
          <w:rFonts w:ascii="Arial" w:cs="Arial" w:eastAsia="Arial" w:hAnsi="Arial"/>
          <w:sz w:val="14"/>
          <w:szCs w:val="14"/>
          <w:color w:val="auto"/>
        </w:rPr>
      </w:pPr>
    </w:p>
    <w:p>
      <w:pPr>
        <w:ind w:left="420" w:right="240" w:hanging="331"/>
        <w:spacing w:after="0" w:line="283"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(i) shared voting power over 137,881 shares of Common Stock, (ii) sole dispositive power over no shares of Common Stock and (iii) shared dispositive power over 1,679,238 shares of Common Stock as reported in the Schedule 13G/A filed with the SEC on January 30, 2026. The principal address of The Vanguard Group, Inc. is 100 Vanguard Blvd., Malvern, Pennsylvania 19355.</w:t>
      </w:r>
    </w:p>
    <w:p>
      <w:pPr>
        <w:spacing w:after="0" w:line="10" w:lineRule="exact"/>
        <w:rPr>
          <w:rFonts w:ascii="Arial" w:cs="Arial" w:eastAsia="Arial" w:hAnsi="Arial"/>
          <w:sz w:val="14"/>
          <w:szCs w:val="14"/>
          <w:color w:val="auto"/>
        </w:rPr>
      </w:pPr>
    </w:p>
    <w:p>
      <w:pPr>
        <w:ind w:left="420" w:right="40" w:hanging="331"/>
        <w:spacing w:after="0" w:line="305" w:lineRule="auto"/>
        <w:tabs>
          <w:tab w:leader="none" w:pos="4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(i) sole voting power over 1,331,056 shares of Common Stock and (ii) sole dispositive power over 1,352,664 shares of Common Stock as reported in the Schedule 13G/A filed with the SEC on November 8, 2024. The principal address of BlackRock, Inc. is</w:t>
      </w:r>
    </w:p>
    <w:p>
      <w:pPr>
        <w:sectPr>
          <w:pgSz w:w="11900" w:h="16980" w:orient="portrait"/>
          <w:cols w:equalWidth="0" w:num="1">
            <w:col w:w="9080"/>
          </w:cols>
          <w:pgMar w:left="1400" w:top="1440" w:right="1419" w:bottom="0" w:gutter="0" w:footer="0" w:header="0"/>
          <w:type w:val="continuous"/>
        </w:sectPr>
      </w:pPr>
    </w:p>
    <w:bookmarkStart w:id="33" w:name="page34"/>
    <w:bookmarkEnd w:id="33"/>
    <w:p>
      <w:pPr>
        <w:ind w:left="380" w:right="219"/>
        <w:spacing w:after="0" w:line="272" w:lineRule="auto"/>
        <w:rPr>
          <w:sz w:val="20"/>
          <w:szCs w:val="20"/>
          <w:color w:val="auto"/>
        </w:rPr>
      </w:pPr>
      <w:r>
        <w:rPr>
          <w:rFonts w:ascii="Arial" w:cs="Arial" w:eastAsia="Arial" w:hAnsi="Arial"/>
          <w:sz w:val="14"/>
          <w:szCs w:val="14"/>
          <w:color w:val="auto"/>
        </w:rPr>
        <w:t>50 Hudson Yards, New York, New York 10001. The shares are owned by the following subsidiaries of BlackRock, Inc.: Aperio Group, LLC, BlackRock Advisors, LLC,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Fund Advisors, and BlackRock Fund Managers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-572770</wp:posOffset>
            </wp:positionV>
            <wp:extent cx="6810375" cy="16478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1647825"/>
                    </a:xfrm>
                    <a:prstGeom prst="rect">
                      <a:avLst/>
                    </a:prstGeom>
                    <a:noFill/>
                  </pic:spPr>
                </pic:pic>
              </a:graphicData>
            </a:graphic>
          </wp:anchor>
        </w:drawing>
      </w:r>
    </w:p>
    <w:p>
      <w:pPr>
        <w:ind w:left="380" w:right="259" w:hanging="331"/>
        <w:spacing w:after="0" w:line="305" w:lineRule="auto"/>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339 unvested restricted stock units that will vest within 60 days of the Record Date and excludes 1,853 additional unvested restricted stock units.</w:t>
      </w: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4400" w:val="left"/>
          <w:tab w:leader="none" w:pos="772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27</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332740</wp:posOffset>
            </wp:positionV>
            <wp:extent cx="6810375" cy="8785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878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1000" w:val="left"/>
          <w:tab w:leader="none" w:pos="1840" w:val="left"/>
          <w:tab w:leader="none" w:pos="2840" w:val="left"/>
          <w:tab w:leader="none" w:pos="3660" w:val="left"/>
          <w:tab w:leader="none" w:pos="4860" w:val="left"/>
          <w:tab w:leader="none" w:pos="5680" w:val="left"/>
          <w:tab w:leader="none" w:pos="672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20"/>
        <w:spacing w:after="0"/>
        <w:tabs>
          <w:tab w:leader="none" w:pos="1000" w:val="left"/>
          <w:tab w:leader="none" w:pos="1840" w:val="left"/>
          <w:tab w:leader="none" w:pos="2840" w:val="left"/>
          <w:tab w:leader="none" w:pos="3660" w:val="left"/>
          <w:tab w:leader="none" w:pos="4860" w:val="left"/>
          <w:tab w:leader="none" w:pos="5680" w:val="left"/>
          <w:tab w:leader="none" w:pos="672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33" w:lineRule="exact"/>
        <w:rPr>
          <w:sz w:val="20"/>
          <w:szCs w:val="20"/>
          <w:color w:val="auto"/>
        </w:rPr>
      </w:pPr>
    </w:p>
    <w:p>
      <w:pPr>
        <w:ind w:left="380" w:right="539" w:hanging="331"/>
        <w:spacing w:after="0" w:line="285"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3,677 shares issuable upon exercise of options that are exercisable currently or within 60 days of the Record Date and excludes 6,475 additional unvested restricted stock units.</w:t>
      </w:r>
    </w:p>
    <w:p>
      <w:pPr>
        <w:spacing w:after="0" w:line="9" w:lineRule="exact"/>
        <w:rPr>
          <w:rFonts w:ascii="Arial" w:cs="Arial" w:eastAsia="Arial" w:hAnsi="Arial"/>
          <w:sz w:val="14"/>
          <w:szCs w:val="14"/>
          <w:color w:val="auto"/>
        </w:rPr>
      </w:pPr>
    </w:p>
    <w:p>
      <w:pPr>
        <w:ind w:left="380" w:hanging="331"/>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22,249 unvested restricted stock units.</w:t>
      </w:r>
    </w:p>
    <w:p>
      <w:pPr>
        <w:spacing w:after="0" w:line="68" w:lineRule="exact"/>
        <w:rPr>
          <w:rFonts w:ascii="Arial" w:cs="Arial" w:eastAsia="Arial" w:hAnsi="Arial"/>
          <w:sz w:val="14"/>
          <w:szCs w:val="14"/>
          <w:color w:val="auto"/>
        </w:rPr>
      </w:pPr>
    </w:p>
    <w:p>
      <w:pPr>
        <w:ind w:left="380" w:hanging="331"/>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3,602 unvested restricted stock units.</w:t>
      </w:r>
    </w:p>
    <w:p>
      <w:pPr>
        <w:spacing w:after="0" w:line="68" w:lineRule="exact"/>
        <w:rPr>
          <w:rFonts w:ascii="Arial" w:cs="Arial" w:eastAsia="Arial" w:hAnsi="Arial"/>
          <w:sz w:val="14"/>
          <w:szCs w:val="14"/>
          <w:color w:val="auto"/>
        </w:rPr>
      </w:pPr>
    </w:p>
    <w:p>
      <w:pPr>
        <w:ind w:left="380" w:hanging="331"/>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7,758 unvested restricted stock units.</w:t>
      </w:r>
    </w:p>
    <w:p>
      <w:pPr>
        <w:spacing w:after="0" w:line="68" w:lineRule="exact"/>
        <w:rPr>
          <w:rFonts w:ascii="Arial" w:cs="Arial" w:eastAsia="Arial" w:hAnsi="Arial"/>
          <w:sz w:val="14"/>
          <w:szCs w:val="14"/>
          <w:color w:val="auto"/>
        </w:rPr>
      </w:pPr>
    </w:p>
    <w:p>
      <w:pPr>
        <w:ind w:left="380" w:right="139" w:hanging="331"/>
        <w:spacing w:after="0" w:line="285"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339 unvested restricted stock units which will vest within 60 days of the Record Date and excludes 1,853 additional unvested restricted stock units.</w:t>
      </w:r>
    </w:p>
    <w:p>
      <w:pPr>
        <w:spacing w:after="0" w:line="9" w:lineRule="exact"/>
        <w:rPr>
          <w:rFonts w:ascii="Arial" w:cs="Arial" w:eastAsia="Arial" w:hAnsi="Arial"/>
          <w:sz w:val="14"/>
          <w:szCs w:val="14"/>
          <w:color w:val="auto"/>
        </w:rPr>
      </w:pPr>
    </w:p>
    <w:p>
      <w:pPr>
        <w:ind w:left="380" w:right="299" w:hanging="331"/>
        <w:spacing w:after="0" w:line="30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339 unvested restricted stock units that will vest within 60 days of the Record Date and excludes1,853 additional unvested restricted stock units.</w:t>
      </w:r>
    </w:p>
    <w:p>
      <w:pPr>
        <w:spacing w:after="0" w:line="1" w:lineRule="exact"/>
        <w:rPr>
          <w:rFonts w:ascii="Arial" w:cs="Arial" w:eastAsia="Arial" w:hAnsi="Arial"/>
          <w:sz w:val="14"/>
          <w:szCs w:val="14"/>
          <w:color w:val="auto"/>
        </w:rPr>
      </w:pPr>
    </w:p>
    <w:p>
      <w:pPr>
        <w:ind w:left="380" w:right="179" w:hanging="331"/>
        <w:spacing w:after="0" w:line="29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339 unvested shares of restricted stock units which will vest within 60 days of the Record Date and excludes1,853 additional unvested restricted stock units.</w:t>
      </w:r>
    </w:p>
    <w:p>
      <w:pPr>
        <w:spacing w:after="0" w:line="1" w:lineRule="exact"/>
        <w:rPr>
          <w:rFonts w:ascii="Arial" w:cs="Arial" w:eastAsia="Arial" w:hAnsi="Arial"/>
          <w:sz w:val="14"/>
          <w:szCs w:val="14"/>
          <w:color w:val="auto"/>
        </w:rPr>
      </w:pPr>
    </w:p>
    <w:p>
      <w:pPr>
        <w:ind w:left="380" w:hanging="331"/>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3,855 shares held by a family limited liability company and excludes 3,651 unvested restricted stock units.</w:t>
      </w:r>
    </w:p>
    <w:p>
      <w:pPr>
        <w:spacing w:after="0" w:line="68" w:lineRule="exact"/>
        <w:rPr>
          <w:rFonts w:ascii="Arial" w:cs="Arial" w:eastAsia="Arial" w:hAnsi="Arial"/>
          <w:sz w:val="14"/>
          <w:szCs w:val="14"/>
          <w:color w:val="auto"/>
        </w:rPr>
      </w:pPr>
    </w:p>
    <w:p>
      <w:pPr>
        <w:ind w:left="380" w:right="499" w:hanging="331"/>
        <w:spacing w:after="0" w:line="30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339 unvested shares of restricted units which will vest within 60 days of the Record Date and excludes 1,853 additional unvested restricted stock units.</w:t>
      </w:r>
    </w:p>
    <w:p>
      <w:pPr>
        <w:spacing w:after="0" w:line="1" w:lineRule="exact"/>
        <w:rPr>
          <w:rFonts w:ascii="Arial" w:cs="Arial" w:eastAsia="Arial" w:hAnsi="Arial"/>
          <w:sz w:val="14"/>
          <w:szCs w:val="14"/>
          <w:color w:val="auto"/>
        </w:rPr>
      </w:pPr>
    </w:p>
    <w:p>
      <w:pPr>
        <w:ind w:left="380" w:right="139" w:hanging="331"/>
        <w:spacing w:after="0" w:line="29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339 unvested shares of restricted stock units which will vest within 60 days of the Record Date and excludes 1,853 additional unvested restricted stock units.</w:t>
      </w:r>
    </w:p>
    <w:p>
      <w:pPr>
        <w:spacing w:after="0" w:line="1" w:lineRule="exact"/>
        <w:rPr>
          <w:rFonts w:ascii="Arial" w:cs="Arial" w:eastAsia="Arial" w:hAnsi="Arial"/>
          <w:sz w:val="14"/>
          <w:szCs w:val="14"/>
          <w:color w:val="auto"/>
        </w:rPr>
      </w:pPr>
    </w:p>
    <w:p>
      <w:pPr>
        <w:ind w:left="380" w:right="139" w:hanging="331"/>
        <w:spacing w:after="0" w:line="301"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339 unvested shares of restricted stock units which will vest within 60 days of the Record Date and excludes 1,853 additional unvested restricted stock units.</w:t>
      </w:r>
    </w:p>
    <w:p>
      <w:pPr>
        <w:spacing w:after="0" w:line="1" w:lineRule="exact"/>
        <w:rPr>
          <w:rFonts w:ascii="Arial" w:cs="Arial" w:eastAsia="Arial" w:hAnsi="Arial"/>
          <w:sz w:val="14"/>
          <w:szCs w:val="14"/>
          <w:color w:val="auto"/>
        </w:rPr>
      </w:pPr>
    </w:p>
    <w:p>
      <w:pPr>
        <w:ind w:left="380" w:right="99" w:hanging="331"/>
        <w:spacing w:after="0" w:line="283"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3,677 shares issuable upon exercise of options held by one member of the group that are exercisable currently or within 60 days of the Record Date; an aggregate of 2,373 restricted stock units that will vest and are issuable within 60 days of the Record Date; and excludes an aggregate of 56,706 unvested restricted stock units held by the Directors and Executive Officers listed above.</w:t>
      </w:r>
    </w:p>
    <w:p>
      <w:pPr>
        <w:sectPr>
          <w:pgSz w:w="11900" w:h="16838" w:orient="portrait"/>
          <w:cols w:equalWidth="0" w:num="1">
            <w:col w:w="9019"/>
          </w:cols>
          <w:pgMar w:left="1440" w:top="13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4400" w:val="left"/>
          <w:tab w:leader="none" w:pos="772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28</w:t>
      </w:r>
      <w:r>
        <w:rPr>
          <w:sz w:val="20"/>
          <w:szCs w:val="20"/>
          <w:color w:val="auto"/>
        </w:rPr>
        <w:tab/>
      </w:r>
      <w:r>
        <w:rPr>
          <w:rFonts w:ascii="Arial" w:cs="Arial" w:eastAsia="Arial" w:hAnsi="Arial"/>
          <w:sz w:val="12"/>
          <w:szCs w:val="12"/>
          <w:color w:val="auto"/>
        </w:rPr>
        <w:t>2026 Proxy Statement</w:t>
      </w:r>
    </w:p>
    <w:p>
      <w:pPr>
        <w:sectPr>
          <w:pgSz w:w="11900" w:h="16838" w:orient="portrait"/>
          <w:cols w:equalWidth="0" w:num="1">
            <w:col w:w="9019"/>
          </w:cols>
          <w:pgMar w:left="1440" w:top="130" w:right="1440" w:bottom="0" w:gutter="0" w:footer="0" w:header="0"/>
          <w:type w:val="continuous"/>
        </w:sectPr>
      </w:pPr>
    </w:p>
    <w:bookmarkStart w:id="34" w:name="page35"/>
    <w:bookmarkEnd w:id="34"/>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20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9020175"/>
                    </a:xfrm>
                    <a:prstGeom prst="rect">
                      <a:avLst/>
                    </a:prstGeom>
                    <a:noFill/>
                  </pic:spPr>
                </pic:pic>
              </a:graphicData>
            </a:graphic>
          </wp:anchor>
        </w:drawing>
      </w:r>
    </w:p>
    <w:p>
      <w:pPr>
        <w:ind w:left="60" w:right="1840"/>
        <w:spacing w:after="0" w:line="274" w:lineRule="auto"/>
        <w:rPr>
          <w:sz w:val="20"/>
          <w:szCs w:val="20"/>
          <w:color w:val="auto"/>
        </w:rPr>
      </w:pPr>
      <w:r>
        <w:rPr>
          <w:rFonts w:ascii="Arial" w:cs="Arial" w:eastAsia="Arial" w:hAnsi="Arial"/>
          <w:sz w:val="13"/>
          <w:szCs w:val="13"/>
          <w:b w:val="1"/>
          <w:bCs w:val="1"/>
          <w:color w:val="B2B3B6"/>
        </w:rPr>
        <w:t xml:space="preserve">General Proposal </w:t>
      </w:r>
      <w:r>
        <w:rPr>
          <w:rFonts w:ascii="Arial" w:cs="Arial" w:eastAsia="Arial" w:hAnsi="Arial"/>
          <w:sz w:val="13"/>
          <w:szCs w:val="13"/>
          <w:b w:val="1"/>
          <w:bCs w:val="1"/>
          <w:color w:val="6AAA37"/>
        </w:rPr>
        <w:t>Corporate</w:t>
      </w:r>
      <w:r>
        <w:rPr>
          <w:rFonts w:ascii="Arial" w:cs="Arial" w:eastAsia="Arial" w:hAnsi="Arial"/>
          <w:sz w:val="13"/>
          <w:szCs w:val="13"/>
          <w:b w:val="1"/>
          <w:bCs w:val="1"/>
          <w:color w:val="B2B3B6"/>
        </w:rPr>
        <w:t xml:space="preserve"> Proposal Executive Proposal Stockholder Other Information One </w:t>
      </w:r>
      <w:r>
        <w:rPr>
          <w:rFonts w:ascii="Arial" w:cs="Arial" w:eastAsia="Arial" w:hAnsi="Arial"/>
          <w:sz w:val="13"/>
          <w:szCs w:val="13"/>
          <w:b w:val="1"/>
          <w:bCs w:val="1"/>
          <w:color w:val="6AAA37"/>
        </w:rPr>
        <w:t>Governance</w:t>
      </w:r>
      <w:r>
        <w:rPr>
          <w:rFonts w:ascii="Arial" w:cs="Arial" w:eastAsia="Arial" w:hAnsi="Arial"/>
          <w:sz w:val="13"/>
          <w:szCs w:val="13"/>
          <w:b w:val="1"/>
          <w:bCs w:val="1"/>
          <w:color w:val="B2B3B6"/>
        </w:rPr>
        <w:t xml:space="preserve"> Two Compensation Three Proposals Matters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Corporate Social Responsibility</w:t>
      </w:r>
    </w:p>
    <w:p>
      <w:pPr>
        <w:spacing w:after="0" w:line="13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prioritize investing in the growth and development of our people, fostering and supporting programs to advance social responsibility, and upholding strong governance practices. We are guided by the United Nations Sustainable Development Goals (SDGs) with a focus on five goals that resonate with our values-driven culture and the work we do for our clients each day: good health and well-being, quality education, gender equality, decent work and economic growth, and climate action. Below are the highlights of how we have advanced those SDGs in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and Supporting Our People</w:t>
      </w:r>
    </w:p>
    <w:p>
      <w:pPr>
        <w:spacing w:after="0" w:line="10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show our commitment to our employees by striving to provide an enriching culture that inspires, supports and rewards our highly talented team. Our objective is to craft holistic and meaningful programs and experiences that enrich their careers, support their personal growth and provide a focus on employee well-being. Our market-competitive total rewards package is a core element of our employee value proposition to attract, motivate and retain top talent. In 2025, we enhanced employee benefits to further support the physical and mental well-being of our employees and their families.</w:t>
      </w:r>
    </w:p>
    <w:p>
      <w:pPr>
        <w:spacing w:after="0" w:line="10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Providing professional advancement and career growth opportunities for our people is at the heart of our culture. To facilitate advancement and growth, we offer a wide array of learning and development opportunities and experiences that can be tailored to personal needs. Among other initiatives, we continue to:</w:t>
      </w:r>
    </w:p>
    <w:p>
      <w:pPr>
        <w:spacing w:after="0" w:line="104" w:lineRule="exact"/>
        <w:rPr>
          <w:sz w:val="20"/>
          <w:szCs w:val="20"/>
          <w:color w:val="auto"/>
        </w:rPr>
      </w:pPr>
    </w:p>
    <w:p>
      <w:pPr>
        <w:ind w:left="180" w:right="320" w:hanging="172"/>
        <w:spacing w:after="0" w:line="321" w:lineRule="auto"/>
        <w:tabs>
          <w:tab w:leader="none" w:pos="180" w:val="left"/>
        </w:tabs>
        <w:numPr>
          <w:ilvl w:val="0"/>
          <w:numId w:val="48"/>
        </w:numPr>
        <w:rPr>
          <w:rFonts w:ascii="Arial" w:cs="Arial" w:eastAsia="Arial" w:hAnsi="Arial"/>
          <w:sz w:val="16"/>
          <w:szCs w:val="16"/>
          <w:b w:val="1"/>
          <w:bCs w:val="1"/>
          <w:color w:val="6AAA37"/>
        </w:rPr>
      </w:pPr>
      <w:r>
        <w:rPr>
          <w:rFonts w:ascii="Arial" w:cs="Arial" w:eastAsia="Arial" w:hAnsi="Arial"/>
          <w:sz w:val="16"/>
          <w:szCs w:val="16"/>
          <w:color w:val="auto"/>
        </w:rPr>
        <w:t>Facilitate a two-day orientation curriculum that provides a smooth transition for new employees and fosters engagement through leadership-led welcome sessions.</w:t>
      </w:r>
    </w:p>
    <w:p>
      <w:pPr>
        <w:spacing w:after="0" w:line="34" w:lineRule="exact"/>
        <w:rPr>
          <w:rFonts w:ascii="Arial" w:cs="Arial" w:eastAsia="Arial" w:hAnsi="Arial"/>
          <w:sz w:val="16"/>
          <w:szCs w:val="16"/>
          <w:b w:val="1"/>
          <w:bCs w:val="1"/>
          <w:color w:val="6AAA37"/>
        </w:rPr>
      </w:pPr>
    </w:p>
    <w:p>
      <w:pPr>
        <w:ind w:left="180" w:right="640" w:hanging="172"/>
        <w:spacing w:after="0" w:line="321" w:lineRule="auto"/>
        <w:tabs>
          <w:tab w:leader="none" w:pos="180" w:val="left"/>
        </w:tabs>
        <w:numPr>
          <w:ilvl w:val="0"/>
          <w:numId w:val="48"/>
        </w:numPr>
        <w:rPr>
          <w:rFonts w:ascii="Arial" w:cs="Arial" w:eastAsia="Arial" w:hAnsi="Arial"/>
          <w:sz w:val="16"/>
          <w:szCs w:val="16"/>
          <w:b w:val="1"/>
          <w:bCs w:val="1"/>
          <w:color w:val="6AAA37"/>
        </w:rPr>
      </w:pPr>
      <w:r>
        <w:rPr>
          <w:rFonts w:ascii="Arial" w:cs="Arial" w:eastAsia="Arial" w:hAnsi="Arial"/>
          <w:sz w:val="16"/>
          <w:szCs w:val="16"/>
          <w:color w:val="auto"/>
        </w:rPr>
        <w:t>Offer just-in-time, 1:1 coaching and training opportunities, such as our Coaching at Huron program that informs and prepares leaders and coaches to excel in moments that matter for our employees.</w:t>
      </w:r>
    </w:p>
    <w:p>
      <w:pPr>
        <w:spacing w:after="0" w:line="34" w:lineRule="exact"/>
        <w:rPr>
          <w:rFonts w:ascii="Arial" w:cs="Arial" w:eastAsia="Arial" w:hAnsi="Arial"/>
          <w:sz w:val="16"/>
          <w:szCs w:val="16"/>
          <w:b w:val="1"/>
          <w:bCs w:val="1"/>
          <w:color w:val="6AAA37"/>
        </w:rPr>
      </w:pPr>
    </w:p>
    <w:p>
      <w:pPr>
        <w:ind w:left="180" w:right="660" w:hanging="172"/>
        <w:spacing w:after="0" w:line="321" w:lineRule="auto"/>
        <w:tabs>
          <w:tab w:leader="none" w:pos="180" w:val="left"/>
        </w:tabs>
        <w:numPr>
          <w:ilvl w:val="0"/>
          <w:numId w:val="48"/>
        </w:numPr>
        <w:rPr>
          <w:rFonts w:ascii="Arial" w:cs="Arial" w:eastAsia="Arial" w:hAnsi="Arial"/>
          <w:sz w:val="16"/>
          <w:szCs w:val="16"/>
          <w:b w:val="1"/>
          <w:bCs w:val="1"/>
          <w:color w:val="6AAA37"/>
        </w:rPr>
      </w:pPr>
      <w:r>
        <w:rPr>
          <w:rFonts w:ascii="Arial" w:cs="Arial" w:eastAsia="Arial" w:hAnsi="Arial"/>
          <w:sz w:val="16"/>
          <w:szCs w:val="16"/>
          <w:color w:val="auto"/>
        </w:rPr>
        <w:t>Strive to develop world class leaders by delivering programs and opportunities, such as our Senior Director Cohort, Milestone schools and iLead program, which focus on strengthening key leadership behaviors.</w:t>
      </w:r>
    </w:p>
    <w:p>
      <w:pPr>
        <w:spacing w:after="0" w:line="34" w:lineRule="exact"/>
        <w:rPr>
          <w:rFonts w:ascii="Arial" w:cs="Arial" w:eastAsia="Arial" w:hAnsi="Arial"/>
          <w:sz w:val="16"/>
          <w:szCs w:val="16"/>
          <w:b w:val="1"/>
          <w:bCs w:val="1"/>
          <w:color w:val="6AAA37"/>
        </w:rPr>
      </w:pPr>
    </w:p>
    <w:p>
      <w:pPr>
        <w:ind w:left="180" w:right="740" w:hanging="172"/>
        <w:spacing w:after="0" w:line="321" w:lineRule="auto"/>
        <w:tabs>
          <w:tab w:leader="none" w:pos="180" w:val="left"/>
        </w:tabs>
        <w:numPr>
          <w:ilvl w:val="0"/>
          <w:numId w:val="48"/>
        </w:numPr>
        <w:rPr>
          <w:rFonts w:ascii="Arial" w:cs="Arial" w:eastAsia="Arial" w:hAnsi="Arial"/>
          <w:sz w:val="16"/>
          <w:szCs w:val="16"/>
          <w:b w:val="1"/>
          <w:bCs w:val="1"/>
          <w:color w:val="6AAA37"/>
        </w:rPr>
      </w:pPr>
      <w:r>
        <w:rPr>
          <w:rFonts w:ascii="Arial" w:cs="Arial" w:eastAsia="Arial" w:hAnsi="Arial"/>
          <w:sz w:val="16"/>
          <w:szCs w:val="16"/>
          <w:color w:val="auto"/>
        </w:rPr>
        <w:t>Provide access to a variety of learning opportunities to further develop employees’ skills, technical knowledge, EQ capabilities, team dynamics, and proficiency in coaching and developing others.</w:t>
      </w:r>
    </w:p>
    <w:p>
      <w:pPr>
        <w:spacing w:after="0" w:line="34" w:lineRule="exact"/>
        <w:rPr>
          <w:rFonts w:ascii="Arial" w:cs="Arial" w:eastAsia="Arial" w:hAnsi="Arial"/>
          <w:sz w:val="16"/>
          <w:szCs w:val="16"/>
          <w:b w:val="1"/>
          <w:bCs w:val="1"/>
          <w:color w:val="6AAA37"/>
        </w:rPr>
      </w:pPr>
    </w:p>
    <w:p>
      <w:pPr>
        <w:ind w:left="180" w:right="380" w:hanging="172"/>
        <w:spacing w:after="0" w:line="339" w:lineRule="auto"/>
        <w:tabs>
          <w:tab w:leader="none" w:pos="180" w:val="left"/>
        </w:tabs>
        <w:numPr>
          <w:ilvl w:val="0"/>
          <w:numId w:val="48"/>
        </w:numPr>
        <w:rPr>
          <w:rFonts w:ascii="Arial" w:cs="Arial" w:eastAsia="Arial" w:hAnsi="Arial"/>
          <w:sz w:val="16"/>
          <w:szCs w:val="16"/>
          <w:b w:val="1"/>
          <w:bCs w:val="1"/>
          <w:color w:val="6AAA37"/>
        </w:rPr>
      </w:pPr>
      <w:r>
        <w:rPr>
          <w:rFonts w:ascii="Arial" w:cs="Arial" w:eastAsia="Arial" w:hAnsi="Arial"/>
          <w:sz w:val="16"/>
          <w:szCs w:val="16"/>
          <w:color w:val="auto"/>
        </w:rPr>
        <w:t>Encourage employees to enhance their professional capabilities through external learning opportunities that certify and validate industry, functional and technical skills.</w:t>
      </w:r>
    </w:p>
    <w:p>
      <w:pPr>
        <w:spacing w:after="0" w:line="6" w:lineRule="exact"/>
        <w:rPr>
          <w:rFonts w:ascii="Arial" w:cs="Arial" w:eastAsia="Arial" w:hAnsi="Arial"/>
          <w:sz w:val="16"/>
          <w:szCs w:val="16"/>
          <w:b w:val="1"/>
          <w:bCs w:val="1"/>
          <w:color w:val="6AAA37"/>
        </w:rPr>
      </w:pPr>
    </w:p>
    <w:p>
      <w:pPr>
        <w:ind w:left="180" w:right="420" w:hanging="172"/>
        <w:spacing w:after="0" w:line="339" w:lineRule="auto"/>
        <w:tabs>
          <w:tab w:leader="none" w:pos="180" w:val="left"/>
        </w:tabs>
        <w:numPr>
          <w:ilvl w:val="0"/>
          <w:numId w:val="48"/>
        </w:numPr>
        <w:rPr>
          <w:rFonts w:ascii="Arial" w:cs="Arial" w:eastAsia="Arial" w:hAnsi="Arial"/>
          <w:sz w:val="16"/>
          <w:szCs w:val="16"/>
          <w:b w:val="1"/>
          <w:bCs w:val="1"/>
          <w:color w:val="6AAA37"/>
        </w:rPr>
      </w:pPr>
      <w:r>
        <w:rPr>
          <w:rFonts w:ascii="Arial" w:cs="Arial" w:eastAsia="Arial" w:hAnsi="Arial"/>
          <w:sz w:val="16"/>
          <w:szCs w:val="16"/>
          <w:color w:val="auto"/>
        </w:rPr>
        <w:t>Match employees with internal onboarding stewards, performance coaches, mentors, and, in some cases, sponsors to facilitate their growth and expand their network of support.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We also actively gauge our employee engagement success through various metrics, including:</w:t>
      </w:r>
    </w:p>
    <w:p>
      <w:pPr>
        <w:spacing w:after="0" w:line="181" w:lineRule="exact"/>
        <w:rPr>
          <w:sz w:val="20"/>
          <w:szCs w:val="20"/>
          <w:color w:val="auto"/>
        </w:rPr>
      </w:pPr>
    </w:p>
    <w:p>
      <w:pPr>
        <w:ind w:left="180" w:right="120" w:hanging="172"/>
        <w:spacing w:after="0" w:line="339" w:lineRule="auto"/>
        <w:tabs>
          <w:tab w:leader="none" w:pos="180" w:val="left"/>
        </w:tabs>
        <w:numPr>
          <w:ilvl w:val="0"/>
          <w:numId w:val="49"/>
        </w:numPr>
        <w:rPr>
          <w:rFonts w:ascii="Arial" w:cs="Arial" w:eastAsia="Arial" w:hAnsi="Arial"/>
          <w:sz w:val="16"/>
          <w:szCs w:val="16"/>
          <w:b w:val="1"/>
          <w:bCs w:val="1"/>
          <w:color w:val="6AAA37"/>
        </w:rPr>
      </w:pPr>
      <w:r>
        <w:rPr>
          <w:rFonts w:ascii="Arial" w:cs="Arial" w:eastAsia="Arial" w:hAnsi="Arial"/>
          <w:sz w:val="16"/>
          <w:szCs w:val="16"/>
          <w:color w:val="auto"/>
        </w:rPr>
        <w:t>Employee engagement score, which was 83 in 2025 and surpassed the Microsoft Viva Glint Employee Engagement global benchmark of 75; and</w:t>
      </w:r>
    </w:p>
    <w:p>
      <w:pPr>
        <w:spacing w:after="0" w:line="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49"/>
        </w:numPr>
        <w:rPr>
          <w:rFonts w:ascii="Arial" w:cs="Arial" w:eastAsia="Arial" w:hAnsi="Arial"/>
          <w:sz w:val="16"/>
          <w:szCs w:val="16"/>
          <w:b w:val="1"/>
          <w:bCs w:val="1"/>
          <w:color w:val="6AAA37"/>
        </w:rPr>
      </w:pPr>
      <w:r>
        <w:rPr>
          <w:rFonts w:ascii="Arial" w:cs="Arial" w:eastAsia="Arial" w:hAnsi="Arial"/>
          <w:sz w:val="16"/>
          <w:szCs w:val="16"/>
          <w:color w:val="auto"/>
        </w:rPr>
        <w:t>Coach quality score, which was 83 in 2025 and above the Glint Coach Quality global benchmark of 82.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Diverse Culture and Community</w:t>
      </w:r>
    </w:p>
    <w:p>
      <w:pPr>
        <w:spacing w:after="0" w:line="1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part of our commitment to our people, we prioritize cultivating a workplace where inclusion is seamlessly integrated into all aspects of our business. We believe that by embracing a spectrum of perspectives and experiences, we can unlock innovation, inspire creativity, and gain a deeper understanding to effectively meet the needs of our clients and communities. This is evident in our ongoing efforts to sustain a workplace culture that values and respects everyone, including our employee resource groups, referred to as iMatter teams. Our iMatter teams and networks, which are open to every employee, foster a sense of belonging and make a positive impact both within and outside of the workplace. Along with our nine iMatter Teams, Huron supports six networks including, Experienced Industry Hires, Helping Hands, Public Health, Rising Professionals, Sustainability, and First-Generation Professionals. These networks collectively strive to empower our workforce through professional development, social engagement, and community impact. See “2025 Highlights” within the Compensation Discussion and Analysis of this Proxy Statement for additional details on Huron’s recent third-party recognitions for being an employer of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29</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1413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10375" cy="1413510"/>
                    </a:xfrm>
                    <a:prstGeom prst="rect">
                      <a:avLst/>
                    </a:prstGeom>
                    <a:noFill/>
                  </pic:spPr>
                </pic:pic>
              </a:graphicData>
            </a:graphic>
          </wp:anchor>
        </w:drawing>
      </w:r>
    </w:p>
    <w:p>
      <w:pPr>
        <w:sectPr>
          <w:pgSz w:w="11900" w:h="16987" w:orient="portrait"/>
          <w:cols w:equalWidth="0" w:num="1">
            <w:col w:w="9060"/>
          </w:cols>
          <w:pgMar w:left="1400" w:top="837"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6AAA37"/>
        </w:rPr>
        <w:t xml:space="preserve">Corporate </w:t>
      </w:r>
      <w:r>
        <w:rPr>
          <w:rFonts w:ascii="Arial" w:cs="Arial" w:eastAsia="Arial" w:hAnsi="Arial"/>
          <w:sz w:val="13"/>
          <w:szCs w:val="13"/>
          <w:b w:val="1"/>
          <w:bCs w:val="1"/>
          <w:color w:val="B2B3B6"/>
        </w:rPr>
        <w:t>Proposal Executive</w:t>
      </w:r>
      <w:r>
        <w:rPr>
          <w:rFonts w:ascii="Arial" w:cs="Arial" w:eastAsia="Arial" w:hAnsi="Arial"/>
          <w:sz w:val="13"/>
          <w:szCs w:val="13"/>
          <w:b w:val="1"/>
          <w:bCs w:val="1"/>
          <w:color w:val="6AAA37"/>
        </w:rPr>
        <w:t xml:space="preserve"> Governance </w:t>
      </w:r>
      <w:r>
        <w:rPr>
          <w:rFonts w:ascii="Arial" w:cs="Arial" w:eastAsia="Arial" w:hAnsi="Arial"/>
          <w:sz w:val="13"/>
          <w:szCs w:val="13"/>
          <w:b w:val="1"/>
          <w:bCs w:val="1"/>
          <w:color w:val="B2B3B6"/>
        </w:rPr>
        <w:t>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4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00" w:lineRule="exact"/>
        <w:rPr>
          <w:sz w:val="20"/>
          <w:szCs w:val="20"/>
          <w:color w:val="auto"/>
        </w:rPr>
      </w:pPr>
    </w:p>
    <w:p>
      <w:pPr>
        <w:sectPr>
          <w:pgSz w:w="11900" w:h="16987" w:orient="portrait"/>
          <w:cols w:equalWidth="0" w:num="3">
            <w:col w:w="1600" w:space="300"/>
            <w:col w:w="2700" w:space="320"/>
            <w:col w:w="4140"/>
          </w:cols>
          <w:pgMar w:left="1400" w:top="837" w:right="1439" w:bottom="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Making an Impact in the Global Communities We Serve</w:t>
      </w:r>
    </w:p>
    <w:p>
      <w:pPr>
        <w:spacing w:after="0" w:line="95"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Our commitment to giving back to the communities in which we live and work remains steadfast, and our efforts extend to a wide range of causes aimed at reducing disparities and enhancing access to vital resources within our communities. In 2025, we continued to focus on promoting good health and well-being by partnering with, volunteering for, and/or hosting interactive fundraising campaigns with organizations such as the following:</w:t>
      </w:r>
    </w:p>
    <w:p>
      <w:pPr>
        <w:sectPr>
          <w:pgSz w:w="11900" w:h="16987" w:orient="portrait"/>
          <w:cols w:equalWidth="0" w:num="1">
            <w:col w:w="9060"/>
          </w:cols>
          <w:pgMar w:left="1400" w:top="837" w:right="143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70"/>
        </w:trPr>
        <w:tc>
          <w:tcPr>
            <w:tcW w:w="10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6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60" w:type="dxa"/>
            <w:vAlign w:val="bottom"/>
            <w:shd w:val="clear" w:color="auto" w:fill="F2F3F2"/>
          </w:tcPr>
          <w:p>
            <w:pPr>
              <w:spacing w:after="0"/>
              <w:rPr>
                <w:sz w:val="23"/>
                <w:szCs w:val="23"/>
                <w:color w:val="auto"/>
              </w:rPr>
            </w:pPr>
          </w:p>
        </w:tc>
        <w:tc>
          <w:tcPr>
            <w:tcW w:w="2180" w:type="dxa"/>
            <w:vAlign w:val="bottom"/>
            <w:gridSpan w:val="2"/>
            <w:vMerge w:val="restart"/>
            <w:shd w:val="clear" w:color="auto" w:fill="F2F3F2"/>
          </w:tcPr>
          <w:p>
            <w:pPr>
              <w:jc w:val="center"/>
              <w:ind w:right="240"/>
              <w:spacing w:after="0"/>
              <w:rPr>
                <w:sz w:val="20"/>
                <w:szCs w:val="20"/>
                <w:color w:val="auto"/>
              </w:rPr>
            </w:pPr>
            <w:r>
              <w:rPr>
                <w:rFonts w:ascii="Arial" w:cs="Arial" w:eastAsia="Arial" w:hAnsi="Arial"/>
                <w:sz w:val="22"/>
                <w:szCs w:val="22"/>
                <w:color w:val="6AAA37"/>
                <w:w w:val="98"/>
              </w:rPr>
              <w:t>Ann &amp; Robert H.</w:t>
            </w:r>
          </w:p>
        </w:tc>
        <w:tc>
          <w:tcPr>
            <w:tcW w:w="0" w:type="dxa"/>
            <w:vAlign w:val="bottom"/>
          </w:tcPr>
          <w:p>
            <w:pPr>
              <w:spacing w:after="0"/>
              <w:rPr>
                <w:sz w:val="1"/>
                <w:szCs w:val="1"/>
                <w:color w:val="auto"/>
              </w:rPr>
            </w:pPr>
          </w:p>
        </w:tc>
      </w:tr>
      <w:tr>
        <w:trPr>
          <w:trHeight w:val="244"/>
        </w:trPr>
        <w:tc>
          <w:tcPr>
            <w:tcW w:w="100" w:type="dxa"/>
            <w:vAlign w:val="bottom"/>
            <w:shd w:val="clear" w:color="auto" w:fill="F2F3F2"/>
          </w:tcPr>
          <w:p>
            <w:pPr>
              <w:spacing w:after="0"/>
              <w:rPr>
                <w:sz w:val="21"/>
                <w:szCs w:val="21"/>
                <w:color w:val="auto"/>
              </w:rPr>
            </w:pPr>
          </w:p>
        </w:tc>
        <w:tc>
          <w:tcPr>
            <w:tcW w:w="2080" w:type="dxa"/>
            <w:vAlign w:val="bottom"/>
            <w:shd w:val="clear" w:color="auto" w:fill="F2F3F2"/>
          </w:tcPr>
          <w:p>
            <w:pPr>
              <w:spacing w:after="0"/>
              <w:rPr>
                <w:sz w:val="21"/>
                <w:szCs w:val="21"/>
                <w:color w:val="auto"/>
              </w:rPr>
            </w:pPr>
          </w:p>
        </w:tc>
        <w:tc>
          <w:tcPr>
            <w:tcW w:w="12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060" w:type="dxa"/>
            <w:vAlign w:val="bottom"/>
            <w:shd w:val="clear" w:color="auto" w:fill="F2F3F2"/>
          </w:tcPr>
          <w:p>
            <w:pPr>
              <w:spacing w:after="0"/>
              <w:rPr>
                <w:sz w:val="21"/>
                <w:szCs w:val="21"/>
                <w:color w:val="auto"/>
              </w:rPr>
            </w:pPr>
          </w:p>
        </w:tc>
        <w:tc>
          <w:tcPr>
            <w:tcW w:w="12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080" w:type="dxa"/>
            <w:vAlign w:val="bottom"/>
            <w:shd w:val="clear" w:color="auto" w:fill="F2F3F2"/>
          </w:tcPr>
          <w:p>
            <w:pPr>
              <w:spacing w:after="0"/>
              <w:rPr>
                <w:sz w:val="21"/>
                <w:szCs w:val="21"/>
                <w:color w:val="auto"/>
              </w:rPr>
            </w:pPr>
          </w:p>
        </w:tc>
        <w:tc>
          <w:tcPr>
            <w:tcW w:w="120" w:type="dxa"/>
            <w:vAlign w:val="bottom"/>
            <w:tcBorders>
              <w:right w:val="single" w:sz="8" w:color="B2B3B6"/>
            </w:tcBorders>
            <w:shd w:val="clear" w:color="auto" w:fill="F2F3F2"/>
          </w:tcPr>
          <w:p>
            <w:pPr>
              <w:spacing w:after="0"/>
              <w:rPr>
                <w:sz w:val="21"/>
                <w:szCs w:val="21"/>
                <w:color w:val="auto"/>
              </w:rPr>
            </w:pPr>
          </w:p>
        </w:tc>
        <w:tc>
          <w:tcPr>
            <w:tcW w:w="60" w:type="dxa"/>
            <w:vAlign w:val="bottom"/>
            <w:shd w:val="clear" w:color="auto" w:fill="F2F3F2"/>
          </w:tcPr>
          <w:p>
            <w:pPr>
              <w:spacing w:after="0"/>
              <w:rPr>
                <w:sz w:val="21"/>
                <w:szCs w:val="21"/>
                <w:color w:val="auto"/>
              </w:rPr>
            </w:pPr>
          </w:p>
        </w:tc>
        <w:tc>
          <w:tcPr>
            <w:tcW w:w="2180" w:type="dxa"/>
            <w:vAlign w:val="bottom"/>
            <w:gridSpan w:val="2"/>
            <w:vMerge w:val="continue"/>
            <w:shd w:val="clear" w:color="auto" w:fill="F2F3F2"/>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F2F3F2"/>
          </w:tcPr>
          <w:p>
            <w:pPr>
              <w:spacing w:after="0"/>
              <w:rPr>
                <w:sz w:val="22"/>
                <w:szCs w:val="22"/>
                <w:color w:val="auto"/>
              </w:rPr>
            </w:pPr>
          </w:p>
        </w:tc>
        <w:tc>
          <w:tcPr>
            <w:tcW w:w="2080" w:type="dxa"/>
            <w:vAlign w:val="bottom"/>
            <w:shd w:val="clear" w:color="auto" w:fill="F2F3F2"/>
          </w:tcPr>
          <w:p>
            <w:pPr>
              <w:jc w:val="center"/>
              <w:ind w:right="32"/>
              <w:spacing w:after="0"/>
              <w:rPr>
                <w:sz w:val="20"/>
                <w:szCs w:val="20"/>
                <w:color w:val="auto"/>
              </w:rPr>
            </w:pPr>
            <w:r>
              <w:rPr>
                <w:rFonts w:ascii="Arial" w:cs="Arial" w:eastAsia="Arial" w:hAnsi="Arial"/>
                <w:sz w:val="22"/>
                <w:szCs w:val="22"/>
                <w:color w:val="6AAA37"/>
                <w:w w:val="98"/>
              </w:rPr>
              <w:t>Movember</w:t>
            </w:r>
          </w:p>
        </w:tc>
        <w:tc>
          <w:tcPr>
            <w:tcW w:w="120" w:type="dxa"/>
            <w:vAlign w:val="bottom"/>
            <w:tcBorders>
              <w:right w:val="single" w:sz="8" w:color="B2B3B6"/>
            </w:tcBorders>
            <w:shd w:val="clear" w:color="auto" w:fill="F2F3F2"/>
          </w:tcPr>
          <w:p>
            <w:pPr>
              <w:spacing w:after="0"/>
              <w:rPr>
                <w:sz w:val="22"/>
                <w:szCs w:val="22"/>
                <w:color w:val="auto"/>
              </w:rPr>
            </w:pPr>
          </w:p>
        </w:tc>
        <w:tc>
          <w:tcPr>
            <w:tcW w:w="80" w:type="dxa"/>
            <w:vAlign w:val="bottom"/>
            <w:shd w:val="clear" w:color="auto" w:fill="F2F3F2"/>
          </w:tcPr>
          <w:p>
            <w:pPr>
              <w:spacing w:after="0"/>
              <w:rPr>
                <w:sz w:val="22"/>
                <w:szCs w:val="22"/>
                <w:color w:val="auto"/>
              </w:rPr>
            </w:pPr>
          </w:p>
        </w:tc>
        <w:tc>
          <w:tcPr>
            <w:tcW w:w="2060" w:type="dxa"/>
            <w:vAlign w:val="bottom"/>
            <w:shd w:val="clear" w:color="auto" w:fill="F2F3F2"/>
          </w:tcPr>
          <w:p>
            <w:pPr>
              <w:jc w:val="center"/>
              <w:ind w:right="92"/>
              <w:spacing w:after="0"/>
              <w:rPr>
                <w:sz w:val="20"/>
                <w:szCs w:val="20"/>
                <w:color w:val="auto"/>
              </w:rPr>
            </w:pPr>
            <w:r>
              <w:rPr>
                <w:rFonts w:ascii="Arial" w:cs="Arial" w:eastAsia="Arial" w:hAnsi="Arial"/>
                <w:sz w:val="22"/>
                <w:szCs w:val="22"/>
                <w:color w:val="6AAA37"/>
                <w:w w:val="98"/>
              </w:rPr>
              <w:t>American Heart</w:t>
            </w:r>
          </w:p>
        </w:tc>
        <w:tc>
          <w:tcPr>
            <w:tcW w:w="120" w:type="dxa"/>
            <w:vAlign w:val="bottom"/>
            <w:tcBorders>
              <w:right w:val="single" w:sz="8" w:color="B2B3B6"/>
            </w:tcBorders>
            <w:shd w:val="clear" w:color="auto" w:fill="F2F3F2"/>
          </w:tcPr>
          <w:p>
            <w:pPr>
              <w:spacing w:after="0"/>
              <w:rPr>
                <w:sz w:val="22"/>
                <w:szCs w:val="22"/>
                <w:color w:val="auto"/>
              </w:rPr>
            </w:pPr>
          </w:p>
        </w:tc>
        <w:tc>
          <w:tcPr>
            <w:tcW w:w="80" w:type="dxa"/>
            <w:vAlign w:val="bottom"/>
            <w:shd w:val="clear" w:color="auto" w:fill="F2F3F2"/>
          </w:tcPr>
          <w:p>
            <w:pPr>
              <w:spacing w:after="0"/>
              <w:rPr>
                <w:sz w:val="22"/>
                <w:szCs w:val="22"/>
                <w:color w:val="auto"/>
              </w:rPr>
            </w:pPr>
          </w:p>
        </w:tc>
        <w:tc>
          <w:tcPr>
            <w:tcW w:w="2200" w:type="dxa"/>
            <w:vAlign w:val="bottom"/>
            <w:tcBorders>
              <w:right w:val="single" w:sz="8" w:color="B2B3B6"/>
            </w:tcBorders>
            <w:gridSpan w:val="2"/>
            <w:shd w:val="clear" w:color="auto" w:fill="F2F3F2"/>
          </w:tcPr>
          <w:p>
            <w:pPr>
              <w:jc w:val="center"/>
              <w:ind w:right="340"/>
              <w:spacing w:after="0"/>
              <w:rPr>
                <w:sz w:val="20"/>
                <w:szCs w:val="20"/>
                <w:color w:val="auto"/>
              </w:rPr>
            </w:pPr>
            <w:r>
              <w:rPr>
                <w:rFonts w:ascii="Arial" w:cs="Arial" w:eastAsia="Arial" w:hAnsi="Arial"/>
                <w:sz w:val="22"/>
                <w:szCs w:val="22"/>
                <w:color w:val="6AAA37"/>
                <w:w w:val="97"/>
              </w:rPr>
              <w:t>American Cancer</w:t>
            </w:r>
          </w:p>
        </w:tc>
        <w:tc>
          <w:tcPr>
            <w:tcW w:w="60" w:type="dxa"/>
            <w:vAlign w:val="bottom"/>
            <w:shd w:val="clear" w:color="auto" w:fill="F2F3F2"/>
          </w:tcPr>
          <w:p>
            <w:pPr>
              <w:spacing w:after="0"/>
              <w:rPr>
                <w:sz w:val="22"/>
                <w:szCs w:val="22"/>
                <w:color w:val="auto"/>
              </w:rPr>
            </w:pPr>
          </w:p>
        </w:tc>
        <w:tc>
          <w:tcPr>
            <w:tcW w:w="2180" w:type="dxa"/>
            <w:vAlign w:val="bottom"/>
            <w:gridSpan w:val="2"/>
            <w:shd w:val="clear" w:color="auto" w:fill="F2F3F2"/>
          </w:tcPr>
          <w:p>
            <w:pPr>
              <w:jc w:val="center"/>
              <w:ind w:right="280"/>
              <w:spacing w:after="0"/>
              <w:rPr>
                <w:sz w:val="20"/>
                <w:szCs w:val="20"/>
                <w:color w:val="auto"/>
              </w:rPr>
            </w:pPr>
            <w:r>
              <w:rPr>
                <w:rFonts w:ascii="Arial" w:cs="Arial" w:eastAsia="Arial" w:hAnsi="Arial"/>
                <w:sz w:val="22"/>
                <w:szCs w:val="22"/>
                <w:color w:val="6AAA37"/>
                <w:w w:val="98"/>
              </w:rPr>
              <w:t>Lurie Children’s</w:t>
            </w:r>
          </w:p>
        </w:tc>
        <w:tc>
          <w:tcPr>
            <w:tcW w:w="0" w:type="dxa"/>
            <w:vAlign w:val="bottom"/>
          </w:tcPr>
          <w:p>
            <w:pPr>
              <w:spacing w:after="0"/>
              <w:rPr>
                <w:sz w:val="1"/>
                <w:szCs w:val="1"/>
                <w:color w:val="auto"/>
              </w:rPr>
            </w:pPr>
          </w:p>
        </w:tc>
      </w:tr>
      <w:tr>
        <w:trPr>
          <w:trHeight w:val="270"/>
        </w:trPr>
        <w:tc>
          <w:tcPr>
            <w:tcW w:w="100" w:type="dxa"/>
            <w:vAlign w:val="bottom"/>
            <w:shd w:val="clear" w:color="auto" w:fill="F2F3F2"/>
          </w:tcPr>
          <w:p>
            <w:pPr>
              <w:spacing w:after="0"/>
              <w:rPr>
                <w:sz w:val="23"/>
                <w:szCs w:val="23"/>
                <w:color w:val="auto"/>
              </w:rPr>
            </w:pPr>
          </w:p>
        </w:tc>
        <w:tc>
          <w:tcPr>
            <w:tcW w:w="2080" w:type="dxa"/>
            <w:vAlign w:val="bottom"/>
            <w:shd w:val="clear" w:color="auto" w:fill="F2F3F2"/>
          </w:tcPr>
          <w:p>
            <w:pPr>
              <w:jc w:val="center"/>
              <w:ind w:right="72"/>
              <w:spacing w:after="0"/>
              <w:rPr>
                <w:sz w:val="20"/>
                <w:szCs w:val="20"/>
                <w:color w:val="auto"/>
              </w:rPr>
            </w:pPr>
            <w:r>
              <w:rPr>
                <w:rFonts w:ascii="Arial" w:cs="Arial" w:eastAsia="Arial" w:hAnsi="Arial"/>
                <w:sz w:val="22"/>
                <w:szCs w:val="22"/>
                <w:color w:val="6AAA37"/>
                <w:w w:val="99"/>
              </w:rPr>
              <w:t>Foundation</w:t>
            </w:r>
          </w:p>
        </w:tc>
        <w:tc>
          <w:tcPr>
            <w:tcW w:w="120" w:type="dxa"/>
            <w:vAlign w:val="bottom"/>
            <w:tcBorders>
              <w:right w:val="single" w:sz="8" w:color="B2B3B6"/>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60" w:type="dxa"/>
            <w:vAlign w:val="bottom"/>
            <w:shd w:val="clear" w:color="auto" w:fill="F2F3F2"/>
          </w:tcPr>
          <w:p>
            <w:pPr>
              <w:ind w:left="420"/>
              <w:spacing w:after="0"/>
              <w:rPr>
                <w:sz w:val="20"/>
                <w:szCs w:val="20"/>
                <w:color w:val="auto"/>
              </w:rPr>
            </w:pPr>
            <w:r>
              <w:rPr>
                <w:rFonts w:ascii="Arial" w:cs="Arial" w:eastAsia="Arial" w:hAnsi="Arial"/>
                <w:sz w:val="22"/>
                <w:szCs w:val="22"/>
                <w:color w:val="6AAA37"/>
              </w:rPr>
              <w:t>Association</w:t>
            </w:r>
          </w:p>
        </w:tc>
        <w:tc>
          <w:tcPr>
            <w:tcW w:w="120" w:type="dxa"/>
            <w:vAlign w:val="bottom"/>
            <w:tcBorders>
              <w:right w:val="single" w:sz="8" w:color="B2B3B6"/>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200" w:type="dxa"/>
            <w:vAlign w:val="bottom"/>
            <w:tcBorders>
              <w:right w:val="single" w:sz="8" w:color="B2B3B6"/>
            </w:tcBorders>
            <w:gridSpan w:val="2"/>
            <w:shd w:val="clear" w:color="auto" w:fill="F2F3F2"/>
          </w:tcPr>
          <w:p>
            <w:pPr>
              <w:ind w:left="640"/>
              <w:spacing w:after="0"/>
              <w:rPr>
                <w:sz w:val="20"/>
                <w:szCs w:val="20"/>
                <w:color w:val="auto"/>
              </w:rPr>
            </w:pPr>
            <w:r>
              <w:rPr>
                <w:rFonts w:ascii="Arial" w:cs="Arial" w:eastAsia="Arial" w:hAnsi="Arial"/>
                <w:sz w:val="22"/>
                <w:szCs w:val="22"/>
                <w:color w:val="6AAA37"/>
              </w:rPr>
              <w:t>Society</w:t>
            </w:r>
          </w:p>
        </w:tc>
        <w:tc>
          <w:tcPr>
            <w:tcW w:w="60" w:type="dxa"/>
            <w:vAlign w:val="bottom"/>
            <w:shd w:val="clear" w:color="auto" w:fill="F2F3F2"/>
          </w:tcPr>
          <w:p>
            <w:pPr>
              <w:spacing w:after="0"/>
              <w:rPr>
                <w:sz w:val="23"/>
                <w:szCs w:val="23"/>
                <w:color w:val="auto"/>
              </w:rPr>
            </w:pPr>
          </w:p>
        </w:tc>
        <w:tc>
          <w:tcPr>
            <w:tcW w:w="2180" w:type="dxa"/>
            <w:vAlign w:val="bottom"/>
            <w:gridSpan w:val="2"/>
            <w:shd w:val="clear" w:color="auto" w:fill="F2F3F2"/>
          </w:tcPr>
          <w:p>
            <w:pPr>
              <w:jc w:val="center"/>
              <w:ind w:right="240"/>
              <w:spacing w:after="0"/>
              <w:rPr>
                <w:sz w:val="20"/>
                <w:szCs w:val="20"/>
                <w:color w:val="auto"/>
              </w:rPr>
            </w:pPr>
            <w:r>
              <w:rPr>
                <w:rFonts w:ascii="Arial" w:cs="Arial" w:eastAsia="Arial" w:hAnsi="Arial"/>
                <w:sz w:val="22"/>
                <w:szCs w:val="22"/>
                <w:color w:val="6AAA37"/>
                <w:w w:val="98"/>
              </w:rPr>
              <w:t>Hospital of</w:t>
            </w:r>
          </w:p>
        </w:tc>
        <w:tc>
          <w:tcPr>
            <w:tcW w:w="0" w:type="dxa"/>
            <w:vAlign w:val="bottom"/>
          </w:tcPr>
          <w:p>
            <w:pPr>
              <w:spacing w:after="0"/>
              <w:rPr>
                <w:sz w:val="1"/>
                <w:szCs w:val="1"/>
                <w:color w:val="auto"/>
              </w:rPr>
            </w:pPr>
          </w:p>
        </w:tc>
      </w:tr>
      <w:tr>
        <w:trPr>
          <w:trHeight w:val="283"/>
        </w:trPr>
        <w:tc>
          <w:tcPr>
            <w:tcW w:w="100" w:type="dxa"/>
            <w:vAlign w:val="bottom"/>
            <w:shd w:val="clear" w:color="auto" w:fill="F2F3F2"/>
          </w:tcPr>
          <w:p>
            <w:pPr>
              <w:spacing w:after="0"/>
              <w:rPr>
                <w:sz w:val="24"/>
                <w:szCs w:val="24"/>
                <w:color w:val="auto"/>
              </w:rPr>
            </w:pPr>
          </w:p>
        </w:tc>
        <w:tc>
          <w:tcPr>
            <w:tcW w:w="208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8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60" w:type="dxa"/>
            <w:vAlign w:val="bottom"/>
            <w:shd w:val="clear" w:color="auto" w:fill="F2F3F2"/>
          </w:tcPr>
          <w:p>
            <w:pPr>
              <w:spacing w:after="0"/>
              <w:rPr>
                <w:sz w:val="24"/>
                <w:szCs w:val="24"/>
                <w:color w:val="auto"/>
              </w:rPr>
            </w:pPr>
          </w:p>
        </w:tc>
        <w:tc>
          <w:tcPr>
            <w:tcW w:w="2180" w:type="dxa"/>
            <w:vAlign w:val="bottom"/>
            <w:gridSpan w:val="2"/>
            <w:shd w:val="clear" w:color="auto" w:fill="F2F3F2"/>
          </w:tcPr>
          <w:p>
            <w:pPr>
              <w:jc w:val="center"/>
              <w:ind w:right="180"/>
              <w:spacing w:after="0"/>
              <w:rPr>
                <w:sz w:val="20"/>
                <w:szCs w:val="20"/>
                <w:color w:val="auto"/>
              </w:rPr>
            </w:pPr>
            <w:r>
              <w:rPr>
                <w:rFonts w:ascii="Arial" w:cs="Arial" w:eastAsia="Arial" w:hAnsi="Arial"/>
                <w:sz w:val="22"/>
                <w:szCs w:val="22"/>
                <w:color w:val="6AAA37"/>
                <w:w w:val="99"/>
              </w:rPr>
              <w:t>Chicago</w:t>
            </w:r>
          </w:p>
        </w:tc>
        <w:tc>
          <w:tcPr>
            <w:tcW w:w="0" w:type="dxa"/>
            <w:vAlign w:val="bottom"/>
          </w:tcPr>
          <w:p>
            <w:pPr>
              <w:spacing w:after="0"/>
              <w:rPr>
                <w:sz w:val="1"/>
                <w:szCs w:val="1"/>
                <w:color w:val="auto"/>
              </w:rPr>
            </w:pPr>
          </w:p>
        </w:tc>
      </w:tr>
      <w:tr>
        <w:trPr>
          <w:trHeight w:val="202"/>
        </w:trPr>
        <w:tc>
          <w:tcPr>
            <w:tcW w:w="100" w:type="dxa"/>
            <w:vAlign w:val="bottom"/>
            <w:tcBorders>
              <w:bottom w:val="single" w:sz="8" w:color="F2F3F2"/>
            </w:tcBorders>
            <w:shd w:val="clear" w:color="auto" w:fill="F2F3F2"/>
          </w:tcPr>
          <w:p>
            <w:pPr>
              <w:spacing w:after="0"/>
              <w:rPr>
                <w:sz w:val="17"/>
                <w:szCs w:val="17"/>
                <w:color w:val="auto"/>
              </w:rPr>
            </w:pPr>
          </w:p>
        </w:tc>
        <w:tc>
          <w:tcPr>
            <w:tcW w:w="2080" w:type="dxa"/>
            <w:vAlign w:val="bottom"/>
            <w:tcBorders>
              <w:bottom w:val="single" w:sz="8" w:color="B2B3B6"/>
            </w:tcBorders>
            <w:shd w:val="clear" w:color="auto" w:fill="F2F3F2"/>
          </w:tcPr>
          <w:p>
            <w:pPr>
              <w:spacing w:after="0"/>
              <w:rPr>
                <w:sz w:val="17"/>
                <w:szCs w:val="17"/>
                <w:color w:val="auto"/>
              </w:rPr>
            </w:pPr>
          </w:p>
        </w:tc>
        <w:tc>
          <w:tcPr>
            <w:tcW w:w="120" w:type="dxa"/>
            <w:vAlign w:val="bottom"/>
            <w:tcBorders>
              <w:bottom w:val="single" w:sz="8" w:color="F2F3F2"/>
              <w:right w:val="single" w:sz="8" w:color="B2B3B6"/>
            </w:tcBorders>
            <w:shd w:val="clear" w:color="auto" w:fill="F2F3F2"/>
          </w:tcPr>
          <w:p>
            <w:pPr>
              <w:spacing w:after="0"/>
              <w:rPr>
                <w:sz w:val="17"/>
                <w:szCs w:val="17"/>
                <w:color w:val="auto"/>
              </w:rPr>
            </w:pPr>
          </w:p>
        </w:tc>
        <w:tc>
          <w:tcPr>
            <w:tcW w:w="80" w:type="dxa"/>
            <w:vAlign w:val="bottom"/>
            <w:tcBorders>
              <w:bottom w:val="single" w:sz="8" w:color="F2F3F2"/>
            </w:tcBorders>
            <w:shd w:val="clear" w:color="auto" w:fill="F2F3F2"/>
          </w:tcPr>
          <w:p>
            <w:pPr>
              <w:spacing w:after="0"/>
              <w:rPr>
                <w:sz w:val="17"/>
                <w:szCs w:val="17"/>
                <w:color w:val="auto"/>
              </w:rPr>
            </w:pPr>
          </w:p>
        </w:tc>
        <w:tc>
          <w:tcPr>
            <w:tcW w:w="2060" w:type="dxa"/>
            <w:vAlign w:val="bottom"/>
            <w:tcBorders>
              <w:bottom w:val="single" w:sz="8" w:color="B2B3B6"/>
            </w:tcBorders>
            <w:shd w:val="clear" w:color="auto" w:fill="F2F3F2"/>
          </w:tcPr>
          <w:p>
            <w:pPr>
              <w:spacing w:after="0"/>
              <w:rPr>
                <w:sz w:val="17"/>
                <w:szCs w:val="17"/>
                <w:color w:val="auto"/>
              </w:rPr>
            </w:pPr>
          </w:p>
        </w:tc>
        <w:tc>
          <w:tcPr>
            <w:tcW w:w="120" w:type="dxa"/>
            <w:vAlign w:val="bottom"/>
            <w:tcBorders>
              <w:bottom w:val="single" w:sz="8" w:color="F2F3F2"/>
              <w:right w:val="single" w:sz="8" w:color="B2B3B6"/>
            </w:tcBorders>
            <w:shd w:val="clear" w:color="auto" w:fill="F2F3F2"/>
          </w:tcPr>
          <w:p>
            <w:pPr>
              <w:spacing w:after="0"/>
              <w:rPr>
                <w:sz w:val="17"/>
                <w:szCs w:val="17"/>
                <w:color w:val="auto"/>
              </w:rPr>
            </w:pPr>
          </w:p>
        </w:tc>
        <w:tc>
          <w:tcPr>
            <w:tcW w:w="80" w:type="dxa"/>
            <w:vAlign w:val="bottom"/>
            <w:tcBorders>
              <w:bottom w:val="single" w:sz="8" w:color="F2F3F2"/>
            </w:tcBorders>
            <w:shd w:val="clear" w:color="auto" w:fill="F2F3F2"/>
          </w:tcPr>
          <w:p>
            <w:pPr>
              <w:spacing w:after="0"/>
              <w:rPr>
                <w:sz w:val="17"/>
                <w:szCs w:val="17"/>
                <w:color w:val="auto"/>
              </w:rPr>
            </w:pPr>
          </w:p>
        </w:tc>
        <w:tc>
          <w:tcPr>
            <w:tcW w:w="2080" w:type="dxa"/>
            <w:vAlign w:val="bottom"/>
            <w:tcBorders>
              <w:bottom w:val="single" w:sz="8" w:color="B2B3B6"/>
            </w:tcBorders>
            <w:shd w:val="clear" w:color="auto" w:fill="F2F3F2"/>
          </w:tcPr>
          <w:p>
            <w:pPr>
              <w:spacing w:after="0"/>
              <w:rPr>
                <w:sz w:val="17"/>
                <w:szCs w:val="17"/>
                <w:color w:val="auto"/>
              </w:rPr>
            </w:pPr>
          </w:p>
        </w:tc>
        <w:tc>
          <w:tcPr>
            <w:tcW w:w="120" w:type="dxa"/>
            <w:vAlign w:val="bottom"/>
            <w:tcBorders>
              <w:bottom w:val="single" w:sz="8" w:color="F2F3F2"/>
              <w:right w:val="single" w:sz="8" w:color="B2B3B6"/>
            </w:tcBorders>
            <w:shd w:val="clear" w:color="auto" w:fill="F2F3F2"/>
          </w:tcPr>
          <w:p>
            <w:pPr>
              <w:spacing w:after="0"/>
              <w:rPr>
                <w:sz w:val="17"/>
                <w:szCs w:val="17"/>
                <w:color w:val="auto"/>
              </w:rPr>
            </w:pPr>
          </w:p>
        </w:tc>
        <w:tc>
          <w:tcPr>
            <w:tcW w:w="60" w:type="dxa"/>
            <w:vAlign w:val="bottom"/>
            <w:tcBorders>
              <w:bottom w:val="single" w:sz="8" w:color="F2F3F2"/>
            </w:tcBorders>
            <w:shd w:val="clear" w:color="auto" w:fill="F2F3F2"/>
          </w:tcPr>
          <w:p>
            <w:pPr>
              <w:spacing w:after="0"/>
              <w:rPr>
                <w:sz w:val="17"/>
                <w:szCs w:val="17"/>
                <w:color w:val="auto"/>
              </w:rPr>
            </w:pPr>
          </w:p>
        </w:tc>
        <w:tc>
          <w:tcPr>
            <w:tcW w:w="2080" w:type="dxa"/>
            <w:vAlign w:val="bottom"/>
            <w:tcBorders>
              <w:bottom w:val="single" w:sz="8" w:color="B2B3B6"/>
            </w:tcBorders>
            <w:shd w:val="clear" w:color="auto" w:fill="F2F3F2"/>
          </w:tcPr>
          <w:p>
            <w:pPr>
              <w:spacing w:after="0"/>
              <w:rPr>
                <w:sz w:val="17"/>
                <w:szCs w:val="17"/>
                <w:color w:val="auto"/>
              </w:rPr>
            </w:pPr>
          </w:p>
        </w:tc>
        <w:tc>
          <w:tcPr>
            <w:tcW w:w="100" w:type="dxa"/>
            <w:vAlign w:val="bottom"/>
            <w:tcBorders>
              <w:bottom w:val="single" w:sz="8" w:color="F2F3F2"/>
            </w:tcBorders>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00" w:type="dxa"/>
            <w:vAlign w:val="bottom"/>
            <w:shd w:val="clear" w:color="auto" w:fill="F2F3F2"/>
          </w:tcPr>
          <w:p>
            <w:pPr>
              <w:spacing w:after="0"/>
              <w:rPr>
                <w:sz w:val="24"/>
                <w:szCs w:val="24"/>
                <w:color w:val="auto"/>
              </w:rPr>
            </w:pPr>
          </w:p>
        </w:tc>
        <w:tc>
          <w:tcPr>
            <w:tcW w:w="2080" w:type="dxa"/>
            <w:vAlign w:val="bottom"/>
            <w:shd w:val="clear" w:color="auto" w:fill="F2F3F2"/>
          </w:tcPr>
          <w:p>
            <w:pPr>
              <w:jc w:val="center"/>
              <w:ind w:right="32"/>
              <w:spacing w:after="0"/>
              <w:rPr>
                <w:sz w:val="20"/>
                <w:szCs w:val="20"/>
                <w:color w:val="auto"/>
              </w:rPr>
            </w:pPr>
            <w:r>
              <w:rPr>
                <w:rFonts w:ascii="Arial" w:cs="Arial" w:eastAsia="Arial" w:hAnsi="Arial"/>
                <w:sz w:val="22"/>
                <w:szCs w:val="22"/>
                <w:color w:val="6AAA37"/>
                <w:w w:val="98"/>
              </w:rPr>
              <w:t>Stop Soldier</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vMerge w:val="restart"/>
            <w:shd w:val="clear" w:color="auto" w:fill="F2F3F2"/>
          </w:tcPr>
          <w:p>
            <w:pPr>
              <w:jc w:val="center"/>
              <w:ind w:right="52"/>
              <w:spacing w:after="0"/>
              <w:rPr>
                <w:sz w:val="20"/>
                <w:szCs w:val="20"/>
                <w:color w:val="auto"/>
              </w:rPr>
            </w:pPr>
            <w:r>
              <w:rPr>
                <w:rFonts w:ascii="Arial" w:cs="Arial" w:eastAsia="Arial" w:hAnsi="Arial"/>
                <w:sz w:val="22"/>
                <w:szCs w:val="22"/>
                <w:color w:val="6AAA37"/>
                <w:w w:val="96"/>
              </w:rPr>
              <w:t>Trevor Project</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200" w:type="dxa"/>
            <w:vAlign w:val="bottom"/>
            <w:tcBorders>
              <w:right w:val="single" w:sz="8" w:color="B2B3B6"/>
            </w:tcBorders>
            <w:gridSpan w:val="2"/>
            <w:shd w:val="clear" w:color="auto" w:fill="F2F3F2"/>
          </w:tcPr>
          <w:p>
            <w:pPr>
              <w:jc w:val="center"/>
              <w:ind w:right="360"/>
              <w:spacing w:after="0"/>
              <w:rPr>
                <w:sz w:val="20"/>
                <w:szCs w:val="20"/>
                <w:color w:val="auto"/>
              </w:rPr>
            </w:pPr>
            <w:r>
              <w:rPr>
                <w:rFonts w:ascii="Arial" w:cs="Arial" w:eastAsia="Arial" w:hAnsi="Arial"/>
                <w:sz w:val="22"/>
                <w:szCs w:val="22"/>
                <w:color w:val="6AAA37"/>
                <w:w w:val="98"/>
              </w:rPr>
              <w:t>Ronald McDonald</w:t>
            </w:r>
          </w:p>
        </w:tc>
        <w:tc>
          <w:tcPr>
            <w:tcW w:w="60" w:type="dxa"/>
            <w:vAlign w:val="bottom"/>
            <w:shd w:val="clear" w:color="auto" w:fill="F2F3F2"/>
          </w:tcPr>
          <w:p>
            <w:pPr>
              <w:spacing w:after="0"/>
              <w:rPr>
                <w:sz w:val="24"/>
                <w:szCs w:val="24"/>
                <w:color w:val="auto"/>
              </w:rPr>
            </w:pPr>
          </w:p>
        </w:tc>
        <w:tc>
          <w:tcPr>
            <w:tcW w:w="2180" w:type="dxa"/>
            <w:vAlign w:val="bottom"/>
            <w:gridSpan w:val="2"/>
            <w:shd w:val="clear" w:color="auto" w:fill="F2F3F2"/>
          </w:tcPr>
          <w:p>
            <w:pPr>
              <w:jc w:val="center"/>
              <w:ind w:right="220"/>
              <w:spacing w:after="0"/>
              <w:rPr>
                <w:sz w:val="20"/>
                <w:szCs w:val="20"/>
                <w:color w:val="auto"/>
              </w:rPr>
            </w:pPr>
            <w:r>
              <w:rPr>
                <w:rFonts w:ascii="Arial" w:cs="Arial" w:eastAsia="Arial" w:hAnsi="Arial"/>
                <w:sz w:val="22"/>
                <w:szCs w:val="22"/>
                <w:color w:val="6AAA37"/>
                <w:w w:val="99"/>
              </w:rPr>
              <w:t>Sakalp India</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80" w:type="dxa"/>
            <w:vAlign w:val="bottom"/>
            <w:vMerge w:val="restart"/>
            <w:shd w:val="clear" w:color="auto" w:fill="F2F3F2"/>
          </w:tcPr>
          <w:p>
            <w:pPr>
              <w:ind w:left="640"/>
              <w:spacing w:after="0"/>
              <w:rPr>
                <w:sz w:val="20"/>
                <w:szCs w:val="20"/>
                <w:color w:val="auto"/>
              </w:rPr>
            </w:pPr>
            <w:r>
              <w:rPr>
                <w:rFonts w:ascii="Arial" w:cs="Arial" w:eastAsia="Arial" w:hAnsi="Arial"/>
                <w:sz w:val="22"/>
                <w:szCs w:val="22"/>
                <w:color w:val="6AAA37"/>
              </w:rPr>
              <w:t>Suicide</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vMerge w:val="continue"/>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200" w:type="dxa"/>
            <w:vAlign w:val="bottom"/>
            <w:tcBorders>
              <w:right w:val="single" w:sz="8" w:color="B2B3B6"/>
            </w:tcBorders>
            <w:gridSpan w:val="2"/>
            <w:vMerge w:val="restart"/>
            <w:shd w:val="clear" w:color="auto" w:fill="F2F3F2"/>
          </w:tcPr>
          <w:p>
            <w:pPr>
              <w:jc w:val="center"/>
              <w:ind w:right="300"/>
              <w:spacing w:after="0"/>
              <w:rPr>
                <w:sz w:val="20"/>
                <w:szCs w:val="20"/>
                <w:color w:val="auto"/>
              </w:rPr>
            </w:pPr>
            <w:r>
              <w:rPr>
                <w:rFonts w:ascii="Arial" w:cs="Arial" w:eastAsia="Arial" w:hAnsi="Arial"/>
                <w:sz w:val="22"/>
                <w:szCs w:val="22"/>
                <w:color w:val="6AAA37"/>
                <w:w w:val="98"/>
              </w:rPr>
              <w:t>House Charities</w:t>
            </w:r>
          </w:p>
        </w:tc>
        <w:tc>
          <w:tcPr>
            <w:tcW w:w="60" w:type="dxa"/>
            <w:vAlign w:val="bottom"/>
            <w:shd w:val="clear" w:color="auto" w:fill="F2F3F2"/>
          </w:tcPr>
          <w:p>
            <w:pPr>
              <w:spacing w:after="0"/>
              <w:rPr>
                <w:sz w:val="15"/>
                <w:szCs w:val="15"/>
                <w:color w:val="auto"/>
              </w:rPr>
            </w:pPr>
          </w:p>
        </w:tc>
        <w:tc>
          <w:tcPr>
            <w:tcW w:w="2180" w:type="dxa"/>
            <w:vAlign w:val="bottom"/>
            <w:gridSpan w:val="2"/>
            <w:vMerge w:val="restart"/>
            <w:shd w:val="clear" w:color="auto" w:fill="F2F3F2"/>
          </w:tcPr>
          <w:p>
            <w:pPr>
              <w:jc w:val="center"/>
              <w:ind w:right="260"/>
              <w:spacing w:after="0"/>
              <w:rPr>
                <w:sz w:val="20"/>
                <w:szCs w:val="20"/>
                <w:color w:val="auto"/>
              </w:rPr>
            </w:pPr>
            <w:r>
              <w:rPr>
                <w:rFonts w:ascii="Arial" w:cs="Arial" w:eastAsia="Arial" w:hAnsi="Arial"/>
                <w:sz w:val="22"/>
                <w:szCs w:val="22"/>
                <w:color w:val="6AAA37"/>
                <w:w w:val="98"/>
              </w:rPr>
              <w:t>Foundation</w:t>
            </w:r>
          </w:p>
        </w:tc>
        <w:tc>
          <w:tcPr>
            <w:tcW w:w="0" w:type="dxa"/>
            <w:vAlign w:val="bottom"/>
          </w:tcPr>
          <w:p>
            <w:pPr>
              <w:spacing w:after="0"/>
              <w:rPr>
                <w:sz w:val="1"/>
                <w:szCs w:val="1"/>
                <w:color w:val="auto"/>
              </w:rPr>
            </w:pPr>
          </w:p>
        </w:tc>
      </w:tr>
      <w:tr>
        <w:trPr>
          <w:trHeight w:val="122"/>
        </w:trPr>
        <w:tc>
          <w:tcPr>
            <w:tcW w:w="100" w:type="dxa"/>
            <w:vAlign w:val="bottom"/>
            <w:shd w:val="clear" w:color="auto" w:fill="F2F3F2"/>
          </w:tcPr>
          <w:p>
            <w:pPr>
              <w:spacing w:after="0"/>
              <w:rPr>
                <w:sz w:val="10"/>
                <w:szCs w:val="10"/>
                <w:color w:val="auto"/>
              </w:rPr>
            </w:pPr>
          </w:p>
        </w:tc>
        <w:tc>
          <w:tcPr>
            <w:tcW w:w="2080" w:type="dxa"/>
            <w:vAlign w:val="bottom"/>
            <w:vMerge w:val="continue"/>
            <w:shd w:val="clear" w:color="auto" w:fill="F2F3F2"/>
          </w:tcPr>
          <w:p>
            <w:pPr>
              <w:spacing w:after="0"/>
              <w:rPr>
                <w:sz w:val="10"/>
                <w:szCs w:val="10"/>
                <w:color w:val="auto"/>
              </w:rPr>
            </w:pP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060" w:type="dxa"/>
            <w:vAlign w:val="bottom"/>
            <w:shd w:val="clear" w:color="auto" w:fill="F2F3F2"/>
          </w:tcPr>
          <w:p>
            <w:pPr>
              <w:spacing w:after="0"/>
              <w:rPr>
                <w:sz w:val="10"/>
                <w:szCs w:val="10"/>
                <w:color w:val="auto"/>
              </w:rPr>
            </w:pP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200" w:type="dxa"/>
            <w:vAlign w:val="bottom"/>
            <w:tcBorders>
              <w:right w:val="single" w:sz="8" w:color="B2B3B6"/>
            </w:tcBorders>
            <w:gridSpan w:val="2"/>
            <w:vMerge w:val="continue"/>
            <w:shd w:val="clear" w:color="auto" w:fill="F2F3F2"/>
          </w:tcPr>
          <w:p>
            <w:pPr>
              <w:spacing w:after="0"/>
              <w:rPr>
                <w:sz w:val="10"/>
                <w:szCs w:val="10"/>
                <w:color w:val="auto"/>
              </w:rPr>
            </w:pPr>
          </w:p>
        </w:tc>
        <w:tc>
          <w:tcPr>
            <w:tcW w:w="60" w:type="dxa"/>
            <w:vAlign w:val="bottom"/>
            <w:shd w:val="clear" w:color="auto" w:fill="F2F3F2"/>
          </w:tcPr>
          <w:p>
            <w:pPr>
              <w:spacing w:after="0"/>
              <w:rPr>
                <w:sz w:val="10"/>
                <w:szCs w:val="10"/>
                <w:color w:val="auto"/>
              </w:rPr>
            </w:pPr>
          </w:p>
        </w:tc>
        <w:tc>
          <w:tcPr>
            <w:tcW w:w="2180" w:type="dxa"/>
            <w:vAlign w:val="bottom"/>
            <w:gridSpan w:val="2"/>
            <w:vMerge w:val="continue"/>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 w:type="dxa"/>
            <w:vAlign w:val="bottom"/>
            <w:shd w:val="clear" w:color="auto" w:fill="F2F3F2"/>
          </w:tcPr>
          <w:p>
            <w:pPr>
              <w:spacing w:after="0"/>
              <w:rPr>
                <w:sz w:val="24"/>
                <w:szCs w:val="24"/>
                <w:color w:val="auto"/>
              </w:rPr>
            </w:pPr>
          </w:p>
        </w:tc>
        <w:tc>
          <w:tcPr>
            <w:tcW w:w="208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8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60" w:type="dxa"/>
            <w:vAlign w:val="bottom"/>
            <w:shd w:val="clear" w:color="auto" w:fill="F2F3F2"/>
          </w:tcPr>
          <w:p>
            <w:pPr>
              <w:spacing w:after="0"/>
              <w:rPr>
                <w:sz w:val="24"/>
                <w:szCs w:val="24"/>
                <w:color w:val="auto"/>
              </w:rPr>
            </w:pPr>
          </w:p>
        </w:tc>
        <w:tc>
          <w:tcPr>
            <w:tcW w:w="2080" w:type="dxa"/>
            <w:vAlign w:val="bottom"/>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6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6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00" w:type="dxa"/>
            <w:vAlign w:val="bottom"/>
            <w:shd w:val="clear" w:color="auto" w:fill="F2F3F2"/>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442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7442835"/>
                    </a:xfrm>
                    <a:prstGeom prst="rect">
                      <a:avLst/>
                    </a:prstGeom>
                    <a:noFill/>
                  </pic:spPr>
                </pic:pic>
              </a:graphicData>
            </a:graphic>
          </wp:anchor>
        </w:drawing>
      </w:r>
    </w:p>
    <w:p>
      <w:pPr>
        <w:jc w:val="both"/>
        <w:ind w:right="60"/>
        <w:spacing w:after="0" w:line="321" w:lineRule="auto"/>
        <w:rPr>
          <w:sz w:val="20"/>
          <w:szCs w:val="20"/>
          <w:color w:val="auto"/>
        </w:rPr>
      </w:pPr>
      <w:r>
        <w:rPr>
          <w:rFonts w:ascii="Arial" w:cs="Arial" w:eastAsia="Arial" w:hAnsi="Arial"/>
          <w:sz w:val="16"/>
          <w:szCs w:val="16"/>
          <w:color w:val="auto"/>
        </w:rPr>
        <w:t>Additionally, in 2025, more than 4,200 Huron employees participated in our annual Day of Service event. We partnered with organizations around the globe to participate in 141 community service events in more than 90 distinct locations. Together we: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 w:type="dxa"/>
            <w:vAlign w:val="bottom"/>
            <w:shd w:val="clear" w:color="auto" w:fill="F2F3F2"/>
          </w:tcPr>
          <w:p>
            <w:pPr>
              <w:spacing w:after="0"/>
              <w:rPr>
                <w:sz w:val="23"/>
                <w:szCs w:val="23"/>
                <w:color w:val="auto"/>
              </w:rPr>
            </w:pPr>
          </w:p>
        </w:tc>
        <w:tc>
          <w:tcPr>
            <w:tcW w:w="2860" w:type="dxa"/>
            <w:vAlign w:val="bottom"/>
            <w:vMerge w:val="restart"/>
            <w:shd w:val="clear" w:color="auto" w:fill="F2F3F2"/>
          </w:tcPr>
          <w:p>
            <w:pPr>
              <w:ind w:left="520"/>
              <w:spacing w:after="0"/>
              <w:rPr>
                <w:sz w:val="20"/>
                <w:szCs w:val="20"/>
                <w:color w:val="auto"/>
              </w:rPr>
            </w:pPr>
            <w:r>
              <w:rPr>
                <w:rFonts w:ascii="Arial" w:cs="Arial" w:eastAsia="Arial" w:hAnsi="Arial"/>
                <w:sz w:val="22"/>
                <w:szCs w:val="22"/>
                <w:color w:val="6AAA37"/>
              </w:rPr>
              <w:t>760 warm meals</w:t>
            </w:r>
          </w:p>
        </w:tc>
        <w:tc>
          <w:tcPr>
            <w:tcW w:w="80" w:type="dxa"/>
            <w:vAlign w:val="bottom"/>
            <w:shd w:val="clear" w:color="auto" w:fill="F2F3F2"/>
          </w:tcPr>
          <w:p>
            <w:pPr>
              <w:spacing w:after="0"/>
              <w:rPr>
                <w:sz w:val="23"/>
                <w:szCs w:val="23"/>
                <w:color w:val="auto"/>
              </w:rPr>
            </w:pPr>
          </w:p>
        </w:tc>
        <w:tc>
          <w:tcPr>
            <w:tcW w:w="100" w:type="dxa"/>
            <w:vAlign w:val="bottom"/>
            <w:shd w:val="clear" w:color="auto" w:fill="F2F3F2"/>
          </w:tcPr>
          <w:p>
            <w:pPr>
              <w:spacing w:after="0"/>
              <w:rPr>
                <w:sz w:val="23"/>
                <w:szCs w:val="23"/>
                <w:color w:val="auto"/>
              </w:rPr>
            </w:pPr>
          </w:p>
        </w:tc>
        <w:tc>
          <w:tcPr>
            <w:tcW w:w="3020" w:type="dxa"/>
            <w:vAlign w:val="bottom"/>
            <w:gridSpan w:val="2"/>
            <w:vMerge w:val="restart"/>
            <w:shd w:val="clear" w:color="auto" w:fill="F2F3F2"/>
          </w:tcPr>
          <w:p>
            <w:pPr>
              <w:jc w:val="center"/>
              <w:ind w:right="220"/>
              <w:spacing w:after="0"/>
              <w:rPr>
                <w:sz w:val="20"/>
                <w:szCs w:val="20"/>
                <w:color w:val="auto"/>
              </w:rPr>
            </w:pPr>
            <w:r>
              <w:rPr>
                <w:rFonts w:ascii="Arial" w:cs="Arial" w:eastAsia="Arial" w:hAnsi="Arial"/>
                <w:sz w:val="22"/>
                <w:szCs w:val="22"/>
                <w:color w:val="6AAA37"/>
                <w:w w:val="99"/>
              </w:rPr>
              <w:t>1,010 letters</w:t>
            </w:r>
          </w:p>
        </w:tc>
        <w:tc>
          <w:tcPr>
            <w:tcW w:w="2920" w:type="dxa"/>
            <w:vAlign w:val="bottom"/>
            <w:gridSpan w:val="2"/>
            <w:vMerge w:val="restart"/>
            <w:shd w:val="clear" w:color="auto" w:fill="F2F3F2"/>
          </w:tcPr>
          <w:p>
            <w:pPr>
              <w:ind w:left="780"/>
              <w:spacing w:after="0"/>
              <w:rPr>
                <w:sz w:val="20"/>
                <w:szCs w:val="20"/>
                <w:color w:val="auto"/>
              </w:rPr>
            </w:pPr>
            <w:r>
              <w:rPr>
                <w:rFonts w:ascii="Arial" w:cs="Arial" w:eastAsia="Arial" w:hAnsi="Arial"/>
                <w:sz w:val="22"/>
                <w:szCs w:val="22"/>
                <w:color w:val="6AAA37"/>
              </w:rPr>
              <w:t>424,200 lbs.</w:t>
            </w:r>
          </w:p>
        </w:tc>
        <w:tc>
          <w:tcPr>
            <w:tcW w:w="0" w:type="dxa"/>
            <w:vAlign w:val="bottom"/>
          </w:tcPr>
          <w:p>
            <w:pPr>
              <w:spacing w:after="0"/>
              <w:rPr>
                <w:sz w:val="1"/>
                <w:szCs w:val="1"/>
                <w:color w:val="auto"/>
              </w:rPr>
            </w:pPr>
          </w:p>
        </w:tc>
      </w:tr>
      <w:tr>
        <w:trPr>
          <w:trHeight w:val="298"/>
        </w:trPr>
        <w:tc>
          <w:tcPr>
            <w:tcW w:w="100" w:type="dxa"/>
            <w:vAlign w:val="bottom"/>
          </w:tcPr>
          <w:p>
            <w:pPr>
              <w:spacing w:after="0"/>
              <w:rPr>
                <w:sz w:val="24"/>
                <w:szCs w:val="24"/>
                <w:color w:val="auto"/>
              </w:rPr>
            </w:pPr>
          </w:p>
        </w:tc>
        <w:tc>
          <w:tcPr>
            <w:tcW w:w="2860" w:type="dxa"/>
            <w:vAlign w:val="bottom"/>
            <w:vMerge w:val="continue"/>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3020" w:type="dxa"/>
            <w:vAlign w:val="bottom"/>
            <w:gridSpan w:val="2"/>
            <w:vMerge w:val="continue"/>
            <w:shd w:val="clear" w:color="auto" w:fill="F2F3F2"/>
          </w:tcPr>
          <w:p>
            <w:pPr>
              <w:spacing w:after="0"/>
              <w:rPr>
                <w:sz w:val="24"/>
                <w:szCs w:val="24"/>
                <w:color w:val="auto"/>
              </w:rPr>
            </w:pPr>
          </w:p>
        </w:tc>
        <w:tc>
          <w:tcPr>
            <w:tcW w:w="2920" w:type="dxa"/>
            <w:vAlign w:val="bottom"/>
            <w:gridSpan w:val="2"/>
            <w:vMerge w:val="continue"/>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86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Prepared and served more than 760</w:t>
            </w:r>
          </w:p>
        </w:tc>
        <w:tc>
          <w:tcPr>
            <w:tcW w:w="80" w:type="dxa"/>
            <w:vAlign w:val="bottom"/>
            <w:shd w:val="clear" w:color="auto" w:fill="F2F3F2"/>
          </w:tcPr>
          <w:p>
            <w:pPr>
              <w:spacing w:after="0"/>
              <w:rPr>
                <w:sz w:val="19"/>
                <w:szCs w:val="19"/>
                <w:color w:val="auto"/>
              </w:rPr>
            </w:pPr>
          </w:p>
        </w:tc>
        <w:tc>
          <w:tcPr>
            <w:tcW w:w="100" w:type="dxa"/>
            <w:vAlign w:val="bottom"/>
            <w:shd w:val="clear" w:color="auto" w:fill="F2F3F2"/>
          </w:tcPr>
          <w:p>
            <w:pPr>
              <w:spacing w:after="0"/>
              <w:rPr>
                <w:sz w:val="19"/>
                <w:szCs w:val="19"/>
                <w:color w:val="auto"/>
              </w:rPr>
            </w:pPr>
          </w:p>
        </w:tc>
        <w:tc>
          <w:tcPr>
            <w:tcW w:w="3020" w:type="dxa"/>
            <w:vAlign w:val="bottom"/>
            <w:gridSpan w:val="2"/>
            <w:shd w:val="clear" w:color="auto" w:fill="F2F3F2"/>
          </w:tcPr>
          <w:p>
            <w:pPr>
              <w:jc w:val="center"/>
              <w:ind w:right="180"/>
              <w:spacing w:after="0"/>
              <w:rPr>
                <w:sz w:val="20"/>
                <w:szCs w:val="20"/>
                <w:color w:val="auto"/>
              </w:rPr>
            </w:pPr>
            <w:r>
              <w:rPr>
                <w:rFonts w:ascii="Arial" w:cs="Arial" w:eastAsia="Arial" w:hAnsi="Arial"/>
                <w:sz w:val="16"/>
                <w:szCs w:val="16"/>
                <w:color w:val="auto"/>
              </w:rPr>
              <w:t>Wrote more than 1,010 letters and</w:t>
            </w:r>
          </w:p>
        </w:tc>
        <w:tc>
          <w:tcPr>
            <w:tcW w:w="2920" w:type="dxa"/>
            <w:vAlign w:val="bottom"/>
            <w:gridSpan w:val="2"/>
            <w:shd w:val="clear" w:color="auto" w:fill="F2F3F2"/>
          </w:tcPr>
          <w:p>
            <w:pPr>
              <w:jc w:val="center"/>
              <w:ind w:right="100"/>
              <w:spacing w:after="0"/>
              <w:rPr>
                <w:sz w:val="20"/>
                <w:szCs w:val="20"/>
                <w:color w:val="auto"/>
              </w:rPr>
            </w:pPr>
            <w:r>
              <w:rPr>
                <w:rFonts w:ascii="Arial" w:cs="Arial" w:eastAsia="Arial" w:hAnsi="Arial"/>
                <w:sz w:val="16"/>
                <w:szCs w:val="16"/>
                <w:color w:val="auto"/>
              </w:rPr>
              <w:t>Sorted and packed 424,200 lbs of</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86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warm meals to people experiencing</w:t>
            </w:r>
          </w:p>
        </w:tc>
        <w:tc>
          <w:tcPr>
            <w:tcW w:w="80" w:type="dxa"/>
            <w:vAlign w:val="bottom"/>
            <w:shd w:val="clear" w:color="auto" w:fill="F2F3F2"/>
          </w:tcPr>
          <w:p>
            <w:pPr>
              <w:spacing w:after="0"/>
              <w:rPr>
                <w:sz w:val="17"/>
                <w:szCs w:val="17"/>
                <w:color w:val="auto"/>
              </w:rPr>
            </w:pPr>
          </w:p>
        </w:tc>
        <w:tc>
          <w:tcPr>
            <w:tcW w:w="100" w:type="dxa"/>
            <w:vAlign w:val="bottom"/>
            <w:shd w:val="clear" w:color="auto" w:fill="F2F3F2"/>
          </w:tcPr>
          <w:p>
            <w:pPr>
              <w:spacing w:after="0"/>
              <w:rPr>
                <w:sz w:val="17"/>
                <w:szCs w:val="17"/>
                <w:color w:val="auto"/>
              </w:rPr>
            </w:pPr>
          </w:p>
        </w:tc>
        <w:tc>
          <w:tcPr>
            <w:tcW w:w="3020" w:type="dxa"/>
            <w:vAlign w:val="bottom"/>
            <w:gridSpan w:val="2"/>
            <w:shd w:val="clear" w:color="auto" w:fill="F2F3F2"/>
          </w:tcPr>
          <w:p>
            <w:pPr>
              <w:jc w:val="center"/>
              <w:ind w:right="180"/>
              <w:spacing w:after="0"/>
              <w:rPr>
                <w:sz w:val="20"/>
                <w:szCs w:val="20"/>
                <w:color w:val="auto"/>
              </w:rPr>
            </w:pPr>
            <w:r>
              <w:rPr>
                <w:rFonts w:ascii="Arial" w:cs="Arial" w:eastAsia="Arial" w:hAnsi="Arial"/>
                <w:sz w:val="16"/>
                <w:szCs w:val="16"/>
                <w:color w:val="auto"/>
              </w:rPr>
              <w:t>cards for hospitalized children,</w:t>
            </w:r>
          </w:p>
        </w:tc>
        <w:tc>
          <w:tcPr>
            <w:tcW w:w="2920" w:type="dxa"/>
            <w:vAlign w:val="bottom"/>
            <w:gridSpan w:val="2"/>
            <w:shd w:val="clear" w:color="auto" w:fill="F2F3F2"/>
          </w:tcPr>
          <w:p>
            <w:pPr>
              <w:jc w:val="center"/>
              <w:ind w:right="80"/>
              <w:spacing w:after="0"/>
              <w:rPr>
                <w:sz w:val="20"/>
                <w:szCs w:val="20"/>
                <w:color w:val="auto"/>
              </w:rPr>
            </w:pPr>
            <w:r>
              <w:rPr>
                <w:rFonts w:ascii="Arial" w:cs="Arial" w:eastAsia="Arial" w:hAnsi="Arial"/>
                <w:sz w:val="16"/>
                <w:szCs w:val="16"/>
                <w:color w:val="auto"/>
              </w:rPr>
              <w:t>food for those in need</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86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homelessness and to families of</w:t>
            </w:r>
          </w:p>
        </w:tc>
        <w:tc>
          <w:tcPr>
            <w:tcW w:w="80" w:type="dxa"/>
            <w:vAlign w:val="bottom"/>
            <w:shd w:val="clear" w:color="auto" w:fill="F2F3F2"/>
          </w:tcPr>
          <w:p>
            <w:pPr>
              <w:spacing w:after="0"/>
              <w:rPr>
                <w:sz w:val="16"/>
                <w:szCs w:val="16"/>
                <w:color w:val="auto"/>
              </w:rPr>
            </w:pPr>
          </w:p>
        </w:tc>
        <w:tc>
          <w:tcPr>
            <w:tcW w:w="100" w:type="dxa"/>
            <w:vAlign w:val="bottom"/>
            <w:shd w:val="clear" w:color="auto" w:fill="F2F3F2"/>
          </w:tcPr>
          <w:p>
            <w:pPr>
              <w:spacing w:after="0"/>
              <w:rPr>
                <w:sz w:val="16"/>
                <w:szCs w:val="16"/>
                <w:color w:val="auto"/>
              </w:rPr>
            </w:pPr>
          </w:p>
        </w:tc>
        <w:tc>
          <w:tcPr>
            <w:tcW w:w="3020" w:type="dxa"/>
            <w:vAlign w:val="bottom"/>
            <w:gridSpan w:val="2"/>
            <w:shd w:val="clear" w:color="auto" w:fill="F2F3F2"/>
          </w:tcPr>
          <w:p>
            <w:pPr>
              <w:jc w:val="center"/>
              <w:ind w:right="180"/>
              <w:spacing w:after="0"/>
              <w:rPr>
                <w:sz w:val="20"/>
                <w:szCs w:val="20"/>
                <w:color w:val="auto"/>
              </w:rPr>
            </w:pPr>
            <w:r>
              <w:rPr>
                <w:rFonts w:ascii="Arial" w:cs="Arial" w:eastAsia="Arial" w:hAnsi="Arial"/>
                <w:sz w:val="16"/>
                <w:szCs w:val="16"/>
                <w:color w:val="auto"/>
              </w:rPr>
              <w:t>women experiencing homelessness</w:t>
            </w:r>
          </w:p>
        </w:tc>
        <w:tc>
          <w:tcPr>
            <w:tcW w:w="2820" w:type="dxa"/>
            <w:vAlign w:val="bottom"/>
            <w:shd w:val="clear" w:color="auto" w:fill="F2F3F2"/>
          </w:tcPr>
          <w:p>
            <w:pPr>
              <w:spacing w:after="0"/>
              <w:rPr>
                <w:sz w:val="16"/>
                <w:szCs w:val="16"/>
                <w:color w:val="auto"/>
              </w:rPr>
            </w:pPr>
          </w:p>
        </w:tc>
        <w:tc>
          <w:tcPr>
            <w:tcW w:w="10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860" w:type="dxa"/>
            <w:vAlign w:val="bottom"/>
            <w:tcBorders>
              <w:bottom w:val="single" w:sz="8" w:color="F2F3F2"/>
            </w:tcBorders>
            <w:shd w:val="clear" w:color="auto" w:fill="F2F3F2"/>
          </w:tcPr>
          <w:p>
            <w:pPr>
              <w:jc w:val="center"/>
              <w:spacing w:after="0"/>
              <w:rPr>
                <w:sz w:val="20"/>
                <w:szCs w:val="20"/>
                <w:color w:val="auto"/>
              </w:rPr>
            </w:pPr>
            <w:r>
              <w:rPr>
                <w:rFonts w:ascii="Arial" w:cs="Arial" w:eastAsia="Arial" w:hAnsi="Arial"/>
                <w:sz w:val="16"/>
                <w:szCs w:val="16"/>
                <w:color w:val="auto"/>
              </w:rPr>
              <w:t>hospitalized children</w:t>
            </w:r>
          </w:p>
        </w:tc>
        <w:tc>
          <w:tcPr>
            <w:tcW w:w="80" w:type="dxa"/>
            <w:vAlign w:val="bottom"/>
            <w:tcBorders>
              <w:bottom w:val="single" w:sz="8" w:color="F2F3F2"/>
            </w:tcBorders>
            <w:shd w:val="clear" w:color="auto" w:fill="F2F3F2"/>
          </w:tcPr>
          <w:p>
            <w:pPr>
              <w:spacing w:after="0"/>
              <w:rPr>
                <w:sz w:val="20"/>
                <w:szCs w:val="20"/>
                <w:color w:val="auto"/>
              </w:rPr>
            </w:pPr>
          </w:p>
        </w:tc>
        <w:tc>
          <w:tcPr>
            <w:tcW w:w="100" w:type="dxa"/>
            <w:vAlign w:val="bottom"/>
            <w:tcBorders>
              <w:bottom w:val="single" w:sz="8" w:color="F2F3F2"/>
            </w:tcBorders>
            <w:shd w:val="clear" w:color="auto" w:fill="F2F3F2"/>
          </w:tcPr>
          <w:p>
            <w:pPr>
              <w:spacing w:after="0"/>
              <w:rPr>
                <w:sz w:val="20"/>
                <w:szCs w:val="20"/>
                <w:color w:val="auto"/>
              </w:rPr>
            </w:pPr>
          </w:p>
        </w:tc>
        <w:tc>
          <w:tcPr>
            <w:tcW w:w="3020" w:type="dxa"/>
            <w:vAlign w:val="bottom"/>
            <w:tcBorders>
              <w:bottom w:val="single" w:sz="8" w:color="F2F3F2"/>
            </w:tcBorders>
            <w:gridSpan w:val="2"/>
            <w:shd w:val="clear" w:color="auto" w:fill="F2F3F2"/>
          </w:tcPr>
          <w:p>
            <w:pPr>
              <w:jc w:val="center"/>
              <w:ind w:right="180"/>
              <w:spacing w:after="0"/>
              <w:rPr>
                <w:sz w:val="20"/>
                <w:szCs w:val="20"/>
                <w:color w:val="auto"/>
              </w:rPr>
            </w:pPr>
            <w:r>
              <w:rPr>
                <w:rFonts w:ascii="Arial" w:cs="Arial" w:eastAsia="Arial" w:hAnsi="Arial"/>
                <w:sz w:val="16"/>
                <w:szCs w:val="16"/>
                <w:color w:val="auto"/>
              </w:rPr>
              <w:t>and LGBTQ+ senior programs</w:t>
            </w:r>
          </w:p>
        </w:tc>
        <w:tc>
          <w:tcPr>
            <w:tcW w:w="2820" w:type="dxa"/>
            <w:vAlign w:val="bottom"/>
            <w:tcBorders>
              <w:bottom w:val="single" w:sz="8" w:color="F2F3F2"/>
            </w:tcBorders>
            <w:shd w:val="clear" w:color="auto" w:fill="F2F3F2"/>
          </w:tcPr>
          <w:p>
            <w:pPr>
              <w:spacing w:after="0"/>
              <w:rPr>
                <w:sz w:val="20"/>
                <w:szCs w:val="20"/>
                <w:color w:val="auto"/>
              </w:rPr>
            </w:pPr>
          </w:p>
        </w:tc>
        <w:tc>
          <w:tcPr>
            <w:tcW w:w="100" w:type="dxa"/>
            <w:vAlign w:val="bottom"/>
            <w:tcBorders>
              <w:bottom w:val="single" w:sz="8" w:color="F2F3F2"/>
            </w:tcBorders>
            <w:shd w:val="clear" w:color="auto" w:fill="F2F3F2"/>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860" w:type="dxa"/>
            <w:vAlign w:val="bottom"/>
            <w:tcBorders>
              <w:bottom w:val="single" w:sz="8" w:color="B2B3B6"/>
            </w:tcBorders>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100" w:type="dxa"/>
            <w:vAlign w:val="bottom"/>
            <w:tcBorders>
              <w:bottom w:val="single" w:sz="8" w:color="F2F3F2"/>
            </w:tcBorders>
            <w:shd w:val="clear" w:color="auto" w:fill="F2F3F2"/>
          </w:tcPr>
          <w:p>
            <w:pPr>
              <w:spacing w:after="0"/>
              <w:rPr>
                <w:sz w:val="15"/>
                <w:szCs w:val="15"/>
                <w:color w:val="auto"/>
              </w:rPr>
            </w:pPr>
          </w:p>
        </w:tc>
        <w:tc>
          <w:tcPr>
            <w:tcW w:w="2840" w:type="dxa"/>
            <w:vAlign w:val="bottom"/>
            <w:tcBorders>
              <w:bottom w:val="single" w:sz="8" w:color="B2B3B6"/>
            </w:tcBorders>
            <w:shd w:val="clear" w:color="auto" w:fill="F2F3F2"/>
          </w:tcPr>
          <w:p>
            <w:pPr>
              <w:spacing w:after="0"/>
              <w:rPr>
                <w:sz w:val="15"/>
                <w:szCs w:val="15"/>
                <w:color w:val="auto"/>
              </w:rPr>
            </w:pPr>
          </w:p>
        </w:tc>
        <w:tc>
          <w:tcPr>
            <w:tcW w:w="180" w:type="dxa"/>
            <w:vAlign w:val="bottom"/>
            <w:tcBorders>
              <w:bottom w:val="single" w:sz="8" w:color="F2F3F2"/>
            </w:tcBorders>
            <w:shd w:val="clear" w:color="auto" w:fill="F2F3F2"/>
          </w:tcPr>
          <w:p>
            <w:pPr>
              <w:spacing w:after="0"/>
              <w:rPr>
                <w:sz w:val="15"/>
                <w:szCs w:val="15"/>
                <w:color w:val="auto"/>
              </w:rPr>
            </w:pPr>
          </w:p>
        </w:tc>
        <w:tc>
          <w:tcPr>
            <w:tcW w:w="2820" w:type="dxa"/>
            <w:vAlign w:val="bottom"/>
            <w:tcBorders>
              <w:bottom w:val="single" w:sz="8" w:color="B2B3B6"/>
            </w:tcBorders>
            <w:shd w:val="clear" w:color="auto" w:fill="F2F3F2"/>
          </w:tcPr>
          <w:p>
            <w:pPr>
              <w:spacing w:after="0"/>
              <w:rPr>
                <w:sz w:val="15"/>
                <w:szCs w:val="15"/>
                <w:color w:val="auto"/>
              </w:rPr>
            </w:pPr>
          </w:p>
        </w:tc>
        <w:tc>
          <w:tcPr>
            <w:tcW w:w="100" w:type="dxa"/>
            <w:vAlign w:val="bottom"/>
            <w:tcBorders>
              <w:bottom w:val="single" w:sz="8" w:color="F2F3F2"/>
            </w:tcBorders>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shd w:val="clear" w:color="auto" w:fill="F2F3F2"/>
          </w:tcPr>
          <w:p>
            <w:pPr>
              <w:spacing w:after="0"/>
              <w:rPr>
                <w:sz w:val="13"/>
                <w:szCs w:val="13"/>
                <w:color w:val="auto"/>
              </w:rPr>
            </w:pPr>
          </w:p>
        </w:tc>
        <w:tc>
          <w:tcPr>
            <w:tcW w:w="2840" w:type="dxa"/>
            <w:vAlign w:val="bottom"/>
            <w:shd w:val="clear" w:color="auto" w:fill="F2F3F2"/>
          </w:tcPr>
          <w:p>
            <w:pPr>
              <w:spacing w:after="0"/>
              <w:rPr>
                <w:sz w:val="13"/>
                <w:szCs w:val="13"/>
                <w:color w:val="auto"/>
              </w:rPr>
            </w:pPr>
          </w:p>
        </w:tc>
        <w:tc>
          <w:tcPr>
            <w:tcW w:w="180" w:type="dxa"/>
            <w:vAlign w:val="bottom"/>
            <w:shd w:val="clear" w:color="auto" w:fill="F2F3F2"/>
          </w:tcPr>
          <w:p>
            <w:pPr>
              <w:spacing w:after="0"/>
              <w:rPr>
                <w:sz w:val="13"/>
                <w:szCs w:val="13"/>
                <w:color w:val="auto"/>
              </w:rPr>
            </w:pPr>
          </w:p>
        </w:tc>
        <w:tc>
          <w:tcPr>
            <w:tcW w:w="2820" w:type="dxa"/>
            <w:vAlign w:val="bottom"/>
            <w:shd w:val="clear" w:color="auto" w:fill="F2F3F2"/>
          </w:tcPr>
          <w:p>
            <w:pPr>
              <w:spacing w:after="0"/>
              <w:rPr>
                <w:sz w:val="13"/>
                <w:szCs w:val="13"/>
                <w:color w:val="auto"/>
              </w:rPr>
            </w:pPr>
          </w:p>
        </w:tc>
        <w:tc>
          <w:tcPr>
            <w:tcW w:w="100" w:type="dxa"/>
            <w:vAlign w:val="bottom"/>
            <w:shd w:val="clear" w:color="auto" w:fill="F2F3F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00" w:type="dxa"/>
        <w:tblCellMar>
          <w:top w:w="0" w:type="dxa"/>
          <w:left w:w="0" w:type="dxa"/>
          <w:bottom w:w="0" w:type="dxa"/>
          <w:right w:w="0" w:type="dxa"/>
        </w:tblCellMar>
      </w:tblPr>
      <w:tr>
        <w:trPr>
          <w:trHeight w:val="303"/>
        </w:trPr>
        <w:tc>
          <w:tcPr>
            <w:tcW w:w="3040" w:type="dxa"/>
            <w:vAlign w:val="bottom"/>
            <w:gridSpan w:val="2"/>
          </w:tcPr>
          <w:p>
            <w:pPr>
              <w:ind w:left="520"/>
              <w:spacing w:after="0"/>
              <w:rPr>
                <w:sz w:val="20"/>
                <w:szCs w:val="20"/>
                <w:color w:val="auto"/>
              </w:rPr>
            </w:pPr>
            <w:r>
              <w:rPr>
                <w:rFonts w:ascii="Arial" w:cs="Arial" w:eastAsia="Arial" w:hAnsi="Arial"/>
                <w:sz w:val="22"/>
                <w:szCs w:val="22"/>
                <w:color w:val="6AAA37"/>
              </w:rPr>
              <w:t>28 outdoor areas</w:t>
            </w:r>
          </w:p>
        </w:tc>
        <w:tc>
          <w:tcPr>
            <w:tcW w:w="2840" w:type="dxa"/>
            <w:vAlign w:val="bottom"/>
            <w:shd w:val="clear" w:color="auto" w:fill="F2F3F2"/>
          </w:tcPr>
          <w:p>
            <w:pPr>
              <w:jc w:val="center"/>
              <w:ind w:right="71"/>
              <w:spacing w:after="0"/>
              <w:rPr>
                <w:sz w:val="20"/>
                <w:szCs w:val="20"/>
                <w:color w:val="auto"/>
              </w:rPr>
            </w:pPr>
            <w:r>
              <w:rPr>
                <w:rFonts w:ascii="Arial" w:cs="Arial" w:eastAsia="Arial" w:hAnsi="Arial"/>
                <w:sz w:val="22"/>
                <w:szCs w:val="22"/>
                <w:color w:val="6AAA37"/>
                <w:w w:val="98"/>
              </w:rPr>
              <w:t>74,900 items</w:t>
            </w:r>
          </w:p>
        </w:tc>
        <w:tc>
          <w:tcPr>
            <w:tcW w:w="180" w:type="dxa"/>
            <w:vAlign w:val="bottom"/>
            <w:shd w:val="clear" w:color="auto" w:fill="F2F3F2"/>
          </w:tcPr>
          <w:p>
            <w:pPr>
              <w:spacing w:after="0"/>
              <w:rPr>
                <w:sz w:val="24"/>
                <w:szCs w:val="24"/>
                <w:color w:val="auto"/>
              </w:rPr>
            </w:pPr>
          </w:p>
        </w:tc>
        <w:tc>
          <w:tcPr>
            <w:tcW w:w="2920" w:type="dxa"/>
            <w:vAlign w:val="bottom"/>
            <w:gridSpan w:val="2"/>
            <w:shd w:val="clear" w:color="auto" w:fill="F2F3F2"/>
          </w:tcPr>
          <w:p>
            <w:pPr>
              <w:jc w:val="center"/>
              <w:ind w:right="260"/>
              <w:spacing w:after="0"/>
              <w:rPr>
                <w:sz w:val="20"/>
                <w:szCs w:val="20"/>
                <w:color w:val="auto"/>
              </w:rPr>
            </w:pPr>
            <w:r>
              <w:rPr>
                <w:rFonts w:ascii="Arial" w:cs="Arial" w:eastAsia="Arial" w:hAnsi="Arial"/>
                <w:sz w:val="22"/>
                <w:szCs w:val="22"/>
                <w:color w:val="6AAA37"/>
                <w:w w:val="99"/>
              </w:rPr>
              <w:t>800 animals</w:t>
            </w:r>
          </w:p>
        </w:tc>
        <w:tc>
          <w:tcPr>
            <w:tcW w:w="0" w:type="dxa"/>
            <w:vAlign w:val="bottom"/>
          </w:tcPr>
          <w:p>
            <w:pPr>
              <w:spacing w:after="0"/>
              <w:rPr>
                <w:sz w:val="1"/>
                <w:szCs w:val="1"/>
                <w:color w:val="auto"/>
              </w:rPr>
            </w:pPr>
          </w:p>
        </w:tc>
      </w:tr>
      <w:tr>
        <w:trPr>
          <w:trHeight w:val="202"/>
        </w:trPr>
        <w:tc>
          <w:tcPr>
            <w:tcW w:w="3040" w:type="dxa"/>
            <w:vAlign w:val="bottom"/>
            <w:gridSpan w:val="2"/>
          </w:tcPr>
          <w:p>
            <w:pPr>
              <w:jc w:val="center"/>
              <w:ind w:right="180"/>
              <w:spacing w:after="0"/>
              <w:rPr>
                <w:sz w:val="20"/>
                <w:szCs w:val="20"/>
                <w:color w:val="auto"/>
              </w:rPr>
            </w:pPr>
            <w:r>
              <w:rPr>
                <w:rFonts w:ascii="Arial" w:cs="Arial" w:eastAsia="Arial" w:hAnsi="Arial"/>
                <w:sz w:val="16"/>
                <w:szCs w:val="16"/>
                <w:color w:val="auto"/>
              </w:rPr>
              <w:t>Weeded, landscaped, cleaned and</w:t>
            </w:r>
          </w:p>
        </w:tc>
        <w:tc>
          <w:tcPr>
            <w:tcW w:w="284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Sorted, inventoried and restored more</w:t>
            </w:r>
          </w:p>
        </w:tc>
        <w:tc>
          <w:tcPr>
            <w:tcW w:w="180" w:type="dxa"/>
            <w:vAlign w:val="bottom"/>
            <w:shd w:val="clear" w:color="auto" w:fill="F2F3F2"/>
          </w:tcPr>
          <w:p>
            <w:pPr>
              <w:spacing w:after="0"/>
              <w:rPr>
                <w:sz w:val="17"/>
                <w:szCs w:val="17"/>
                <w:color w:val="auto"/>
              </w:rPr>
            </w:pPr>
          </w:p>
        </w:tc>
        <w:tc>
          <w:tcPr>
            <w:tcW w:w="2920" w:type="dxa"/>
            <w:vAlign w:val="bottom"/>
            <w:gridSpan w:val="2"/>
            <w:shd w:val="clear" w:color="auto" w:fill="F2F3F2"/>
          </w:tcPr>
          <w:p>
            <w:pPr>
              <w:jc w:val="center"/>
              <w:ind w:right="100"/>
              <w:spacing w:after="0"/>
              <w:rPr>
                <w:sz w:val="20"/>
                <w:szCs w:val="20"/>
                <w:color w:val="auto"/>
              </w:rPr>
            </w:pPr>
            <w:r>
              <w:rPr>
                <w:rFonts w:ascii="Arial" w:cs="Arial" w:eastAsia="Arial" w:hAnsi="Arial"/>
                <w:sz w:val="16"/>
                <w:szCs w:val="16"/>
                <w:color w:val="auto"/>
              </w:rPr>
              <w:t>Supported more than 800 animals by</w:t>
            </w:r>
          </w:p>
        </w:tc>
        <w:tc>
          <w:tcPr>
            <w:tcW w:w="0" w:type="dxa"/>
            <w:vAlign w:val="bottom"/>
          </w:tcPr>
          <w:p>
            <w:pPr>
              <w:spacing w:after="0"/>
              <w:rPr>
                <w:sz w:val="1"/>
                <w:szCs w:val="1"/>
                <w:color w:val="auto"/>
              </w:rPr>
            </w:pPr>
          </w:p>
        </w:tc>
      </w:tr>
      <w:tr>
        <w:trPr>
          <w:trHeight w:val="203"/>
        </w:trPr>
        <w:tc>
          <w:tcPr>
            <w:tcW w:w="3040" w:type="dxa"/>
            <w:vAlign w:val="bottom"/>
            <w:gridSpan w:val="2"/>
          </w:tcPr>
          <w:p>
            <w:pPr>
              <w:jc w:val="center"/>
              <w:ind w:right="180"/>
              <w:spacing w:after="0"/>
              <w:rPr>
                <w:sz w:val="20"/>
                <w:szCs w:val="20"/>
                <w:color w:val="auto"/>
              </w:rPr>
            </w:pPr>
            <w:r>
              <w:rPr>
                <w:rFonts w:ascii="Arial" w:cs="Arial" w:eastAsia="Arial" w:hAnsi="Arial"/>
                <w:sz w:val="16"/>
                <w:szCs w:val="16"/>
                <w:color w:val="auto"/>
              </w:rPr>
              <w:t>maintained 28 different parks,</w:t>
            </w:r>
          </w:p>
        </w:tc>
        <w:tc>
          <w:tcPr>
            <w:tcW w:w="284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than 74,900 donated goods to be</w:t>
            </w:r>
          </w:p>
        </w:tc>
        <w:tc>
          <w:tcPr>
            <w:tcW w:w="180" w:type="dxa"/>
            <w:vAlign w:val="bottom"/>
            <w:shd w:val="clear" w:color="auto" w:fill="F2F3F2"/>
          </w:tcPr>
          <w:p>
            <w:pPr>
              <w:spacing w:after="0"/>
              <w:rPr>
                <w:sz w:val="17"/>
                <w:szCs w:val="17"/>
                <w:color w:val="auto"/>
              </w:rPr>
            </w:pPr>
          </w:p>
        </w:tc>
        <w:tc>
          <w:tcPr>
            <w:tcW w:w="2920" w:type="dxa"/>
            <w:vAlign w:val="bottom"/>
            <w:gridSpan w:val="2"/>
            <w:shd w:val="clear" w:color="auto" w:fill="F2F3F2"/>
          </w:tcPr>
          <w:p>
            <w:pPr>
              <w:jc w:val="center"/>
              <w:ind w:right="80"/>
              <w:spacing w:after="0"/>
              <w:rPr>
                <w:sz w:val="20"/>
                <w:szCs w:val="20"/>
                <w:color w:val="auto"/>
              </w:rPr>
            </w:pPr>
            <w:r>
              <w:rPr>
                <w:rFonts w:ascii="Arial" w:cs="Arial" w:eastAsia="Arial" w:hAnsi="Arial"/>
                <w:sz w:val="16"/>
                <w:szCs w:val="16"/>
                <w:color w:val="auto"/>
              </w:rPr>
              <w:t>assisting at local animal shelters</w:t>
            </w:r>
          </w:p>
        </w:tc>
        <w:tc>
          <w:tcPr>
            <w:tcW w:w="0" w:type="dxa"/>
            <w:vAlign w:val="bottom"/>
          </w:tcPr>
          <w:p>
            <w:pPr>
              <w:spacing w:after="0"/>
              <w:rPr>
                <w:sz w:val="1"/>
                <w:szCs w:val="1"/>
                <w:color w:val="auto"/>
              </w:rPr>
            </w:pPr>
          </w:p>
        </w:tc>
      </w:tr>
      <w:tr>
        <w:trPr>
          <w:trHeight w:val="189"/>
        </w:trPr>
        <w:tc>
          <w:tcPr>
            <w:tcW w:w="3040" w:type="dxa"/>
            <w:vAlign w:val="bottom"/>
            <w:gridSpan w:val="2"/>
          </w:tcPr>
          <w:p>
            <w:pPr>
              <w:jc w:val="center"/>
              <w:ind w:right="180"/>
              <w:spacing w:after="0"/>
              <w:rPr>
                <w:sz w:val="20"/>
                <w:szCs w:val="20"/>
                <w:color w:val="auto"/>
              </w:rPr>
            </w:pPr>
            <w:r>
              <w:rPr>
                <w:rFonts w:ascii="Arial" w:cs="Arial" w:eastAsia="Arial" w:hAnsi="Arial"/>
                <w:sz w:val="16"/>
                <w:szCs w:val="16"/>
                <w:color w:val="auto"/>
              </w:rPr>
              <w:t>gardens, beaches and farms across</w:t>
            </w:r>
          </w:p>
        </w:tc>
        <w:tc>
          <w:tcPr>
            <w:tcW w:w="284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distributed to local communities</w:t>
            </w:r>
          </w:p>
        </w:tc>
        <w:tc>
          <w:tcPr>
            <w:tcW w:w="180" w:type="dxa"/>
            <w:vAlign w:val="bottom"/>
            <w:shd w:val="clear" w:color="auto" w:fill="F2F3F2"/>
          </w:tcPr>
          <w:p>
            <w:pPr>
              <w:spacing w:after="0"/>
              <w:rPr>
                <w:sz w:val="16"/>
                <w:szCs w:val="16"/>
                <w:color w:val="auto"/>
              </w:rPr>
            </w:pPr>
          </w:p>
        </w:tc>
        <w:tc>
          <w:tcPr>
            <w:tcW w:w="2820" w:type="dxa"/>
            <w:vAlign w:val="bottom"/>
            <w:shd w:val="clear" w:color="auto" w:fill="F2F3F2"/>
          </w:tcPr>
          <w:p>
            <w:pPr>
              <w:spacing w:after="0"/>
              <w:rPr>
                <w:sz w:val="16"/>
                <w:szCs w:val="16"/>
                <w:color w:val="auto"/>
              </w:rPr>
            </w:pPr>
          </w:p>
        </w:tc>
        <w:tc>
          <w:tcPr>
            <w:tcW w:w="10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40" w:type="dxa"/>
            <w:vAlign w:val="bottom"/>
            <w:gridSpan w:val="2"/>
          </w:tcPr>
          <w:p>
            <w:pPr>
              <w:jc w:val="center"/>
              <w:ind w:right="180"/>
              <w:spacing w:after="0"/>
              <w:rPr>
                <w:sz w:val="20"/>
                <w:szCs w:val="20"/>
                <w:color w:val="auto"/>
              </w:rPr>
            </w:pPr>
            <w:r>
              <w:rPr>
                <w:rFonts w:ascii="Arial" w:cs="Arial" w:eastAsia="Arial" w:hAnsi="Arial"/>
                <w:sz w:val="16"/>
                <w:szCs w:val="16"/>
                <w:color w:val="auto"/>
              </w:rPr>
              <w:t>the globe</w:t>
            </w:r>
          </w:p>
        </w:tc>
        <w:tc>
          <w:tcPr>
            <w:tcW w:w="2840" w:type="dxa"/>
            <w:vAlign w:val="bottom"/>
            <w:shd w:val="clear" w:color="auto" w:fill="F2F3F2"/>
          </w:tcPr>
          <w:p>
            <w:pPr>
              <w:spacing w:after="0"/>
              <w:rPr>
                <w:sz w:val="18"/>
                <w:szCs w:val="18"/>
                <w:color w:val="auto"/>
              </w:rPr>
            </w:pPr>
          </w:p>
        </w:tc>
        <w:tc>
          <w:tcPr>
            <w:tcW w:w="180" w:type="dxa"/>
            <w:vAlign w:val="bottom"/>
            <w:shd w:val="clear" w:color="auto" w:fill="F2F3F2"/>
          </w:tcPr>
          <w:p>
            <w:pPr>
              <w:spacing w:after="0"/>
              <w:rPr>
                <w:sz w:val="18"/>
                <w:szCs w:val="18"/>
                <w:color w:val="auto"/>
              </w:rPr>
            </w:pPr>
          </w:p>
        </w:tc>
        <w:tc>
          <w:tcPr>
            <w:tcW w:w="2820" w:type="dxa"/>
            <w:vAlign w:val="bottom"/>
            <w:shd w:val="clear" w:color="auto" w:fill="F2F3F2"/>
          </w:tcPr>
          <w:p>
            <w:pPr>
              <w:spacing w:after="0"/>
              <w:rPr>
                <w:sz w:val="18"/>
                <w:szCs w:val="18"/>
                <w:color w:val="auto"/>
              </w:rPr>
            </w:pPr>
          </w:p>
        </w:tc>
        <w:tc>
          <w:tcPr>
            <w:tcW w:w="10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60" w:type="dxa"/>
            <w:vAlign w:val="bottom"/>
            <w:tcBorders>
              <w:bottom w:val="single" w:sz="8" w:color="B2B3B6"/>
            </w:tcBorders>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Borders>
              <w:bottom w:val="single" w:sz="8" w:color="B2B3B6"/>
            </w:tcBorders>
            <w:shd w:val="clear" w:color="auto" w:fill="F2F3F2"/>
          </w:tcPr>
          <w:p>
            <w:pPr>
              <w:spacing w:after="0"/>
              <w:rPr>
                <w:sz w:val="18"/>
                <w:szCs w:val="18"/>
                <w:color w:val="auto"/>
              </w:rPr>
            </w:pPr>
          </w:p>
        </w:tc>
        <w:tc>
          <w:tcPr>
            <w:tcW w:w="180" w:type="dxa"/>
            <w:vAlign w:val="bottom"/>
            <w:tcBorders>
              <w:bottom w:val="single" w:sz="8" w:color="F2F3F2"/>
            </w:tcBorders>
            <w:shd w:val="clear" w:color="auto" w:fill="F2F3F2"/>
          </w:tcPr>
          <w:p>
            <w:pPr>
              <w:spacing w:after="0"/>
              <w:rPr>
                <w:sz w:val="18"/>
                <w:szCs w:val="18"/>
                <w:color w:val="auto"/>
              </w:rPr>
            </w:pPr>
          </w:p>
        </w:tc>
        <w:tc>
          <w:tcPr>
            <w:tcW w:w="2820" w:type="dxa"/>
            <w:vAlign w:val="bottom"/>
            <w:tcBorders>
              <w:bottom w:val="single" w:sz="8" w:color="B2B3B6"/>
            </w:tcBorders>
            <w:shd w:val="clear" w:color="auto" w:fill="F2F3F2"/>
          </w:tcPr>
          <w:p>
            <w:pPr>
              <w:spacing w:after="0"/>
              <w:rPr>
                <w:sz w:val="18"/>
                <w:szCs w:val="18"/>
                <w:color w:val="auto"/>
              </w:rPr>
            </w:pPr>
          </w:p>
        </w:tc>
        <w:tc>
          <w:tcPr>
            <w:tcW w:w="100" w:type="dxa"/>
            <w:vAlign w:val="bottom"/>
            <w:tcBorders>
              <w:bottom w:val="single" w:sz="8" w:color="F2F3F2"/>
            </w:tcBorders>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040" w:type="dxa"/>
            <w:vAlign w:val="bottom"/>
            <w:gridSpan w:val="2"/>
          </w:tcPr>
          <w:p>
            <w:pPr>
              <w:ind w:left="680"/>
              <w:spacing w:after="0"/>
              <w:rPr>
                <w:sz w:val="20"/>
                <w:szCs w:val="20"/>
                <w:color w:val="auto"/>
              </w:rPr>
            </w:pPr>
            <w:r>
              <w:rPr>
                <w:rFonts w:ascii="Arial" w:cs="Arial" w:eastAsia="Arial" w:hAnsi="Arial"/>
                <w:sz w:val="22"/>
                <w:szCs w:val="22"/>
                <w:color w:val="6AAA37"/>
              </w:rPr>
              <w:t>14 homes and</w:t>
            </w:r>
          </w:p>
        </w:tc>
        <w:tc>
          <w:tcPr>
            <w:tcW w:w="2840" w:type="dxa"/>
            <w:vAlign w:val="bottom"/>
            <w:shd w:val="clear" w:color="auto" w:fill="F2F3F2"/>
          </w:tcPr>
          <w:p>
            <w:pPr>
              <w:jc w:val="center"/>
              <w:ind w:right="71"/>
              <w:spacing w:after="0"/>
              <w:rPr>
                <w:sz w:val="20"/>
                <w:szCs w:val="20"/>
                <w:color w:val="auto"/>
              </w:rPr>
            </w:pPr>
            <w:r>
              <w:rPr>
                <w:rFonts w:ascii="Arial" w:cs="Arial" w:eastAsia="Arial" w:hAnsi="Arial"/>
                <w:sz w:val="22"/>
                <w:szCs w:val="22"/>
                <w:color w:val="6AAA37"/>
                <w:w w:val="99"/>
              </w:rPr>
              <w:t>450 youth</w:t>
            </w:r>
          </w:p>
        </w:tc>
        <w:tc>
          <w:tcPr>
            <w:tcW w:w="180" w:type="dxa"/>
            <w:vAlign w:val="bottom"/>
            <w:shd w:val="clear" w:color="auto" w:fill="F2F3F2"/>
          </w:tcPr>
          <w:p>
            <w:pPr>
              <w:spacing w:after="0"/>
              <w:rPr>
                <w:sz w:val="24"/>
                <w:szCs w:val="24"/>
                <w:color w:val="auto"/>
              </w:rPr>
            </w:pPr>
          </w:p>
        </w:tc>
        <w:tc>
          <w:tcPr>
            <w:tcW w:w="2820" w:type="dxa"/>
            <w:vAlign w:val="bottom"/>
            <w:shd w:val="clear" w:color="auto" w:fill="F2F3F2"/>
          </w:tcPr>
          <w:p>
            <w:pPr>
              <w:ind w:left="360"/>
              <w:spacing w:after="0"/>
              <w:rPr>
                <w:sz w:val="20"/>
                <w:szCs w:val="20"/>
                <w:color w:val="auto"/>
              </w:rPr>
            </w:pPr>
            <w:r>
              <w:rPr>
                <w:rFonts w:ascii="Arial" w:cs="Arial" w:eastAsia="Arial" w:hAnsi="Arial"/>
                <w:sz w:val="22"/>
                <w:szCs w:val="22"/>
                <w:color w:val="6AAA37"/>
              </w:rPr>
              <w:t>810 individuals with</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ind w:left="260"/>
              <w:spacing w:after="0"/>
              <w:rPr>
                <w:sz w:val="20"/>
                <w:szCs w:val="20"/>
                <w:color w:val="auto"/>
              </w:rPr>
            </w:pPr>
            <w:r>
              <w:rPr>
                <w:rFonts w:ascii="Arial" w:cs="Arial" w:eastAsia="Arial" w:hAnsi="Arial"/>
                <w:sz w:val="22"/>
                <w:szCs w:val="22"/>
                <w:color w:val="6AAA37"/>
              </w:rPr>
              <w:t>community buildings</w:t>
            </w:r>
          </w:p>
        </w:tc>
        <w:tc>
          <w:tcPr>
            <w:tcW w:w="284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Tutored, coached and mentored more</w:t>
            </w:r>
          </w:p>
        </w:tc>
        <w:tc>
          <w:tcPr>
            <w:tcW w:w="180" w:type="dxa"/>
            <w:vAlign w:val="bottom"/>
            <w:shd w:val="clear" w:color="auto" w:fill="F2F3F2"/>
          </w:tcPr>
          <w:p>
            <w:pPr>
              <w:spacing w:after="0"/>
              <w:rPr>
                <w:sz w:val="22"/>
                <w:szCs w:val="22"/>
                <w:color w:val="auto"/>
              </w:rPr>
            </w:pPr>
          </w:p>
        </w:tc>
        <w:tc>
          <w:tcPr>
            <w:tcW w:w="2820" w:type="dxa"/>
            <w:vAlign w:val="bottom"/>
            <w:shd w:val="clear" w:color="auto" w:fill="F2F3F2"/>
          </w:tcPr>
          <w:p>
            <w:pPr>
              <w:jc w:val="center"/>
              <w:ind w:right="49"/>
              <w:spacing w:after="0"/>
              <w:rPr>
                <w:sz w:val="20"/>
                <w:szCs w:val="20"/>
                <w:color w:val="auto"/>
              </w:rPr>
            </w:pPr>
            <w:r>
              <w:rPr>
                <w:rFonts w:ascii="Arial" w:cs="Arial" w:eastAsia="Arial" w:hAnsi="Arial"/>
                <w:sz w:val="22"/>
                <w:szCs w:val="22"/>
                <w:color w:val="6AAA37"/>
                <w:w w:val="98"/>
              </w:rPr>
              <w:t>disabilities</w:t>
            </w:r>
          </w:p>
        </w:tc>
        <w:tc>
          <w:tcPr>
            <w:tcW w:w="100" w:type="dxa"/>
            <w:vAlign w:val="bottom"/>
            <w:shd w:val="clear" w:color="auto" w:fill="F2F3F2"/>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4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rPr>
              <w:t>Cleaned, painted and rehabbed 14</w:t>
            </w:r>
          </w:p>
        </w:tc>
        <w:tc>
          <w:tcPr>
            <w:tcW w:w="284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than 450 youth</w:t>
            </w:r>
          </w:p>
        </w:tc>
        <w:tc>
          <w:tcPr>
            <w:tcW w:w="180" w:type="dxa"/>
            <w:vAlign w:val="bottom"/>
            <w:shd w:val="clear" w:color="auto" w:fill="F2F3F2"/>
          </w:tcPr>
          <w:p>
            <w:pPr>
              <w:spacing w:after="0"/>
              <w:rPr>
                <w:sz w:val="18"/>
                <w:szCs w:val="18"/>
                <w:color w:val="auto"/>
              </w:rPr>
            </w:pPr>
          </w:p>
        </w:tc>
        <w:tc>
          <w:tcPr>
            <w:tcW w:w="2820" w:type="dxa"/>
            <w:vAlign w:val="bottom"/>
            <w:vMerge w:val="restart"/>
            <w:shd w:val="clear" w:color="auto" w:fill="F2F3F2"/>
          </w:tcPr>
          <w:p>
            <w:pPr>
              <w:jc w:val="center"/>
              <w:spacing w:after="0"/>
              <w:rPr>
                <w:sz w:val="20"/>
                <w:szCs w:val="20"/>
                <w:color w:val="auto"/>
              </w:rPr>
            </w:pPr>
            <w:r>
              <w:rPr>
                <w:rFonts w:ascii="Arial" w:cs="Arial" w:eastAsia="Arial" w:hAnsi="Arial"/>
                <w:sz w:val="16"/>
                <w:szCs w:val="16"/>
                <w:color w:val="auto"/>
              </w:rPr>
              <w:t>Assisted 810 individuals with</w:t>
            </w:r>
          </w:p>
        </w:tc>
        <w:tc>
          <w:tcPr>
            <w:tcW w:w="10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040" w:type="dxa"/>
            <w:vAlign w:val="bottom"/>
            <w:gridSpan w:val="2"/>
            <w:vMerge w:val="continue"/>
          </w:tcPr>
          <w:p>
            <w:pPr>
              <w:spacing w:after="0"/>
              <w:rPr>
                <w:sz w:val="3"/>
                <w:szCs w:val="3"/>
                <w:color w:val="auto"/>
              </w:rPr>
            </w:pPr>
          </w:p>
        </w:tc>
        <w:tc>
          <w:tcPr>
            <w:tcW w:w="2840" w:type="dxa"/>
            <w:vAlign w:val="bottom"/>
            <w:shd w:val="clear" w:color="auto" w:fill="F2F3F2"/>
          </w:tcPr>
          <w:p>
            <w:pPr>
              <w:spacing w:after="0"/>
              <w:rPr>
                <w:sz w:val="3"/>
                <w:szCs w:val="3"/>
                <w:color w:val="auto"/>
              </w:rPr>
            </w:pPr>
          </w:p>
        </w:tc>
        <w:tc>
          <w:tcPr>
            <w:tcW w:w="180" w:type="dxa"/>
            <w:vAlign w:val="bottom"/>
            <w:shd w:val="clear" w:color="auto" w:fill="F2F3F2"/>
          </w:tcPr>
          <w:p>
            <w:pPr>
              <w:spacing w:after="0"/>
              <w:rPr>
                <w:sz w:val="3"/>
                <w:szCs w:val="3"/>
                <w:color w:val="auto"/>
              </w:rPr>
            </w:pPr>
          </w:p>
        </w:tc>
        <w:tc>
          <w:tcPr>
            <w:tcW w:w="2820" w:type="dxa"/>
            <w:vAlign w:val="bottom"/>
            <w:vMerge w:val="continue"/>
            <w:shd w:val="clear" w:color="auto" w:fill="F2F3F2"/>
          </w:tcPr>
          <w:p>
            <w:pPr>
              <w:spacing w:after="0"/>
              <w:rPr>
                <w:sz w:val="3"/>
                <w:szCs w:val="3"/>
                <w:color w:val="auto"/>
              </w:rPr>
            </w:pPr>
          </w:p>
        </w:tc>
        <w:tc>
          <w:tcPr>
            <w:tcW w:w="100" w:type="dxa"/>
            <w:vAlign w:val="bottom"/>
            <w:shd w:val="clear" w:color="auto" w:fill="F2F3F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jc w:val="center"/>
              <w:ind w:right="180"/>
              <w:spacing w:after="0"/>
              <w:rPr>
                <w:sz w:val="20"/>
                <w:szCs w:val="20"/>
                <w:color w:val="auto"/>
              </w:rPr>
            </w:pPr>
            <w:r>
              <w:rPr>
                <w:rFonts w:ascii="Arial" w:cs="Arial" w:eastAsia="Arial" w:hAnsi="Arial"/>
                <w:sz w:val="16"/>
                <w:szCs w:val="16"/>
                <w:color w:val="auto"/>
              </w:rPr>
              <w:t>homes, schools, shelters and</w:t>
            </w:r>
          </w:p>
        </w:tc>
        <w:tc>
          <w:tcPr>
            <w:tcW w:w="2840" w:type="dxa"/>
            <w:vAlign w:val="bottom"/>
            <w:shd w:val="clear" w:color="auto" w:fill="F2F3F2"/>
          </w:tcPr>
          <w:p>
            <w:pPr>
              <w:spacing w:after="0"/>
              <w:rPr>
                <w:sz w:val="17"/>
                <w:szCs w:val="17"/>
                <w:color w:val="auto"/>
              </w:rPr>
            </w:pPr>
          </w:p>
        </w:tc>
        <w:tc>
          <w:tcPr>
            <w:tcW w:w="180" w:type="dxa"/>
            <w:vAlign w:val="bottom"/>
            <w:shd w:val="clear" w:color="auto" w:fill="F2F3F2"/>
          </w:tcPr>
          <w:p>
            <w:pPr>
              <w:spacing w:after="0"/>
              <w:rPr>
                <w:sz w:val="17"/>
                <w:szCs w:val="17"/>
                <w:color w:val="auto"/>
              </w:rPr>
            </w:pPr>
          </w:p>
        </w:tc>
        <w:tc>
          <w:tcPr>
            <w:tcW w:w="282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disabilities through enrichment,</w:t>
            </w:r>
          </w:p>
        </w:tc>
        <w:tc>
          <w:tcPr>
            <w:tcW w:w="100" w:type="dxa"/>
            <w:vAlign w:val="bottom"/>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40" w:type="dxa"/>
            <w:vAlign w:val="bottom"/>
            <w:gridSpan w:val="2"/>
          </w:tcPr>
          <w:p>
            <w:pPr>
              <w:jc w:val="center"/>
              <w:ind w:right="180"/>
              <w:spacing w:after="0"/>
              <w:rPr>
                <w:sz w:val="20"/>
                <w:szCs w:val="20"/>
                <w:color w:val="auto"/>
              </w:rPr>
            </w:pPr>
            <w:r>
              <w:rPr>
                <w:rFonts w:ascii="Arial" w:cs="Arial" w:eastAsia="Arial" w:hAnsi="Arial"/>
                <w:sz w:val="16"/>
                <w:szCs w:val="16"/>
                <w:color w:val="auto"/>
              </w:rPr>
              <w:t>community buildings</w:t>
            </w:r>
          </w:p>
        </w:tc>
        <w:tc>
          <w:tcPr>
            <w:tcW w:w="2840" w:type="dxa"/>
            <w:vAlign w:val="bottom"/>
            <w:shd w:val="clear" w:color="auto" w:fill="F2F3F2"/>
          </w:tcPr>
          <w:p>
            <w:pPr>
              <w:spacing w:after="0"/>
              <w:rPr>
                <w:sz w:val="16"/>
                <w:szCs w:val="16"/>
                <w:color w:val="auto"/>
              </w:rPr>
            </w:pPr>
          </w:p>
        </w:tc>
        <w:tc>
          <w:tcPr>
            <w:tcW w:w="180" w:type="dxa"/>
            <w:vAlign w:val="bottom"/>
            <w:shd w:val="clear" w:color="auto" w:fill="F2F3F2"/>
          </w:tcPr>
          <w:p>
            <w:pPr>
              <w:spacing w:after="0"/>
              <w:rPr>
                <w:sz w:val="16"/>
                <w:szCs w:val="16"/>
                <w:color w:val="auto"/>
              </w:rPr>
            </w:pPr>
          </w:p>
        </w:tc>
        <w:tc>
          <w:tcPr>
            <w:tcW w:w="282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community building and social</w:t>
            </w:r>
          </w:p>
        </w:tc>
        <w:tc>
          <w:tcPr>
            <w:tcW w:w="10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40" w:type="dxa"/>
            <w:vAlign w:val="bottom"/>
            <w:shd w:val="clear" w:color="auto" w:fill="F2F3F2"/>
          </w:tcPr>
          <w:p>
            <w:pPr>
              <w:spacing w:after="0"/>
              <w:rPr>
                <w:sz w:val="23"/>
                <w:szCs w:val="23"/>
                <w:color w:val="auto"/>
              </w:rPr>
            </w:pPr>
          </w:p>
        </w:tc>
        <w:tc>
          <w:tcPr>
            <w:tcW w:w="180" w:type="dxa"/>
            <w:vAlign w:val="bottom"/>
            <w:shd w:val="clear" w:color="auto" w:fill="F2F3F2"/>
          </w:tcPr>
          <w:p>
            <w:pPr>
              <w:spacing w:after="0"/>
              <w:rPr>
                <w:sz w:val="23"/>
                <w:szCs w:val="23"/>
                <w:color w:val="auto"/>
              </w:rPr>
            </w:pPr>
          </w:p>
        </w:tc>
        <w:tc>
          <w:tcPr>
            <w:tcW w:w="2820" w:type="dxa"/>
            <w:vAlign w:val="bottom"/>
            <w:shd w:val="clear" w:color="auto" w:fill="F2F3F2"/>
          </w:tcPr>
          <w:p>
            <w:pPr>
              <w:spacing w:after="0"/>
              <w:rPr>
                <w:sz w:val="23"/>
                <w:szCs w:val="23"/>
                <w:color w:val="auto"/>
              </w:rPr>
            </w:pPr>
          </w:p>
        </w:tc>
        <w:tc>
          <w:tcPr>
            <w:tcW w:w="100" w:type="dxa"/>
            <w:vAlign w:val="bottom"/>
            <w:shd w:val="clear" w:color="auto" w:fill="F2F3F2"/>
          </w:tcPr>
          <w:p>
            <w:pPr>
              <w:spacing w:after="0"/>
              <w:rPr>
                <w:sz w:val="23"/>
                <w:szCs w:val="2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Action for a Sustainable Future</w:t>
      </w:r>
    </w:p>
    <w:p>
      <w:pPr>
        <w:spacing w:after="0" w:line="108"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color w:val="auto"/>
        </w:rPr>
        <w:t>We believe it is our duty to use natural resources responsibly and proactively to address environmental challenges around the globe where we operate. As a company with expanding international operations, we remain focused on collectively working to support the environment in the communities we serve.</w:t>
      </w:r>
    </w:p>
    <w:p>
      <w:pPr>
        <w:spacing w:after="0" w:line="84"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Our strategy for environmental sustainability focuses on strategic impact areas aligned with potential business risks and opportunities. As a professional services firm, we do not engage in manufacturing, product distribution, or hazardous waste</w:t>
      </w:r>
    </w:p>
    <w:p>
      <w:pPr>
        <w:spacing w:after="0" w:line="38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30</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299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2990850"/>
                    </a:xfrm>
                    <a:prstGeom prst="rect">
                      <a:avLst/>
                    </a:prstGeom>
                    <a:noFill/>
                  </pic:spPr>
                </pic:pic>
              </a:graphicData>
            </a:graphic>
          </wp:anchor>
        </w:drawing>
      </w:r>
    </w:p>
    <w:p>
      <w:pPr>
        <w:sectPr>
          <w:pgSz w:w="11900" w:h="16838" w:orient="portrait"/>
          <w:cols w:equalWidth="0" w:num="1">
            <w:col w:w="9080"/>
          </w:cols>
          <w:pgMar w:left="1400" w:top="342"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6AAA37"/>
        </w:rPr>
        <w:t xml:space="preserve">Corporate </w:t>
      </w:r>
      <w:r>
        <w:rPr>
          <w:rFonts w:ascii="Arial" w:cs="Arial" w:eastAsia="Arial" w:hAnsi="Arial"/>
          <w:sz w:val="13"/>
          <w:szCs w:val="13"/>
          <w:b w:val="1"/>
          <w:bCs w:val="1"/>
          <w:color w:val="B2B3B6"/>
        </w:rPr>
        <w:t>Proposal Executive</w:t>
      </w:r>
      <w:r>
        <w:rPr>
          <w:rFonts w:ascii="Arial" w:cs="Arial" w:eastAsia="Arial" w:hAnsi="Arial"/>
          <w:sz w:val="13"/>
          <w:szCs w:val="13"/>
          <w:b w:val="1"/>
          <w:bCs w:val="1"/>
          <w:color w:val="6AAA37"/>
        </w:rPr>
        <w:t xml:space="preserve"> Governance </w:t>
      </w:r>
      <w:r>
        <w:rPr>
          <w:rFonts w:ascii="Arial" w:cs="Arial" w:eastAsia="Arial" w:hAnsi="Arial"/>
          <w:sz w:val="13"/>
          <w:szCs w:val="13"/>
          <w:b w:val="1"/>
          <w:bCs w:val="1"/>
          <w:color w:val="B2B3B6"/>
        </w:rPr>
        <w:t>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342" w:right="1419" w:bottom="0" w:gutter="0" w:footer="0" w:header="0"/>
          <w:type w:val="continuous"/>
        </w:sectPr>
      </w:pPr>
    </w:p>
    <w:p>
      <w:pPr>
        <w:spacing w:after="0" w:line="9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generation. Instead, our operational carbon footprint primarily consists of Scope 1, 2, and 3 greenhouse gas (GHG) emissions generated through workplace electricity use and business travel for client engagements which we continue to measure. To advance our commitment to environmental sustainability, we are focused on enhancing measurement and disclosure of GHG emissions to improve transparency and accountability, identifying opportunities to reduce GHG emissions through operational efficiencies and to expand our use of renewable energy where possible, and refreshing our climate risk assessment to identify emerging risks and opportunities to integrate them into our enterprise risk management framework.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Responsibly</w:t>
      </w:r>
    </w:p>
    <w:p>
      <w:pPr>
        <w:spacing w:after="0" w:line="10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commitment to ethical business practices is foundational to our standing as a premier professional services firm. Holding our board, executives and employees to the highest ethical standards, we not only require compliance with applicable laws, rules and regulations, but also set forth additional standards that exceed legal requirements. This commitment extends to ethical leadership and cultivating a work environment characterized by integrity, transparency, responsibility and trust. Our Code of Business Conduct and Ethics (the “Code of Conduct”), which was updated as recently as February 2026, serves as a crucial framework to help our people understand expectations and standards governing individual and business conduct, enables sound decision-making, and continues to evolve to address emerging ethical considerations, such as responsible AI. In addition, Huron prohibits the use of Company funds, assets, services, or facilities on behalf of a political party or candidate</w:t>
      </w:r>
    </w:p>
    <w:p>
      <w:pPr>
        <w:sectPr>
          <w:pgSz w:w="11900" w:h="16838" w:orient="portrait"/>
          <w:cols w:equalWidth="0" w:num="1">
            <w:col w:w="9080"/>
          </w:cols>
          <w:pgMar w:left="1400" w:top="342" w:right="1419" w:bottom="0" w:gutter="0" w:footer="0" w:header="0"/>
          <w:type w:val="continuous"/>
        </w:sectPr>
      </w:pPr>
    </w:p>
    <w:bookmarkStart w:id="36" w:name="page37"/>
    <w:bookmarkEnd w:id="36"/>
    <w:p>
      <w:pPr>
        <w:spacing w:after="0" w:line="21" w:lineRule="exact"/>
        <w:rPr>
          <w:sz w:val="20"/>
          <w:szCs w:val="20"/>
          <w:color w:val="auto"/>
        </w:rPr>
      </w:pPr>
    </w:p>
    <w:p>
      <w:pPr>
        <w:ind w:right="279"/>
        <w:spacing w:after="0" w:line="209" w:lineRule="auto"/>
        <w:rPr>
          <w:sz w:val="20"/>
          <w:szCs w:val="20"/>
          <w:color w:val="auto"/>
        </w:rPr>
      </w:pPr>
      <w:r>
        <w:rPr>
          <w:rFonts w:ascii="Arial" w:cs="Arial" w:eastAsia="Arial" w:hAnsi="Arial"/>
          <w:sz w:val="16"/>
          <w:szCs w:val="16"/>
          <w:color w:val="auto"/>
        </w:rPr>
        <w:t>and the Company does not reimburse directors, executives or employees for any personal contributions made to a political party or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-186055</wp:posOffset>
            </wp:positionV>
            <wp:extent cx="6810375" cy="5865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586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00" w:right="1099" w:hanging="826"/>
        <w:spacing w:after="0" w:line="272" w:lineRule="auto"/>
        <w:rPr>
          <w:sz w:val="20"/>
          <w:szCs w:val="20"/>
          <w:color w:val="auto"/>
        </w:rPr>
      </w:pPr>
      <w:r>
        <w:rPr>
          <w:rFonts w:ascii="Arial" w:cs="Arial" w:eastAsia="Arial" w:hAnsi="Arial"/>
          <w:sz w:val="21"/>
          <w:szCs w:val="21"/>
          <w:b w:val="1"/>
          <w:bCs w:val="1"/>
          <w:color w:val="00558C"/>
        </w:rPr>
        <w:t>Visit our website at: https://ir.huronconsultinggroup.com/esg to learn more about our corporate social responsibility efforts and read our</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00558C"/>
        </w:rPr>
        <w:t>2025 Corporate Social Responsibility Report (CSR).</w:t>
      </w:r>
    </w:p>
    <w:p>
      <w:pPr>
        <w:spacing w:after="0" w:line="167" w:lineRule="exact"/>
        <w:rPr>
          <w:sz w:val="20"/>
          <w:szCs w:val="20"/>
          <w:color w:val="auto"/>
        </w:rPr>
      </w:pPr>
    </w:p>
    <w:p>
      <w:pPr>
        <w:ind w:left="2020" w:right="1199" w:hanging="1703"/>
        <w:spacing w:after="0" w:line="318" w:lineRule="auto"/>
        <w:rPr>
          <w:sz w:val="20"/>
          <w:szCs w:val="20"/>
          <w:color w:val="auto"/>
        </w:rPr>
      </w:pPr>
      <w:r>
        <w:rPr>
          <w:rFonts w:ascii="Arial" w:cs="Arial" w:eastAsia="Arial" w:hAnsi="Arial"/>
          <w:sz w:val="18"/>
          <w:szCs w:val="18"/>
          <w:color w:val="00558C"/>
        </w:rPr>
        <w:t>The CSR, inclusive of its exhibits, or any other information from the Huron website, are not part of, or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Stockholder Communications Policy</w:t>
      </w:r>
    </w:p>
    <w:p>
      <w:pPr>
        <w:spacing w:after="0" w:line="153" w:lineRule="exact"/>
        <w:rPr>
          <w:sz w:val="20"/>
          <w:szCs w:val="20"/>
          <w:color w:val="auto"/>
        </w:rPr>
      </w:pPr>
    </w:p>
    <w:p>
      <w:pPr>
        <w:ind w:right="239"/>
        <w:spacing w:after="0" w:line="301" w:lineRule="auto"/>
        <w:rPr>
          <w:sz w:val="20"/>
          <w:szCs w:val="20"/>
          <w:color w:val="auto"/>
        </w:rPr>
      </w:pPr>
      <w:r>
        <w:rPr>
          <w:rFonts w:ascii="Arial" w:cs="Arial" w:eastAsia="Arial" w:hAnsi="Arial"/>
          <w:sz w:val="16"/>
          <w:szCs w:val="16"/>
          <w:color w:val="auto"/>
        </w:rPr>
        <w:t>The board has established a process for stockholders to send communications to the Board of Directors. Stockholders may communicate with any member of the board, including the chairperson of any committee, an entire committee or the independent directors or all directors as a group, by sending written communications to:</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Secretary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Huron Consulting Group Inc.</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550 West Van Buren Street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17th Floor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Chicago, Illinois 60607</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E-mail messages should be sent to corporatesecretary@hcg.com.</w:t>
      </w:r>
    </w:p>
    <w:p>
      <w:pPr>
        <w:spacing w:after="0" w:line="181" w:lineRule="exact"/>
        <w:rPr>
          <w:sz w:val="20"/>
          <w:szCs w:val="20"/>
          <w:color w:val="auto"/>
        </w:rPr>
      </w:pPr>
    </w:p>
    <w:p>
      <w:pPr>
        <w:jc w:val="both"/>
        <w:ind w:right="299"/>
        <w:spacing w:after="0" w:line="321"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88" w:lineRule="exact"/>
        <w:rPr>
          <w:sz w:val="20"/>
          <w:szCs w:val="20"/>
          <w:color w:val="auto"/>
        </w:rPr>
      </w:pPr>
    </w:p>
    <w:p>
      <w:pPr>
        <w:jc w:val="both"/>
        <w:ind w:right="299"/>
        <w:spacing w:after="0" w:line="300" w:lineRule="auto"/>
        <w:rPr>
          <w:sz w:val="20"/>
          <w:szCs w:val="20"/>
          <w:color w:val="auto"/>
        </w:rPr>
      </w:pPr>
      <w:r>
        <w:rPr>
          <w:rFonts w:ascii="Arial" w:cs="Arial" w:eastAsia="Arial" w:hAnsi="Arial"/>
          <w:sz w:val="16"/>
          <w:szCs w:val="16"/>
          <w:color w:val="auto"/>
        </w:rPr>
        <w:t>Each communication intended for the board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4568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456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59" w:orient="portrait"/>
          <w:cols w:equalWidth="0" w:num="1">
            <w:col w:w="9059"/>
          </w:cols>
          <w:pgMar w:left="140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54"/>
          <w:szCs w:val="54"/>
          <w:color w:val="00558C"/>
        </w:rPr>
        <w:t>Proposal Two</w:t>
      </w:r>
    </w:p>
    <w:p>
      <w:pPr>
        <w:spacing w:after="0" w:line="117" w:lineRule="exact"/>
        <w:rPr>
          <w:sz w:val="20"/>
          <w:szCs w:val="20"/>
          <w:color w:val="auto"/>
        </w:rPr>
      </w:pPr>
    </w:p>
    <w:p>
      <w:pPr>
        <w:ind w:right="360"/>
        <w:spacing w:after="0" w:line="298" w:lineRule="auto"/>
        <w:rPr>
          <w:sz w:val="20"/>
          <w:szCs w:val="20"/>
          <w:color w:val="auto"/>
        </w:rPr>
      </w:pPr>
      <w:r>
        <w:rPr>
          <w:rFonts w:ascii="Arial" w:cs="Arial" w:eastAsia="Arial" w:hAnsi="Arial"/>
          <w:sz w:val="29"/>
          <w:szCs w:val="29"/>
          <w:b w:val="1"/>
          <w:bCs w:val="1"/>
          <w:color w:val="B2B3B6"/>
        </w:rPr>
        <w:t>Advisory Vote to Approve the Company’s Executive Compensation</w:t>
      </w:r>
    </w:p>
    <w:p>
      <w:pPr>
        <w:spacing w:after="0" w:line="25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asks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11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Company is asking you to vote FOR the adoption of the following resolution: “Resolved, that the compensation paid to our NEOs, as disclosed in this proxy statement pursuant to Item 402 of Regulation S-K of the Securities Exchange Act of 1934, including the Compensation Discussion and Analysis, compensation tables and narrative discussion, is hereby APPROVED.”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99"/>
        <w:spacing w:after="0" w:line="377" w:lineRule="auto"/>
        <w:rPr>
          <w:sz w:val="20"/>
          <w:szCs w:val="20"/>
          <w:color w:val="auto"/>
        </w:rPr>
      </w:pPr>
      <w:r>
        <w:rPr>
          <w:rFonts w:ascii="Arial" w:cs="Arial" w:eastAsia="Arial" w:hAnsi="Arial"/>
          <w:sz w:val="21"/>
          <w:szCs w:val="21"/>
          <w:b w:val="1"/>
          <w:bCs w:val="1"/>
          <w:color w:val="FFFFFF"/>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99"/>
        <w:spacing w:after="0" w:line="282" w:lineRule="auto"/>
        <w:rPr>
          <w:sz w:val="20"/>
          <w:szCs w:val="20"/>
          <w:color w:val="auto"/>
        </w:rPr>
      </w:pPr>
      <w:r>
        <w:rPr>
          <w:rFonts w:ascii="Arial" w:cs="Arial" w:eastAsia="Arial" w:hAnsi="Arial"/>
          <w:sz w:val="17"/>
          <w:szCs w:val="17"/>
          <w:color w:val="FFFFFF"/>
        </w:rPr>
        <w:t>The Board of Directors recommends that stockholders vote FOR the compensation of our</w:t>
      </w:r>
    </w:p>
    <w:p>
      <w:pPr>
        <w:sectPr>
          <w:pgSz w:w="11900" w:h="16859" w:orient="portrait"/>
          <w:cols w:equalWidth="0" w:num="2">
            <w:col w:w="6020" w:space="720"/>
            <w:col w:w="2319"/>
          </w:cols>
          <w:pgMar w:left="1400" w:top="114" w:right="1440" w:bottom="0" w:gutter="0" w:footer="0" w:header="0"/>
          <w:type w:val="continuous"/>
        </w:sectPr>
      </w:pPr>
    </w:p>
    <w:bookmarkStart w:id="37" w:name="page38"/>
    <w:bookmarkEnd w:id="37"/>
    <w:p>
      <w:pPr>
        <w:spacing w:after="0" w:line="105" w:lineRule="exact"/>
        <w:rPr>
          <w:sz w:val="20"/>
          <w:szCs w:val="20"/>
          <w:color w:val="auto"/>
        </w:rPr>
      </w:pPr>
    </w:p>
    <w:p>
      <w:pPr>
        <w:ind w:right="220"/>
        <w:spacing w:after="0" w:line="245" w:lineRule="auto"/>
        <w:rPr>
          <w:sz w:val="20"/>
          <w:szCs w:val="20"/>
          <w:color w:val="auto"/>
        </w:rPr>
      </w:pPr>
      <w:r>
        <w:rPr>
          <w:rFonts w:ascii="Arial" w:cs="Arial" w:eastAsia="Arial" w:hAnsi="Arial"/>
          <w:sz w:val="16"/>
          <w:szCs w:val="16"/>
          <w:color w:val="auto"/>
        </w:rPr>
        <w:t>The vote solicited by this proposal, commonly known as “say-on-pay,” is advisory in nature and will not be binding on the board, the Compensation Committee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-221615</wp:posOffset>
            </wp:positionV>
            <wp:extent cx="6810375" cy="42881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10375" cy="4288155"/>
                    </a:xfrm>
                    <a:prstGeom prst="rect">
                      <a:avLst/>
                    </a:prstGeom>
                    <a:noFill/>
                  </pic:spPr>
                </pic:pic>
              </a:graphicData>
            </a:graphic>
          </wp:anchor>
        </w:drawing>
      </w:r>
    </w:p>
    <w:p>
      <w:pPr>
        <w:ind w:right="220"/>
        <w:spacing w:after="0" w:line="300" w:lineRule="auto"/>
        <w:rPr>
          <w:sz w:val="20"/>
          <w:szCs w:val="20"/>
          <w:color w:val="auto"/>
        </w:rPr>
      </w:pPr>
      <w:r>
        <w:rPr>
          <w:rFonts w:ascii="Arial" w:cs="Arial" w:eastAsia="Arial" w:hAnsi="Arial"/>
          <w:sz w:val="16"/>
          <w:szCs w:val="16"/>
          <w:color w:val="auto"/>
        </w:rPr>
        <w:t>Huron. However, the board and the Compensation Committee value the opinions of our stockholders, will review the voting results and, to the extent determined appropriate, take into account the outcome of the vote during future deliberations on executive compensation arrangements.</w:t>
      </w:r>
    </w:p>
    <w:p>
      <w:pPr>
        <w:spacing w:after="0" w:line="10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140" w:lineRule="exact"/>
        <w:rPr>
          <w:sz w:val="20"/>
          <w:szCs w:val="20"/>
          <w:color w:val="auto"/>
        </w:rPr>
      </w:pPr>
    </w:p>
    <w:p>
      <w:pPr>
        <w:ind w:right="400"/>
        <w:spacing w:after="0" w:line="290"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therefore will have no effect on the outcome of the proposal. Proxies submitted pursuant to this solicitation will be voted “FOR” the approval of the advisory vote on the compensation arrangements of our named executive officers, unless specified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00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00558C"/>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392430</wp:posOffset>
            </wp:positionV>
            <wp:extent cx="6810375" cy="6145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6145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319"/>
        <w:spacing w:after="0" w:line="226" w:lineRule="auto"/>
        <w:rPr>
          <w:sz w:val="20"/>
          <w:szCs w:val="20"/>
          <w:color w:val="auto"/>
        </w:rPr>
      </w:pPr>
      <w:r>
        <w:rPr>
          <w:rFonts w:ascii="Arial" w:cs="Arial" w:eastAsia="Arial" w:hAnsi="Arial"/>
          <w:sz w:val="17"/>
          <w:szCs w:val="17"/>
          <w:color w:val="FFFFFF"/>
        </w:rPr>
        <w:t>NEOs as disclosed in the compensation discussion</w:t>
      </w:r>
    </w:p>
    <w:p>
      <w:pPr>
        <w:ind w:right="319"/>
        <w:spacing w:after="0" w:line="254" w:lineRule="auto"/>
        <w:rPr>
          <w:sz w:val="20"/>
          <w:szCs w:val="20"/>
          <w:color w:val="auto"/>
        </w:rPr>
      </w:pPr>
      <w:r>
        <w:rPr>
          <w:rFonts w:ascii="Arial" w:cs="Arial" w:eastAsia="Arial" w:hAnsi="Arial"/>
          <w:sz w:val="18"/>
          <w:szCs w:val="18"/>
          <w:color w:val="FFFFFF"/>
        </w:rPr>
        <w:t>and analysis section and the accompanying compensation tables and narrative discussion in this proxy statement.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2024 “Say-on-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Pay” Results</w:t>
      </w:r>
    </w:p>
    <w:p>
      <w:pPr>
        <w:spacing w:after="0" w:line="23" w:lineRule="exact"/>
        <w:rPr>
          <w:sz w:val="20"/>
          <w:szCs w:val="20"/>
          <w:color w:val="auto"/>
        </w:rPr>
      </w:pPr>
    </w:p>
    <w:p>
      <w:pPr>
        <w:spacing w:after="0"/>
        <w:rPr>
          <w:sz w:val="20"/>
          <w:szCs w:val="20"/>
          <w:color w:val="auto"/>
        </w:rPr>
      </w:pPr>
      <w:r>
        <w:rPr>
          <w:rFonts w:ascii="Arial" w:cs="Arial" w:eastAsia="Arial" w:hAnsi="Arial"/>
          <w:sz w:val="54"/>
          <w:szCs w:val="54"/>
          <w:color w:val="6AAA37"/>
        </w:rPr>
        <w:t>98%</w:t>
      </w:r>
    </w:p>
    <w:p>
      <w:pPr>
        <w:spacing w:after="0" w:line="108" w:lineRule="exact"/>
        <w:rPr>
          <w:sz w:val="20"/>
          <w:szCs w:val="20"/>
          <w:color w:val="auto"/>
        </w:rPr>
      </w:pPr>
    </w:p>
    <w:p>
      <w:pPr>
        <w:ind w:right="619"/>
        <w:spacing w:after="0" w:line="275" w:lineRule="auto"/>
        <w:rPr>
          <w:sz w:val="20"/>
          <w:szCs w:val="20"/>
          <w:color w:val="auto"/>
        </w:rPr>
      </w:pPr>
      <w:r>
        <w:rPr>
          <w:rFonts w:ascii="Arial" w:cs="Arial" w:eastAsia="Arial" w:hAnsi="Arial"/>
          <w:sz w:val="16"/>
          <w:szCs w:val="16"/>
          <w:color w:val="auto"/>
        </w:rPr>
        <w:t>Stockholder approval of 2024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9"/>
        <w:spacing w:after="0"/>
        <w:rPr>
          <w:sz w:val="20"/>
          <w:szCs w:val="20"/>
          <w:color w:val="auto"/>
        </w:rPr>
      </w:pPr>
      <w:r>
        <w:rPr>
          <w:rFonts w:ascii="Arial" w:cs="Arial" w:eastAsia="Arial" w:hAnsi="Arial"/>
          <w:sz w:val="13"/>
          <w:szCs w:val="13"/>
          <w:color w:val="auto"/>
        </w:rPr>
        <w:t>2026 Proxy Statement</w:t>
      </w:r>
    </w:p>
    <w:p>
      <w:pPr>
        <w:spacing w:after="0" w:line="216" w:lineRule="exact"/>
        <w:rPr>
          <w:sz w:val="20"/>
          <w:szCs w:val="20"/>
          <w:color w:val="auto"/>
        </w:rPr>
      </w:pPr>
    </w:p>
    <w:p>
      <w:pPr>
        <w:sectPr>
          <w:pgSz w:w="11900" w:h="16937" w:orient="portrait"/>
          <w:cols w:equalWidth="0" w:num="2">
            <w:col w:w="6020" w:space="720"/>
            <w:col w:w="2319"/>
          </w:cols>
          <w:pgMar w:left="140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54"/>
          <w:szCs w:val="54"/>
          <w:color w:val="00558C"/>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A Message from our Compensation Committee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248" w:lineRule="exact"/>
        <w:rPr>
          <w:sz w:val="20"/>
          <w:szCs w:val="20"/>
          <w:color w:val="auto"/>
        </w:rPr>
      </w:pPr>
    </w:p>
    <w:p>
      <w:pPr>
        <w:ind w:right="159"/>
        <w:spacing w:after="0" w:line="296" w:lineRule="auto"/>
        <w:rPr>
          <w:sz w:val="20"/>
          <w:szCs w:val="20"/>
          <w:color w:val="auto"/>
        </w:rPr>
      </w:pPr>
      <w:r>
        <w:rPr>
          <w:rFonts w:ascii="Arial" w:cs="Arial" w:eastAsia="Arial" w:hAnsi="Arial"/>
          <w:sz w:val="16"/>
          <w:szCs w:val="16"/>
          <w:color w:val="auto"/>
        </w:rPr>
        <w:t>On behalf of the Compensation Committee and the entire Board, thank you for your continued investment in Huron. We appreciate your support of the Company, our people, and the meaningful work we deliver for our clients. As a Compensation Committee, our primary objective is to design and oversee compensation programs that align the interests of Huron’s leadership, including our executives, industry and capability leaders, and our client-facing managing directors and principals, with those of our stockholders to deliver long-term stockholder value.</w:t>
      </w:r>
    </w:p>
    <w:p>
      <w:pPr>
        <w:spacing w:after="0" w:line="94" w:lineRule="exact"/>
        <w:rPr>
          <w:sz w:val="20"/>
          <w:szCs w:val="20"/>
          <w:color w:val="auto"/>
        </w:rPr>
      </w:pPr>
    </w:p>
    <w:p>
      <w:pPr>
        <w:ind w:right="99"/>
        <w:spacing w:after="0" w:line="300" w:lineRule="auto"/>
        <w:rPr>
          <w:sz w:val="20"/>
          <w:szCs w:val="20"/>
          <w:color w:val="auto"/>
        </w:rPr>
      </w:pPr>
      <w:r>
        <w:rPr>
          <w:rFonts w:ascii="Arial" w:cs="Arial" w:eastAsia="Arial" w:hAnsi="Arial"/>
          <w:sz w:val="16"/>
          <w:szCs w:val="16"/>
          <w:color w:val="auto"/>
        </w:rPr>
        <w:t>Huron’s compensation philosophy is grounded in a clear pay-for-performance framework. Our programs are designed to reward leaders for delivering strong financial results set against pre-established metrics, advancing strategic initiatives critical to the Company’s future success, and creating long-term stockholder value. We believe this balanced approach appropriately reflects Huron’s business model and the dynamic environment in which the Company operates.</w:t>
      </w:r>
    </w:p>
    <w:p>
      <w:pPr>
        <w:spacing w:after="0" w:line="106" w:lineRule="exact"/>
        <w:rPr>
          <w:sz w:val="20"/>
          <w:szCs w:val="20"/>
          <w:color w:val="auto"/>
        </w:rPr>
      </w:pPr>
    </w:p>
    <w:p>
      <w:pPr>
        <w:ind w:right="139"/>
        <w:spacing w:after="0" w:line="295" w:lineRule="auto"/>
        <w:rPr>
          <w:sz w:val="20"/>
          <w:szCs w:val="20"/>
          <w:color w:val="auto"/>
        </w:rPr>
      </w:pPr>
      <w:r>
        <w:rPr>
          <w:rFonts w:ascii="Arial" w:cs="Arial" w:eastAsia="Arial" w:hAnsi="Arial"/>
          <w:sz w:val="16"/>
          <w:szCs w:val="16"/>
          <w:color w:val="auto"/>
        </w:rPr>
        <w:t>In 2025, Huron delivered another year of strong performance, driven by disciplined execution of the Company’s strategy and effective leadership. Revenues before reimbursable expenses (“RBR”) grew 12% compared to 2024, resulting in record RBR and a fifth consecutive year of growth. In addition, we achieved continued margin and earnings per share expansion and strong cash flows in 2025. Collectively, these results led to total stockholder return of 39% in 2025.</w:t>
      </w:r>
    </w:p>
    <w:p>
      <w:pPr>
        <w:spacing w:after="0" w:line="108" w:lineRule="exact"/>
        <w:rPr>
          <w:sz w:val="20"/>
          <w:szCs w:val="20"/>
          <w:color w:val="auto"/>
        </w:rPr>
      </w:pPr>
    </w:p>
    <w:p>
      <w:pPr>
        <w:ind w:right="199"/>
        <w:spacing w:after="0" w:line="300" w:lineRule="auto"/>
        <w:rPr>
          <w:sz w:val="20"/>
          <w:szCs w:val="20"/>
          <w:color w:val="auto"/>
        </w:rPr>
      </w:pPr>
      <w:r>
        <w:rPr>
          <w:rFonts w:ascii="Arial" w:cs="Arial" w:eastAsia="Arial" w:hAnsi="Arial"/>
          <w:sz w:val="16"/>
          <w:szCs w:val="16"/>
          <w:color w:val="auto"/>
        </w:rPr>
        <w:t>Our executive compensation programs are designed to reinforce this strong performance—for our business and our stockholders. A significant portion of total direct compensation for our named executive officers remains performance-based and delivered through long-term equity incentives, earned over multi-year performance periods. This structure reinforces alignment with stockholders by linking compensation outcomes to sustained performance and long-term value creation.</w:t>
      </w:r>
    </w:p>
    <w:p>
      <w:pPr>
        <w:spacing w:after="0" w:line="106" w:lineRule="exact"/>
        <w:rPr>
          <w:sz w:val="20"/>
          <w:szCs w:val="20"/>
          <w:color w:val="auto"/>
        </w:rPr>
      </w:pPr>
    </w:p>
    <w:p>
      <w:pPr>
        <w:ind w:right="19"/>
        <w:spacing w:after="0" w:line="293" w:lineRule="auto"/>
        <w:rPr>
          <w:sz w:val="20"/>
          <w:szCs w:val="20"/>
          <w:color w:val="auto"/>
        </w:rPr>
      </w:pPr>
      <w:r>
        <w:rPr>
          <w:rFonts w:ascii="Arial" w:cs="Arial" w:eastAsia="Arial" w:hAnsi="Arial"/>
          <w:sz w:val="16"/>
          <w:szCs w:val="16"/>
          <w:color w:val="auto"/>
        </w:rPr>
        <w:t>Our compensation philosophy also extends beyond our named executive officers to many other employees on our highly talented team, including our revenue-generating managing directors and principals. On average over the last three years, 84% of the stock granted annually is provided to our managing directors and principals as part of their annual incentive compensation, which is aligned with the achievement of team and individual goals in support of our long-term strategy. This stock-based compensation not only fosters an ownership mindset and enhances retention, but, more importantly, aligns our broader leadership team with the interests of our stockholders.</w:t>
      </w:r>
    </w:p>
    <w:p>
      <w:pPr>
        <w:spacing w:after="0" w:line="110" w:lineRule="exact"/>
        <w:rPr>
          <w:sz w:val="20"/>
          <w:szCs w:val="20"/>
          <w:color w:val="auto"/>
        </w:rPr>
      </w:pPr>
    </w:p>
    <w:p>
      <w:pPr>
        <w:ind w:right="199"/>
        <w:spacing w:after="0" w:line="321" w:lineRule="auto"/>
        <w:rPr>
          <w:sz w:val="20"/>
          <w:szCs w:val="20"/>
          <w:color w:val="auto"/>
        </w:rPr>
      </w:pPr>
      <w:r>
        <w:rPr>
          <w:rFonts w:ascii="Arial" w:cs="Arial" w:eastAsia="Arial" w:hAnsi="Arial"/>
          <w:sz w:val="16"/>
          <w:szCs w:val="16"/>
          <w:color w:val="auto"/>
        </w:rPr>
        <w:t>Throughout each year, the Compensation Committee actively reviews program design, compensation outcomes, and equity usage with the objective of upholding practices that are disciplined, consistent, and aligned with stockholder interests. We</w:t>
      </w:r>
    </w:p>
    <w:p>
      <w:pPr>
        <w:sectPr>
          <w:pgSz w:w="11900" w:h="16937" w:orient="portrait"/>
          <w:cols w:equalWidth="0" w:num="1">
            <w:col w:w="9059"/>
          </w:cols>
          <w:pgMar w:left="1400" w:top="108" w:right="1440" w:bottom="0" w:gutter="0" w:footer="0" w:header="0"/>
          <w:type w:val="continuous"/>
        </w:sectPr>
      </w:pPr>
    </w:p>
    <w:bookmarkStart w:id="38" w:name="page39"/>
    <w:bookmarkEnd w:id="38"/>
    <w:p>
      <w:pPr>
        <w:spacing w:after="0" w:line="24"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remain focused on responsible stewardship of our compensation programs and on maintaining governance practices that support sustainable growth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-276860</wp:posOffset>
            </wp:positionV>
            <wp:extent cx="6810375" cy="27108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10375" cy="2710815"/>
                    </a:xfrm>
                    <a:prstGeom prst="rect">
                      <a:avLst/>
                    </a:prstGeom>
                    <a:noFill/>
                  </pic:spPr>
                </pic:pic>
              </a:graphicData>
            </a:graphic>
          </wp:anchor>
        </w:drawing>
      </w:r>
    </w:p>
    <w:p>
      <w:pPr>
        <w:spacing w:after="0" w:line="82"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We are proud of the performance delivered by Huron’s leadership team in 2025 and confident that our compensation philosophy and programs continue to effectively support the Company’s strategy and long-term objectives. Thank you for your continued trust and support.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2900" w:val="left"/>
          <w:tab w:leader="none" w:pos="4960" w:val="left"/>
          <w:tab w:leader="none" w:pos="7340" w:val="left"/>
        </w:tabs>
        <w:rPr>
          <w:sz w:val="20"/>
          <w:szCs w:val="20"/>
          <w:color w:val="auto"/>
        </w:rPr>
      </w:pPr>
      <w:r>
        <w:rPr>
          <w:rFonts w:ascii="Arial" w:cs="Arial" w:eastAsia="Arial" w:hAnsi="Arial"/>
          <w:sz w:val="16"/>
          <w:szCs w:val="16"/>
          <w:color w:val="auto"/>
        </w:rPr>
        <w:t>Ekta Singh-Bushell (Chair)</w:t>
      </w:r>
      <w:r>
        <w:rPr>
          <w:sz w:val="20"/>
          <w:szCs w:val="20"/>
          <w:color w:val="auto"/>
        </w:rPr>
        <w:tab/>
      </w:r>
      <w:r>
        <w:rPr>
          <w:rFonts w:ascii="Arial" w:cs="Arial" w:eastAsia="Arial" w:hAnsi="Arial"/>
          <w:sz w:val="16"/>
          <w:szCs w:val="16"/>
          <w:color w:val="auto"/>
        </w:rPr>
        <w:t>Joy T. Brown</w:t>
      </w:r>
      <w:r>
        <w:rPr>
          <w:sz w:val="20"/>
          <w:szCs w:val="20"/>
          <w:color w:val="auto"/>
        </w:rPr>
        <w:tab/>
      </w:r>
      <w:r>
        <w:rPr>
          <w:rFonts w:ascii="Arial" w:cs="Arial" w:eastAsia="Arial" w:hAnsi="Arial"/>
          <w:sz w:val="16"/>
          <w:szCs w:val="16"/>
          <w:color w:val="auto"/>
        </w:rPr>
        <w:t>H. Eugene Lockhart</w:t>
      </w:r>
      <w:r>
        <w:rPr>
          <w:sz w:val="20"/>
          <w:szCs w:val="20"/>
          <w:color w:val="auto"/>
        </w:rPr>
        <w:tab/>
      </w:r>
      <w:r>
        <w:rPr>
          <w:rFonts w:ascii="Arial" w:cs="Arial" w:eastAsia="Arial" w:hAnsi="Arial"/>
          <w:sz w:val="16"/>
          <w:szCs w:val="16"/>
          <w:color w:val="auto"/>
        </w:rPr>
        <w:t>Debra L. Zumwalt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33</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772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10375" cy="772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Compensation Discussion and Analysis</w:t>
      </w:r>
    </w:p>
    <w:p>
      <w:pPr>
        <w:spacing w:after="0" w:line="200" w:lineRule="exact"/>
        <w:rPr>
          <w:sz w:val="20"/>
          <w:szCs w:val="20"/>
          <w:color w:val="auto"/>
        </w:rPr>
      </w:pPr>
    </w:p>
    <w:p>
      <w:pPr>
        <w:spacing w:after="0" w:line="20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This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 For 2025, Huron's named executive officers were the following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2240" w:type="dxa"/>
            <w:vAlign w:val="bottom"/>
          </w:tcPr>
          <w:p>
            <w:pPr>
              <w:jc w:val="center"/>
              <w:ind w:right="219"/>
              <w:spacing w:after="0"/>
              <w:rPr>
                <w:sz w:val="20"/>
                <w:szCs w:val="20"/>
                <w:color w:val="auto"/>
              </w:rPr>
            </w:pPr>
            <w:r>
              <w:rPr>
                <w:rFonts w:ascii="Arial" w:cs="Arial" w:eastAsia="Arial" w:hAnsi="Arial"/>
                <w:sz w:val="20"/>
                <w:szCs w:val="20"/>
                <w:b w:val="1"/>
                <w:bCs w:val="1"/>
                <w:color w:val="00558C"/>
                <w:w w:val="97"/>
              </w:rPr>
              <w:t>C. Mark Hussey</w:t>
            </w:r>
          </w:p>
        </w:tc>
        <w:tc>
          <w:tcPr>
            <w:tcW w:w="2060" w:type="dxa"/>
            <w:vAlign w:val="bottom"/>
          </w:tcPr>
          <w:p>
            <w:pPr>
              <w:jc w:val="center"/>
              <w:ind w:right="23"/>
              <w:spacing w:after="0"/>
              <w:rPr>
                <w:sz w:val="20"/>
                <w:szCs w:val="20"/>
                <w:color w:val="auto"/>
              </w:rPr>
            </w:pPr>
            <w:r>
              <w:rPr>
                <w:rFonts w:ascii="Arial" w:cs="Arial" w:eastAsia="Arial" w:hAnsi="Arial"/>
                <w:sz w:val="20"/>
                <w:szCs w:val="20"/>
                <w:b w:val="1"/>
                <w:bCs w:val="1"/>
                <w:color w:val="00558C"/>
                <w:w w:val="97"/>
              </w:rPr>
              <w:t>John D. Kelly</w:t>
            </w:r>
          </w:p>
        </w:tc>
        <w:tc>
          <w:tcPr>
            <w:tcW w:w="2200" w:type="dxa"/>
            <w:vAlign w:val="bottom"/>
          </w:tcPr>
          <w:p>
            <w:pPr>
              <w:jc w:val="center"/>
              <w:ind w:left="61"/>
              <w:spacing w:after="0"/>
              <w:rPr>
                <w:sz w:val="20"/>
                <w:szCs w:val="20"/>
                <w:color w:val="auto"/>
              </w:rPr>
            </w:pPr>
            <w:r>
              <w:rPr>
                <w:rFonts w:ascii="Arial" w:cs="Arial" w:eastAsia="Arial" w:hAnsi="Arial"/>
                <w:sz w:val="20"/>
                <w:szCs w:val="20"/>
                <w:b w:val="1"/>
                <w:bCs w:val="1"/>
                <w:color w:val="00558C"/>
                <w:w w:val="98"/>
              </w:rPr>
              <w:t>J. Ronald Dail</w:t>
            </w:r>
          </w:p>
        </w:tc>
        <w:tc>
          <w:tcPr>
            <w:tcW w:w="2220" w:type="dxa"/>
            <w:vAlign w:val="bottom"/>
          </w:tcPr>
          <w:p>
            <w:pPr>
              <w:jc w:val="center"/>
              <w:ind w:left="163"/>
              <w:spacing w:after="0"/>
              <w:rPr>
                <w:sz w:val="20"/>
                <w:szCs w:val="20"/>
                <w:color w:val="auto"/>
              </w:rPr>
            </w:pPr>
            <w:r>
              <w:rPr>
                <w:rFonts w:ascii="Arial" w:cs="Arial" w:eastAsia="Arial" w:hAnsi="Arial"/>
                <w:sz w:val="20"/>
                <w:szCs w:val="20"/>
                <w:b w:val="1"/>
                <w:bCs w:val="1"/>
                <w:color w:val="00558C"/>
              </w:rPr>
              <w:t>Hope Katz</w:t>
            </w:r>
          </w:p>
        </w:tc>
      </w:tr>
      <w:tr>
        <w:trPr>
          <w:trHeight w:val="241"/>
        </w:trPr>
        <w:tc>
          <w:tcPr>
            <w:tcW w:w="2240" w:type="dxa"/>
            <w:vAlign w:val="bottom"/>
          </w:tcPr>
          <w:p>
            <w:pPr>
              <w:jc w:val="center"/>
              <w:ind w:right="199"/>
              <w:spacing w:after="0"/>
              <w:rPr>
                <w:sz w:val="20"/>
                <w:szCs w:val="20"/>
                <w:color w:val="auto"/>
              </w:rPr>
            </w:pPr>
            <w:r>
              <w:rPr>
                <w:rFonts w:ascii="Arial" w:cs="Arial" w:eastAsia="Arial" w:hAnsi="Arial"/>
                <w:sz w:val="14"/>
                <w:szCs w:val="14"/>
                <w:b w:val="1"/>
                <w:bCs w:val="1"/>
                <w:color w:val="6AAA37"/>
              </w:rPr>
              <w:t>CHIEF EXECUTIVE OFFICER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6AAA37"/>
              </w:rPr>
              <w:t>EXECUTIVE VICE</w:t>
            </w:r>
          </w:p>
        </w:tc>
        <w:tc>
          <w:tcPr>
            <w:tcW w:w="2200" w:type="dxa"/>
            <w:vAlign w:val="bottom"/>
          </w:tcPr>
          <w:p>
            <w:pPr>
              <w:jc w:val="center"/>
              <w:ind w:left="101"/>
              <w:spacing w:after="0"/>
              <w:rPr>
                <w:sz w:val="20"/>
                <w:szCs w:val="20"/>
                <w:color w:val="auto"/>
              </w:rPr>
            </w:pPr>
            <w:r>
              <w:rPr>
                <w:rFonts w:ascii="Arial" w:cs="Arial" w:eastAsia="Arial" w:hAnsi="Arial"/>
                <w:sz w:val="14"/>
                <w:szCs w:val="14"/>
                <w:b w:val="1"/>
                <w:bCs w:val="1"/>
                <w:color w:val="6AAA37"/>
              </w:rPr>
              <w:t>EXECUTIVE VICE</w:t>
            </w:r>
          </w:p>
        </w:tc>
        <w:tc>
          <w:tcPr>
            <w:tcW w:w="2220" w:type="dxa"/>
            <w:vAlign w:val="bottom"/>
          </w:tcPr>
          <w:p>
            <w:pPr>
              <w:jc w:val="center"/>
              <w:ind w:left="203"/>
              <w:spacing w:after="0"/>
              <w:rPr>
                <w:sz w:val="20"/>
                <w:szCs w:val="20"/>
                <w:color w:val="auto"/>
              </w:rPr>
            </w:pPr>
            <w:r>
              <w:rPr>
                <w:rFonts w:ascii="Arial" w:cs="Arial" w:eastAsia="Arial" w:hAnsi="Arial"/>
                <w:sz w:val="14"/>
                <w:szCs w:val="14"/>
                <w:b w:val="1"/>
                <w:bCs w:val="1"/>
                <w:color w:val="6AAA37"/>
              </w:rPr>
              <w:t>EXECUTIVE VICE</w:t>
            </w:r>
          </w:p>
        </w:tc>
      </w:tr>
      <w:tr>
        <w:trPr>
          <w:trHeight w:val="176"/>
        </w:trPr>
        <w:tc>
          <w:tcPr>
            <w:tcW w:w="2240" w:type="dxa"/>
            <w:vAlign w:val="bottom"/>
          </w:tcPr>
          <w:p>
            <w:pPr>
              <w:jc w:val="center"/>
              <w:ind w:right="179"/>
              <w:spacing w:after="0"/>
              <w:rPr>
                <w:sz w:val="20"/>
                <w:szCs w:val="20"/>
                <w:color w:val="auto"/>
              </w:rPr>
            </w:pPr>
            <w:r>
              <w:rPr>
                <w:rFonts w:ascii="Arial" w:cs="Arial" w:eastAsia="Arial" w:hAnsi="Arial"/>
                <w:sz w:val="14"/>
                <w:szCs w:val="14"/>
                <w:b w:val="1"/>
                <w:bCs w:val="1"/>
                <w:color w:val="6AAA37"/>
              </w:rPr>
              <w:t>AND PRESIDENT</w:t>
            </w:r>
          </w:p>
        </w:tc>
        <w:tc>
          <w:tcPr>
            <w:tcW w:w="2060" w:type="dxa"/>
            <w:vAlign w:val="bottom"/>
          </w:tcPr>
          <w:p>
            <w:pPr>
              <w:jc w:val="center"/>
              <w:ind w:right="23"/>
              <w:spacing w:after="0"/>
              <w:rPr>
                <w:sz w:val="20"/>
                <w:szCs w:val="20"/>
                <w:color w:val="auto"/>
              </w:rPr>
            </w:pPr>
            <w:r>
              <w:rPr>
                <w:rFonts w:ascii="Arial" w:cs="Arial" w:eastAsia="Arial" w:hAnsi="Arial"/>
                <w:sz w:val="14"/>
                <w:szCs w:val="14"/>
                <w:b w:val="1"/>
                <w:bCs w:val="1"/>
                <w:color w:val="6AAA37"/>
              </w:rPr>
              <w:t>PRESIDENT, CHIEF</w:t>
            </w:r>
          </w:p>
        </w:tc>
        <w:tc>
          <w:tcPr>
            <w:tcW w:w="2200" w:type="dxa"/>
            <w:vAlign w:val="bottom"/>
          </w:tcPr>
          <w:p>
            <w:pPr>
              <w:jc w:val="center"/>
              <w:ind w:left="61"/>
              <w:spacing w:after="0"/>
              <w:rPr>
                <w:sz w:val="20"/>
                <w:szCs w:val="20"/>
                <w:color w:val="auto"/>
              </w:rPr>
            </w:pPr>
            <w:r>
              <w:rPr>
                <w:rFonts w:ascii="Arial" w:cs="Arial" w:eastAsia="Arial" w:hAnsi="Arial"/>
                <w:sz w:val="14"/>
                <w:szCs w:val="14"/>
                <w:b w:val="1"/>
                <w:bCs w:val="1"/>
                <w:color w:val="6AAA37"/>
              </w:rPr>
              <w:t>PRESIDENT AND CHIEF</w:t>
            </w:r>
          </w:p>
        </w:tc>
        <w:tc>
          <w:tcPr>
            <w:tcW w:w="2220" w:type="dxa"/>
            <w:vAlign w:val="bottom"/>
          </w:tcPr>
          <w:p>
            <w:pPr>
              <w:jc w:val="center"/>
              <w:ind w:left="183"/>
              <w:spacing w:after="0"/>
              <w:rPr>
                <w:sz w:val="20"/>
                <w:szCs w:val="20"/>
                <w:color w:val="auto"/>
              </w:rPr>
            </w:pPr>
            <w:r>
              <w:rPr>
                <w:rFonts w:ascii="Arial" w:cs="Arial" w:eastAsia="Arial" w:hAnsi="Arial"/>
                <w:sz w:val="14"/>
                <w:szCs w:val="14"/>
                <w:b w:val="1"/>
                <w:bCs w:val="1"/>
                <w:color w:val="6AAA37"/>
              </w:rPr>
              <w:t>PRESIDENT, GENERAL</w:t>
            </w:r>
          </w:p>
        </w:tc>
      </w:tr>
      <w:tr>
        <w:trPr>
          <w:trHeight w:val="175"/>
        </w:trPr>
        <w:tc>
          <w:tcPr>
            <w:tcW w:w="2240" w:type="dxa"/>
            <w:vAlign w:val="bottom"/>
          </w:tcPr>
          <w:p>
            <w:pPr>
              <w:spacing w:after="0"/>
              <w:rPr>
                <w:sz w:val="15"/>
                <w:szCs w:val="15"/>
                <w:color w:val="auto"/>
              </w:rPr>
            </w:pPr>
          </w:p>
        </w:tc>
        <w:tc>
          <w:tcPr>
            <w:tcW w:w="2060" w:type="dxa"/>
            <w:vAlign w:val="bottom"/>
          </w:tcPr>
          <w:p>
            <w:pPr>
              <w:jc w:val="center"/>
              <w:ind w:right="23"/>
              <w:spacing w:after="0"/>
              <w:rPr>
                <w:sz w:val="20"/>
                <w:szCs w:val="20"/>
                <w:color w:val="auto"/>
              </w:rPr>
            </w:pPr>
            <w:r>
              <w:rPr>
                <w:rFonts w:ascii="Arial" w:cs="Arial" w:eastAsia="Arial" w:hAnsi="Arial"/>
                <w:sz w:val="14"/>
                <w:szCs w:val="14"/>
                <w:b w:val="1"/>
                <w:bCs w:val="1"/>
                <w:color w:val="6AAA37"/>
              </w:rPr>
              <w:t>FINANCIAL OFFICER</w:t>
            </w:r>
          </w:p>
        </w:tc>
        <w:tc>
          <w:tcPr>
            <w:tcW w:w="2200" w:type="dxa"/>
            <w:vAlign w:val="bottom"/>
          </w:tcPr>
          <w:p>
            <w:pPr>
              <w:jc w:val="center"/>
              <w:ind w:left="81"/>
              <w:spacing w:after="0"/>
              <w:rPr>
                <w:sz w:val="20"/>
                <w:szCs w:val="20"/>
                <w:color w:val="auto"/>
              </w:rPr>
            </w:pPr>
            <w:r>
              <w:rPr>
                <w:rFonts w:ascii="Arial" w:cs="Arial" w:eastAsia="Arial" w:hAnsi="Arial"/>
                <w:sz w:val="14"/>
                <w:szCs w:val="14"/>
                <w:b w:val="1"/>
                <w:bCs w:val="1"/>
                <w:color w:val="6AAA37"/>
              </w:rPr>
              <w:t>OPERATING OFFICER</w:t>
            </w:r>
          </w:p>
        </w:tc>
        <w:tc>
          <w:tcPr>
            <w:tcW w:w="2220" w:type="dxa"/>
            <w:vAlign w:val="bottom"/>
          </w:tcPr>
          <w:p>
            <w:pPr>
              <w:jc w:val="center"/>
              <w:ind w:left="143"/>
              <w:spacing w:after="0"/>
              <w:rPr>
                <w:sz w:val="20"/>
                <w:szCs w:val="20"/>
                <w:color w:val="auto"/>
              </w:rPr>
            </w:pPr>
            <w:r>
              <w:rPr>
                <w:rFonts w:ascii="Arial" w:cs="Arial" w:eastAsia="Arial" w:hAnsi="Arial"/>
                <w:sz w:val="14"/>
                <w:szCs w:val="14"/>
                <w:b w:val="1"/>
                <w:bCs w:val="1"/>
                <w:color w:val="6AAA37"/>
              </w:rPr>
              <w:t>COUNSEL AND CORPORATE</w:t>
            </w:r>
          </w:p>
        </w:tc>
      </w:tr>
      <w:tr>
        <w:trPr>
          <w:trHeight w:val="196"/>
        </w:trPr>
        <w:tc>
          <w:tcPr>
            <w:tcW w:w="224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6AAA37"/>
              </w:rPr>
              <w:t>AND TREASURER</w:t>
            </w:r>
          </w:p>
        </w:tc>
        <w:tc>
          <w:tcPr>
            <w:tcW w:w="2200" w:type="dxa"/>
            <w:vAlign w:val="bottom"/>
          </w:tcPr>
          <w:p>
            <w:pPr>
              <w:spacing w:after="0"/>
              <w:rPr>
                <w:sz w:val="17"/>
                <w:szCs w:val="17"/>
                <w:color w:val="auto"/>
              </w:rPr>
            </w:pPr>
          </w:p>
        </w:tc>
        <w:tc>
          <w:tcPr>
            <w:tcW w:w="2220" w:type="dxa"/>
            <w:vAlign w:val="bottom"/>
          </w:tcPr>
          <w:p>
            <w:pPr>
              <w:ind w:left="820"/>
              <w:spacing w:after="0"/>
              <w:rPr>
                <w:sz w:val="20"/>
                <w:szCs w:val="20"/>
                <w:color w:val="auto"/>
              </w:rPr>
            </w:pPr>
            <w:r>
              <w:rPr>
                <w:rFonts w:ascii="Arial" w:cs="Arial" w:eastAsia="Arial" w:hAnsi="Arial"/>
                <w:sz w:val="14"/>
                <w:szCs w:val="14"/>
                <w:b w:val="1"/>
                <w:bCs w:val="1"/>
                <w:color w:val="6AAA37"/>
              </w:rPr>
              <w:t>SECRETARY</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Messrs. Hussey, Kelly, Dail and Ms. Katz were the only individuals who served as Huron executive officers during 2025.</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2025 Highlights</w:t>
      </w:r>
    </w:p>
    <w:p>
      <w:pPr>
        <w:spacing w:after="0" w:line="15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further described below, Huron’s executive compensation program is structured to incentivize and reward performance that drives Company-wide success and achieves growth while effectively managing risk and aligning with the long-term best interests of our stockholders. Huron’s performance in 2025 is highlighted by the following achievements.</w:t>
      </w:r>
      <w:r>
        <w:rPr>
          <w:rFonts w:ascii="Arial" w:cs="Arial" w:eastAsia="Arial" w:hAnsi="Arial"/>
          <w:sz w:val="21"/>
          <w:szCs w:val="21"/>
          <w:color w:val="FFFFFF"/>
          <w:vertAlign w:val="superscript"/>
        </w:rPr>
        <w:t>6,7</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00" w:type="dxa"/>
            <w:vAlign w:val="bottom"/>
            <w:shd w:val="clear" w:color="auto" w:fill="F2F3F2"/>
          </w:tcPr>
          <w:p>
            <w:pPr>
              <w:spacing w:after="0"/>
              <w:rPr>
                <w:sz w:val="8"/>
                <w:szCs w:val="8"/>
                <w:color w:val="auto"/>
              </w:rPr>
            </w:pPr>
          </w:p>
        </w:tc>
        <w:tc>
          <w:tcPr>
            <w:tcW w:w="2860" w:type="dxa"/>
            <w:vAlign w:val="bottom"/>
            <w:vMerge w:val="restart"/>
            <w:shd w:val="clear" w:color="auto" w:fill="F2F3F2"/>
          </w:tcPr>
          <w:p>
            <w:pPr>
              <w:ind w:left="40"/>
              <w:spacing w:after="0"/>
              <w:rPr>
                <w:sz w:val="20"/>
                <w:szCs w:val="20"/>
                <w:color w:val="auto"/>
              </w:rPr>
            </w:pPr>
            <w:r>
              <w:rPr>
                <w:rFonts w:ascii="Arial" w:cs="Arial" w:eastAsia="Arial" w:hAnsi="Arial"/>
                <w:sz w:val="32"/>
                <w:szCs w:val="32"/>
                <w:color w:val="6AAA37"/>
              </w:rPr>
              <w:t>$1.66B</w:t>
            </w:r>
          </w:p>
        </w:tc>
        <w:tc>
          <w:tcPr>
            <w:tcW w:w="100" w:type="dxa"/>
            <w:vAlign w:val="bottom"/>
            <w:tcBorders>
              <w:right w:val="single" w:sz="8" w:color="F2F3F2"/>
            </w:tcBorders>
            <w:shd w:val="clear" w:color="auto" w:fill="F2F3F2"/>
          </w:tcPr>
          <w:p>
            <w:pPr>
              <w:spacing w:after="0"/>
              <w:rPr>
                <w:sz w:val="8"/>
                <w:szCs w:val="8"/>
                <w:color w:val="auto"/>
              </w:rPr>
            </w:pPr>
          </w:p>
        </w:tc>
        <w:tc>
          <w:tcPr>
            <w:tcW w:w="2920" w:type="dxa"/>
            <w:vAlign w:val="bottom"/>
            <w:gridSpan w:val="2"/>
            <w:vMerge w:val="restart"/>
            <w:shd w:val="clear" w:color="auto" w:fill="F2F3F2"/>
          </w:tcPr>
          <w:p>
            <w:pPr>
              <w:ind w:left="120"/>
              <w:spacing w:after="0"/>
              <w:rPr>
                <w:sz w:val="20"/>
                <w:szCs w:val="20"/>
                <w:color w:val="auto"/>
              </w:rPr>
            </w:pPr>
            <w:r>
              <w:rPr>
                <w:rFonts w:ascii="Arial" w:cs="Arial" w:eastAsia="Arial" w:hAnsi="Arial"/>
                <w:sz w:val="32"/>
                <w:szCs w:val="32"/>
                <w:color w:val="6AAA37"/>
              </w:rPr>
              <w:t>6.2%</w:t>
            </w:r>
          </w:p>
        </w:tc>
        <w:tc>
          <w:tcPr>
            <w:tcW w:w="100" w:type="dxa"/>
            <w:vAlign w:val="bottom"/>
            <w:tcBorders>
              <w:right w:val="single" w:sz="8" w:color="F2F3F2"/>
            </w:tcBorders>
            <w:shd w:val="clear" w:color="auto" w:fill="F2F3F2"/>
          </w:tcPr>
          <w:p>
            <w:pPr>
              <w:spacing w:after="0"/>
              <w:rPr>
                <w:sz w:val="8"/>
                <w:szCs w:val="8"/>
                <w:color w:val="auto"/>
              </w:rPr>
            </w:pPr>
          </w:p>
        </w:tc>
        <w:tc>
          <w:tcPr>
            <w:tcW w:w="2900" w:type="dxa"/>
            <w:vAlign w:val="bottom"/>
            <w:gridSpan w:val="2"/>
            <w:vMerge w:val="restart"/>
            <w:shd w:val="clear" w:color="auto" w:fill="F2F3F2"/>
          </w:tcPr>
          <w:p>
            <w:pPr>
              <w:ind w:left="140"/>
              <w:spacing w:after="0"/>
              <w:rPr>
                <w:sz w:val="20"/>
                <w:szCs w:val="20"/>
                <w:color w:val="auto"/>
              </w:rPr>
            </w:pPr>
            <w:r>
              <w:rPr>
                <w:rFonts w:ascii="Arial" w:cs="Arial" w:eastAsia="Arial" w:hAnsi="Arial"/>
                <w:sz w:val="32"/>
                <w:szCs w:val="32"/>
                <w:color w:val="6AAA37"/>
              </w:rPr>
              <w:t>14.3%</w:t>
            </w:r>
          </w:p>
        </w:tc>
        <w:tc>
          <w:tcPr>
            <w:tcW w:w="10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428"/>
        </w:trPr>
        <w:tc>
          <w:tcPr>
            <w:tcW w:w="100" w:type="dxa"/>
            <w:vAlign w:val="bottom"/>
            <w:shd w:val="clear" w:color="auto" w:fill="F2F3F2"/>
          </w:tcPr>
          <w:p>
            <w:pPr>
              <w:spacing w:after="0"/>
              <w:rPr>
                <w:sz w:val="24"/>
                <w:szCs w:val="24"/>
                <w:color w:val="auto"/>
              </w:rPr>
            </w:pPr>
          </w:p>
        </w:tc>
        <w:tc>
          <w:tcPr>
            <w:tcW w:w="2860" w:type="dxa"/>
            <w:vAlign w:val="bottom"/>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2920" w:type="dxa"/>
            <w:vAlign w:val="bottom"/>
            <w:gridSpan w:val="2"/>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2900" w:type="dxa"/>
            <w:vAlign w:val="bottom"/>
            <w:gridSpan w:val="2"/>
            <w:vMerge w:val="continue"/>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F2F3F2"/>
          </w:tcPr>
          <w:p>
            <w:pPr>
              <w:spacing w:after="0"/>
              <w:rPr>
                <w:sz w:val="19"/>
                <w:szCs w:val="19"/>
                <w:color w:val="auto"/>
              </w:rPr>
            </w:pPr>
          </w:p>
        </w:tc>
        <w:tc>
          <w:tcPr>
            <w:tcW w:w="2860" w:type="dxa"/>
            <w:vAlign w:val="bottom"/>
            <w:shd w:val="clear" w:color="auto" w:fill="F2F3F2"/>
          </w:tcPr>
          <w:p>
            <w:pPr>
              <w:ind w:left="40"/>
              <w:spacing w:after="0"/>
              <w:rPr>
                <w:sz w:val="20"/>
                <w:szCs w:val="20"/>
                <w:color w:val="auto"/>
              </w:rPr>
            </w:pPr>
            <w:r>
              <w:rPr>
                <w:rFonts w:ascii="Arial" w:cs="Arial" w:eastAsia="Arial" w:hAnsi="Arial"/>
                <w:sz w:val="16"/>
                <w:szCs w:val="16"/>
                <w:b w:val="1"/>
                <w:bCs w:val="1"/>
                <w:color w:val="auto"/>
              </w:rPr>
              <w:t>12% increase in Revenues before</w:t>
            </w:r>
          </w:p>
        </w:tc>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2840" w:type="dxa"/>
            <w:vAlign w:val="bottom"/>
            <w:shd w:val="clear" w:color="auto" w:fill="F2F3F2"/>
          </w:tcPr>
          <w:p>
            <w:pPr>
              <w:ind w:left="40"/>
              <w:spacing w:after="0"/>
              <w:rPr>
                <w:sz w:val="20"/>
                <w:szCs w:val="20"/>
                <w:color w:val="auto"/>
              </w:rPr>
            </w:pPr>
            <w:r>
              <w:rPr>
                <w:rFonts w:ascii="Arial" w:cs="Arial" w:eastAsia="Arial" w:hAnsi="Arial"/>
                <w:sz w:val="16"/>
                <w:szCs w:val="16"/>
                <w:b w:val="1"/>
                <w:bCs w:val="1"/>
                <w:color w:val="auto"/>
              </w:rPr>
              <w:t>Net Income Margin in 2025,</w:t>
            </w:r>
          </w:p>
        </w:tc>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292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auto"/>
              </w:rPr>
              <w:t>80 basis point increase in Adjusted</w:t>
            </w:r>
          </w:p>
        </w:tc>
        <w:tc>
          <w:tcPr>
            <w:tcW w:w="0" w:type="dxa"/>
            <w:vAlign w:val="bottom"/>
          </w:tcPr>
          <w:p>
            <w:pPr>
              <w:spacing w:after="0"/>
              <w:rPr>
                <w:sz w:val="1"/>
                <w:szCs w:val="1"/>
                <w:color w:val="auto"/>
              </w:rPr>
            </w:pPr>
          </w:p>
        </w:tc>
      </w:tr>
      <w:tr>
        <w:trPr>
          <w:trHeight w:val="199"/>
        </w:trPr>
        <w:tc>
          <w:tcPr>
            <w:tcW w:w="100" w:type="dxa"/>
            <w:vAlign w:val="bottom"/>
            <w:shd w:val="clear" w:color="auto" w:fill="F2F3F2"/>
          </w:tcPr>
          <w:p>
            <w:pPr>
              <w:spacing w:after="0"/>
              <w:rPr>
                <w:sz w:val="17"/>
                <w:szCs w:val="17"/>
                <w:color w:val="auto"/>
              </w:rPr>
            </w:pPr>
          </w:p>
        </w:tc>
        <w:tc>
          <w:tcPr>
            <w:tcW w:w="2860" w:type="dxa"/>
            <w:vAlign w:val="bottom"/>
            <w:shd w:val="clear" w:color="auto" w:fill="F2F3F2"/>
          </w:tcPr>
          <w:p>
            <w:pPr>
              <w:ind w:left="40"/>
              <w:spacing w:after="0"/>
              <w:rPr>
                <w:sz w:val="20"/>
                <w:szCs w:val="20"/>
                <w:color w:val="auto"/>
              </w:rPr>
            </w:pPr>
            <w:r>
              <w:rPr>
                <w:rFonts w:ascii="Arial" w:cs="Arial" w:eastAsia="Arial" w:hAnsi="Arial"/>
                <w:sz w:val="16"/>
                <w:szCs w:val="16"/>
                <w:b w:val="1"/>
                <w:bCs w:val="1"/>
                <w:color w:val="auto"/>
              </w:rPr>
              <w:t xml:space="preserve">Reimbursable Expenses (RBR) </w:t>
            </w:r>
            <w:r>
              <w:rPr>
                <w:rFonts w:ascii="Arial" w:cs="Arial" w:eastAsia="Arial" w:hAnsi="Arial"/>
                <w:sz w:val="16"/>
                <w:szCs w:val="16"/>
                <w:color w:val="auto"/>
              </w:rPr>
              <w:t>from</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40" w:type="dxa"/>
            <w:vAlign w:val="bottom"/>
            <w:shd w:val="clear" w:color="auto" w:fill="F2F3F2"/>
          </w:tcPr>
          <w:p>
            <w:pPr>
              <w:ind w:left="40"/>
              <w:spacing w:after="0" w:line="199" w:lineRule="exact"/>
              <w:rPr>
                <w:sz w:val="20"/>
                <w:szCs w:val="20"/>
                <w:color w:val="auto"/>
              </w:rPr>
            </w:pPr>
            <w:r>
              <w:rPr>
                <w:rFonts w:ascii="Arial" w:cs="Arial" w:eastAsia="Arial" w:hAnsi="Arial"/>
                <w:sz w:val="16"/>
                <w:szCs w:val="16"/>
                <w:color w:val="auto"/>
              </w:rPr>
              <w:t>compared to 7.7% in 2024</w:t>
            </w:r>
            <w:r>
              <w:rPr>
                <w:rFonts w:ascii="Arial" w:cs="Arial" w:eastAsia="Arial" w:hAnsi="Arial"/>
                <w:sz w:val="21"/>
                <w:szCs w:val="21"/>
                <w:color w:val="auto"/>
                <w:vertAlign w:val="superscript"/>
              </w:rPr>
              <w:t>6</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920" w:type="dxa"/>
            <w:vAlign w:val="bottom"/>
            <w:gridSpan w:val="2"/>
            <w:shd w:val="clear" w:color="auto" w:fill="F2F3F2"/>
          </w:tcPr>
          <w:p>
            <w:pPr>
              <w:ind w:left="60"/>
              <w:spacing w:after="0" w:line="199" w:lineRule="exact"/>
              <w:rPr>
                <w:sz w:val="20"/>
                <w:szCs w:val="20"/>
                <w:color w:val="auto"/>
              </w:rPr>
            </w:pPr>
            <w:r>
              <w:rPr>
                <w:rFonts w:ascii="Arial" w:cs="Arial" w:eastAsia="Arial" w:hAnsi="Arial"/>
                <w:sz w:val="16"/>
                <w:szCs w:val="16"/>
                <w:b w:val="1"/>
                <w:bCs w:val="1"/>
                <w:color w:val="auto"/>
              </w:rPr>
              <w:t>EBITDA Margin</w:t>
            </w:r>
            <w:r>
              <w:rPr>
                <w:rFonts w:ascii="Arial" w:cs="Arial" w:eastAsia="Arial" w:hAnsi="Arial"/>
                <w:sz w:val="21"/>
                <w:szCs w:val="21"/>
                <w:b w:val="1"/>
                <w:bCs w:val="1"/>
                <w:color w:val="auto"/>
                <w:vertAlign w:val="superscript"/>
              </w:rPr>
              <w:t>7</w:t>
            </w:r>
            <w:r>
              <w:rPr>
                <w:rFonts w:ascii="Arial" w:cs="Arial" w:eastAsia="Arial" w:hAnsi="Arial"/>
                <w:sz w:val="16"/>
                <w:szCs w:val="16"/>
                <w:b w:val="1"/>
                <w:bCs w:val="1"/>
                <w:color w:val="auto"/>
              </w:rPr>
              <w:t xml:space="preserve"> </w:t>
            </w:r>
            <w:r>
              <w:rPr>
                <w:rFonts w:ascii="Arial" w:cs="Arial" w:eastAsia="Arial" w:hAnsi="Arial"/>
                <w:sz w:val="16"/>
                <w:szCs w:val="16"/>
                <w:color w:val="auto"/>
              </w:rPr>
              <w:t>from 2024</w:t>
            </w:r>
          </w:p>
        </w:tc>
        <w:tc>
          <w:tcPr>
            <w:tcW w:w="0" w:type="dxa"/>
            <w:vAlign w:val="bottom"/>
          </w:tcPr>
          <w:p>
            <w:pPr>
              <w:spacing w:after="0"/>
              <w:rPr>
                <w:sz w:val="1"/>
                <w:szCs w:val="1"/>
                <w:color w:val="auto"/>
              </w:rPr>
            </w:pPr>
          </w:p>
        </w:tc>
      </w:tr>
      <w:tr>
        <w:trPr>
          <w:trHeight w:val="203"/>
        </w:trPr>
        <w:tc>
          <w:tcPr>
            <w:tcW w:w="100" w:type="dxa"/>
            <w:vAlign w:val="bottom"/>
            <w:shd w:val="clear" w:color="auto" w:fill="F2F3F2"/>
          </w:tcPr>
          <w:p>
            <w:pPr>
              <w:spacing w:after="0"/>
              <w:rPr>
                <w:sz w:val="17"/>
                <w:szCs w:val="17"/>
                <w:color w:val="auto"/>
              </w:rPr>
            </w:pPr>
          </w:p>
        </w:tc>
        <w:tc>
          <w:tcPr>
            <w:tcW w:w="2860" w:type="dxa"/>
            <w:vAlign w:val="bottom"/>
            <w:shd w:val="clear" w:color="auto" w:fill="F2F3F2"/>
          </w:tcPr>
          <w:p>
            <w:pPr>
              <w:ind w:left="40"/>
              <w:spacing w:after="0"/>
              <w:rPr>
                <w:sz w:val="20"/>
                <w:szCs w:val="20"/>
                <w:color w:val="auto"/>
              </w:rPr>
            </w:pPr>
            <w:r>
              <w:rPr>
                <w:rFonts w:ascii="Arial" w:cs="Arial" w:eastAsia="Arial" w:hAnsi="Arial"/>
                <w:sz w:val="16"/>
                <w:szCs w:val="16"/>
                <w:color w:val="auto"/>
              </w:rPr>
              <w:t>2024, driven by growth across all</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40" w:type="dxa"/>
            <w:vAlign w:val="bottom"/>
            <w:shd w:val="clear" w:color="auto" w:fill="F2F3F2"/>
          </w:tcPr>
          <w:p>
            <w:pPr>
              <w:spacing w:after="0"/>
              <w:rPr>
                <w:sz w:val="17"/>
                <w:szCs w:val="17"/>
                <w:color w:val="auto"/>
              </w:rPr>
            </w:pP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20" w:type="dxa"/>
            <w:vAlign w:val="bottom"/>
            <w:shd w:val="clear" w:color="auto" w:fill="F2F3F2"/>
          </w:tcPr>
          <w:p>
            <w:pPr>
              <w:spacing w:after="0"/>
              <w:rPr>
                <w:sz w:val="17"/>
                <w:szCs w:val="17"/>
                <w:color w:val="auto"/>
              </w:rPr>
            </w:pPr>
          </w:p>
        </w:tc>
        <w:tc>
          <w:tcPr>
            <w:tcW w:w="100" w:type="dxa"/>
            <w:vAlign w:val="bottom"/>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0" w:type="dxa"/>
            <w:vAlign w:val="bottom"/>
            <w:tcBorders>
              <w:bottom w:val="single" w:sz="8" w:color="F2F3F2"/>
            </w:tcBorders>
            <w:shd w:val="clear" w:color="auto" w:fill="F2F3F2"/>
          </w:tcPr>
          <w:p>
            <w:pPr>
              <w:spacing w:after="0"/>
              <w:rPr>
                <w:sz w:val="20"/>
                <w:szCs w:val="20"/>
                <w:color w:val="auto"/>
              </w:rPr>
            </w:pPr>
          </w:p>
        </w:tc>
        <w:tc>
          <w:tcPr>
            <w:tcW w:w="2860" w:type="dxa"/>
            <w:vAlign w:val="bottom"/>
            <w:tcBorders>
              <w:bottom w:val="single" w:sz="8" w:color="F2F3F2"/>
            </w:tcBorders>
            <w:shd w:val="clear" w:color="auto" w:fill="F2F3F2"/>
          </w:tcPr>
          <w:p>
            <w:pPr>
              <w:ind w:left="40"/>
              <w:spacing w:after="0" w:line="176" w:lineRule="exact"/>
              <w:rPr>
                <w:sz w:val="20"/>
                <w:szCs w:val="20"/>
                <w:color w:val="auto"/>
              </w:rPr>
            </w:pPr>
            <w:r>
              <w:rPr>
                <w:rFonts w:ascii="Arial" w:cs="Arial" w:eastAsia="Arial" w:hAnsi="Arial"/>
                <w:sz w:val="16"/>
                <w:szCs w:val="16"/>
                <w:color w:val="auto"/>
              </w:rPr>
              <w:t>three segments</w:t>
            </w:r>
          </w:p>
        </w:tc>
        <w:tc>
          <w:tcPr>
            <w:tcW w:w="100" w:type="dxa"/>
            <w:vAlign w:val="bottom"/>
            <w:tcBorders>
              <w:bottom w:val="single" w:sz="8" w:color="F2F3F2"/>
              <w:right w:val="single" w:sz="8" w:color="B2B3B6"/>
            </w:tcBorders>
            <w:shd w:val="clear" w:color="auto" w:fill="F2F3F2"/>
          </w:tcPr>
          <w:p>
            <w:pPr>
              <w:spacing w:after="0"/>
              <w:rPr>
                <w:sz w:val="20"/>
                <w:szCs w:val="20"/>
                <w:color w:val="auto"/>
              </w:rPr>
            </w:pPr>
          </w:p>
        </w:tc>
        <w:tc>
          <w:tcPr>
            <w:tcW w:w="80" w:type="dxa"/>
            <w:vAlign w:val="bottom"/>
            <w:tcBorders>
              <w:bottom w:val="single" w:sz="8" w:color="F2F3F2"/>
            </w:tcBorders>
            <w:shd w:val="clear" w:color="auto" w:fill="F2F3F2"/>
          </w:tcPr>
          <w:p>
            <w:pPr>
              <w:spacing w:after="0"/>
              <w:rPr>
                <w:sz w:val="20"/>
                <w:szCs w:val="20"/>
                <w:color w:val="auto"/>
              </w:rPr>
            </w:pPr>
          </w:p>
        </w:tc>
        <w:tc>
          <w:tcPr>
            <w:tcW w:w="2840" w:type="dxa"/>
            <w:vAlign w:val="bottom"/>
            <w:tcBorders>
              <w:bottom w:val="single" w:sz="8" w:color="F2F3F2"/>
            </w:tcBorders>
            <w:shd w:val="clear" w:color="auto" w:fill="F2F3F2"/>
          </w:tcPr>
          <w:p>
            <w:pPr>
              <w:spacing w:after="0"/>
              <w:rPr>
                <w:sz w:val="20"/>
                <w:szCs w:val="20"/>
                <w:color w:val="auto"/>
              </w:rPr>
            </w:pPr>
          </w:p>
        </w:tc>
        <w:tc>
          <w:tcPr>
            <w:tcW w:w="100" w:type="dxa"/>
            <w:vAlign w:val="bottom"/>
            <w:tcBorders>
              <w:bottom w:val="single" w:sz="8" w:color="F2F3F2"/>
              <w:right w:val="single" w:sz="8" w:color="B2B3B6"/>
            </w:tcBorders>
            <w:shd w:val="clear" w:color="auto" w:fill="F2F3F2"/>
          </w:tcPr>
          <w:p>
            <w:pPr>
              <w:spacing w:after="0"/>
              <w:rPr>
                <w:sz w:val="20"/>
                <w:szCs w:val="20"/>
                <w:color w:val="auto"/>
              </w:rPr>
            </w:pPr>
          </w:p>
        </w:tc>
        <w:tc>
          <w:tcPr>
            <w:tcW w:w="80" w:type="dxa"/>
            <w:vAlign w:val="bottom"/>
            <w:tcBorders>
              <w:bottom w:val="single" w:sz="8" w:color="F2F3F2"/>
            </w:tcBorders>
            <w:shd w:val="clear" w:color="auto" w:fill="F2F3F2"/>
          </w:tcPr>
          <w:p>
            <w:pPr>
              <w:spacing w:after="0"/>
              <w:rPr>
                <w:sz w:val="20"/>
                <w:szCs w:val="20"/>
                <w:color w:val="auto"/>
              </w:rPr>
            </w:pPr>
          </w:p>
        </w:tc>
        <w:tc>
          <w:tcPr>
            <w:tcW w:w="2820" w:type="dxa"/>
            <w:vAlign w:val="bottom"/>
            <w:tcBorders>
              <w:bottom w:val="single" w:sz="8" w:color="F2F3F2"/>
            </w:tcBorders>
            <w:shd w:val="clear" w:color="auto" w:fill="F2F3F2"/>
          </w:tcPr>
          <w:p>
            <w:pPr>
              <w:spacing w:after="0"/>
              <w:rPr>
                <w:sz w:val="20"/>
                <w:szCs w:val="20"/>
                <w:color w:val="auto"/>
              </w:rPr>
            </w:pPr>
          </w:p>
        </w:tc>
        <w:tc>
          <w:tcPr>
            <w:tcW w:w="100" w:type="dxa"/>
            <w:vAlign w:val="bottom"/>
            <w:tcBorders>
              <w:bottom w:val="single" w:sz="8" w:color="F2F3F2"/>
            </w:tcBorders>
            <w:shd w:val="clear" w:color="auto" w:fill="F2F3F2"/>
          </w:tcPr>
          <w:p>
            <w:pPr>
              <w:spacing w:after="0"/>
              <w:rPr>
                <w:sz w:val="20"/>
                <w:szCs w:val="20"/>
                <w:color w:val="auto"/>
              </w:rPr>
            </w:pPr>
          </w:p>
        </w:tc>
        <w:tc>
          <w:tcPr>
            <w:tcW w:w="0" w:type="dxa"/>
            <w:vAlign w:val="bottom"/>
          </w:tcPr>
          <w:p>
            <w:pPr>
              <w:spacing w:after="0"/>
              <w:rPr>
                <w:sz w:val="1"/>
                <w:szCs w:val="1"/>
                <w:color w:val="auto"/>
              </w:rPr>
            </w:pPr>
          </w:p>
        </w:tc>
      </w:tr>
      <w:tr>
        <w:trPr>
          <w:trHeight w:val="584"/>
        </w:trPr>
        <w:tc>
          <w:tcPr>
            <w:tcW w:w="100" w:type="dxa"/>
            <w:vAlign w:val="bottom"/>
            <w:tcBorders>
              <w:top w:val="single" w:sz="8" w:color="F2F3F2"/>
            </w:tcBorders>
            <w:shd w:val="clear" w:color="auto" w:fill="F2F3F2"/>
          </w:tcPr>
          <w:p>
            <w:pPr>
              <w:spacing w:after="0"/>
              <w:rPr>
                <w:sz w:val="24"/>
                <w:szCs w:val="24"/>
                <w:color w:val="auto"/>
              </w:rPr>
            </w:pPr>
          </w:p>
        </w:tc>
        <w:tc>
          <w:tcPr>
            <w:tcW w:w="2860" w:type="dxa"/>
            <w:vAlign w:val="bottom"/>
            <w:tcBorders>
              <w:top w:val="single" w:sz="8" w:color="B2B3B6"/>
            </w:tcBorders>
            <w:shd w:val="clear" w:color="auto" w:fill="F2F3F2"/>
          </w:tcPr>
          <w:p>
            <w:pPr>
              <w:ind w:left="40"/>
              <w:spacing w:after="0"/>
              <w:rPr>
                <w:sz w:val="20"/>
                <w:szCs w:val="20"/>
                <w:color w:val="auto"/>
              </w:rPr>
            </w:pPr>
            <w:r>
              <w:rPr>
                <w:rFonts w:ascii="Arial" w:cs="Arial" w:eastAsia="Arial" w:hAnsi="Arial"/>
                <w:sz w:val="32"/>
                <w:szCs w:val="32"/>
                <w:color w:val="6AAA37"/>
              </w:rPr>
              <w:t>$5.84</w:t>
            </w:r>
          </w:p>
        </w:tc>
        <w:tc>
          <w:tcPr>
            <w:tcW w:w="100" w:type="dxa"/>
            <w:vAlign w:val="bottom"/>
            <w:tcBorders>
              <w:top w:val="single" w:sz="8" w:color="F2F3F2"/>
              <w:right w:val="single" w:sz="8" w:color="B2B3B6"/>
            </w:tcBorders>
            <w:shd w:val="clear" w:color="auto" w:fill="F2F3F2"/>
          </w:tcPr>
          <w:p>
            <w:pPr>
              <w:spacing w:after="0"/>
              <w:rPr>
                <w:sz w:val="24"/>
                <w:szCs w:val="24"/>
                <w:color w:val="auto"/>
              </w:rPr>
            </w:pPr>
          </w:p>
        </w:tc>
        <w:tc>
          <w:tcPr>
            <w:tcW w:w="80" w:type="dxa"/>
            <w:vAlign w:val="bottom"/>
            <w:tcBorders>
              <w:top w:val="single" w:sz="8" w:color="F2F3F2"/>
            </w:tcBorders>
            <w:shd w:val="clear" w:color="auto" w:fill="F2F3F2"/>
          </w:tcPr>
          <w:p>
            <w:pPr>
              <w:spacing w:after="0"/>
              <w:rPr>
                <w:sz w:val="24"/>
                <w:szCs w:val="24"/>
                <w:color w:val="auto"/>
              </w:rPr>
            </w:pPr>
          </w:p>
        </w:tc>
        <w:tc>
          <w:tcPr>
            <w:tcW w:w="2840" w:type="dxa"/>
            <w:vAlign w:val="bottom"/>
            <w:tcBorders>
              <w:top w:val="single" w:sz="8" w:color="B2B3B6"/>
            </w:tcBorders>
            <w:shd w:val="clear" w:color="auto" w:fill="F2F3F2"/>
          </w:tcPr>
          <w:p>
            <w:pPr>
              <w:ind w:left="40"/>
              <w:spacing w:after="0"/>
              <w:rPr>
                <w:sz w:val="20"/>
                <w:szCs w:val="20"/>
                <w:color w:val="auto"/>
              </w:rPr>
            </w:pPr>
            <w:r>
              <w:rPr>
                <w:rFonts w:ascii="Arial" w:cs="Arial" w:eastAsia="Arial" w:hAnsi="Arial"/>
                <w:sz w:val="32"/>
                <w:szCs w:val="32"/>
                <w:color w:val="6AAA37"/>
              </w:rPr>
              <w:t>$7.83</w:t>
            </w:r>
          </w:p>
        </w:tc>
        <w:tc>
          <w:tcPr>
            <w:tcW w:w="100" w:type="dxa"/>
            <w:vAlign w:val="bottom"/>
            <w:tcBorders>
              <w:top w:val="single" w:sz="8" w:color="F2F3F2"/>
              <w:right w:val="single" w:sz="8" w:color="B2B3B6"/>
            </w:tcBorders>
            <w:shd w:val="clear" w:color="auto" w:fill="F2F3F2"/>
          </w:tcPr>
          <w:p>
            <w:pPr>
              <w:spacing w:after="0"/>
              <w:rPr>
                <w:sz w:val="24"/>
                <w:szCs w:val="24"/>
                <w:color w:val="auto"/>
              </w:rPr>
            </w:pPr>
          </w:p>
        </w:tc>
        <w:tc>
          <w:tcPr>
            <w:tcW w:w="80" w:type="dxa"/>
            <w:vAlign w:val="bottom"/>
            <w:tcBorders>
              <w:top w:val="single" w:sz="8" w:color="F2F3F2"/>
            </w:tcBorders>
            <w:shd w:val="clear" w:color="auto" w:fill="F2F3F2"/>
          </w:tcPr>
          <w:p>
            <w:pPr>
              <w:spacing w:after="0"/>
              <w:rPr>
                <w:sz w:val="24"/>
                <w:szCs w:val="24"/>
                <w:color w:val="auto"/>
              </w:rPr>
            </w:pPr>
          </w:p>
        </w:tc>
        <w:tc>
          <w:tcPr>
            <w:tcW w:w="2820" w:type="dxa"/>
            <w:vAlign w:val="bottom"/>
            <w:tcBorders>
              <w:top w:val="single" w:sz="8" w:color="B2B3B6"/>
            </w:tcBorders>
            <w:shd w:val="clear" w:color="auto" w:fill="F2F3F2"/>
          </w:tcPr>
          <w:p>
            <w:pPr>
              <w:ind w:left="60"/>
              <w:spacing w:after="0"/>
              <w:rPr>
                <w:sz w:val="20"/>
                <w:szCs w:val="20"/>
                <w:color w:val="auto"/>
              </w:rPr>
            </w:pPr>
            <w:r>
              <w:rPr>
                <w:rFonts w:ascii="Arial" w:cs="Arial" w:eastAsia="Arial" w:hAnsi="Arial"/>
                <w:sz w:val="32"/>
                <w:szCs w:val="32"/>
                <w:color w:val="6AAA37"/>
              </w:rPr>
              <w:t>39%</w:t>
            </w:r>
          </w:p>
        </w:tc>
        <w:tc>
          <w:tcPr>
            <w:tcW w:w="100" w:type="dxa"/>
            <w:vAlign w:val="bottom"/>
            <w:tcBorders>
              <w:top w:val="single" w:sz="8" w:color="F2F3F2"/>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F2F3F2"/>
          </w:tcPr>
          <w:p>
            <w:pPr>
              <w:spacing w:after="0"/>
              <w:rPr>
                <w:sz w:val="19"/>
                <w:szCs w:val="19"/>
                <w:color w:val="auto"/>
              </w:rPr>
            </w:pPr>
          </w:p>
        </w:tc>
        <w:tc>
          <w:tcPr>
            <w:tcW w:w="2860" w:type="dxa"/>
            <w:vAlign w:val="bottom"/>
            <w:shd w:val="clear" w:color="auto" w:fill="F2F3F2"/>
          </w:tcPr>
          <w:p>
            <w:pPr>
              <w:ind w:left="40"/>
              <w:spacing w:after="0"/>
              <w:rPr>
                <w:sz w:val="20"/>
                <w:szCs w:val="20"/>
                <w:color w:val="auto"/>
              </w:rPr>
            </w:pPr>
            <w:r>
              <w:rPr>
                <w:rFonts w:ascii="Arial" w:cs="Arial" w:eastAsia="Arial" w:hAnsi="Arial"/>
                <w:sz w:val="16"/>
                <w:szCs w:val="16"/>
                <w:b w:val="1"/>
                <w:bCs w:val="1"/>
                <w:color w:val="auto"/>
              </w:rPr>
              <w:t>GAAP Diluted EPS in 2025,</w:t>
            </w:r>
          </w:p>
        </w:tc>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2840" w:type="dxa"/>
            <w:vAlign w:val="bottom"/>
            <w:shd w:val="clear" w:color="auto" w:fill="F2F3F2"/>
          </w:tcPr>
          <w:p>
            <w:pPr>
              <w:ind w:left="40"/>
              <w:spacing w:after="0"/>
              <w:rPr>
                <w:sz w:val="20"/>
                <w:szCs w:val="20"/>
                <w:color w:val="auto"/>
              </w:rPr>
            </w:pPr>
            <w:r>
              <w:rPr>
                <w:rFonts w:ascii="Arial" w:cs="Arial" w:eastAsia="Arial" w:hAnsi="Arial"/>
                <w:sz w:val="16"/>
                <w:szCs w:val="16"/>
                <w:b w:val="1"/>
                <w:bCs w:val="1"/>
                <w:color w:val="auto"/>
              </w:rPr>
              <w:t>21% increase in Adjusted Diluted</w:t>
            </w:r>
          </w:p>
        </w:tc>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292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auto"/>
              </w:rPr>
              <w:t>2025 Total Shareholder Return</w:t>
            </w:r>
          </w:p>
        </w:tc>
        <w:tc>
          <w:tcPr>
            <w:tcW w:w="0" w:type="dxa"/>
            <w:vAlign w:val="bottom"/>
          </w:tcPr>
          <w:p>
            <w:pPr>
              <w:spacing w:after="0"/>
              <w:rPr>
                <w:sz w:val="1"/>
                <w:szCs w:val="1"/>
                <w:color w:val="auto"/>
              </w:rPr>
            </w:pPr>
          </w:p>
        </w:tc>
      </w:tr>
      <w:tr>
        <w:trPr>
          <w:trHeight w:val="200"/>
        </w:trPr>
        <w:tc>
          <w:tcPr>
            <w:tcW w:w="100" w:type="dxa"/>
            <w:vAlign w:val="bottom"/>
            <w:shd w:val="clear" w:color="auto" w:fill="F2F3F2"/>
          </w:tcPr>
          <w:p>
            <w:pPr>
              <w:spacing w:after="0"/>
              <w:rPr>
                <w:sz w:val="17"/>
                <w:szCs w:val="17"/>
                <w:color w:val="auto"/>
              </w:rPr>
            </w:pPr>
          </w:p>
        </w:tc>
        <w:tc>
          <w:tcPr>
            <w:tcW w:w="2860" w:type="dxa"/>
            <w:vAlign w:val="bottom"/>
            <w:shd w:val="clear" w:color="auto" w:fill="F2F3F2"/>
          </w:tcPr>
          <w:p>
            <w:pPr>
              <w:ind w:left="40"/>
              <w:spacing w:after="0" w:line="200" w:lineRule="exact"/>
              <w:rPr>
                <w:sz w:val="20"/>
                <w:szCs w:val="20"/>
                <w:color w:val="auto"/>
              </w:rPr>
            </w:pPr>
            <w:r>
              <w:rPr>
                <w:rFonts w:ascii="Arial" w:cs="Arial" w:eastAsia="Arial" w:hAnsi="Arial"/>
                <w:sz w:val="16"/>
                <w:szCs w:val="16"/>
                <w:color w:val="auto"/>
              </w:rPr>
              <w:t>compared to $6.27 in 2024</w:t>
            </w:r>
            <w:r>
              <w:rPr>
                <w:rFonts w:ascii="Arial" w:cs="Arial" w:eastAsia="Arial" w:hAnsi="Arial"/>
                <w:sz w:val="21"/>
                <w:szCs w:val="21"/>
                <w:color w:val="auto"/>
                <w:vertAlign w:val="superscript"/>
              </w:rPr>
              <w:t>6</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40" w:type="dxa"/>
            <w:vAlign w:val="bottom"/>
            <w:shd w:val="clear" w:color="auto" w:fill="F2F3F2"/>
          </w:tcPr>
          <w:p>
            <w:pPr>
              <w:ind w:left="40"/>
              <w:spacing w:after="0" w:line="200" w:lineRule="exact"/>
              <w:rPr>
                <w:sz w:val="20"/>
                <w:szCs w:val="20"/>
                <w:color w:val="auto"/>
              </w:rPr>
            </w:pPr>
            <w:r>
              <w:rPr>
                <w:rFonts w:ascii="Arial" w:cs="Arial" w:eastAsia="Arial" w:hAnsi="Arial"/>
                <w:sz w:val="16"/>
                <w:szCs w:val="16"/>
                <w:b w:val="1"/>
                <w:bCs w:val="1"/>
                <w:color w:val="auto"/>
              </w:rPr>
              <w:t>EPS</w:t>
            </w:r>
            <w:r>
              <w:rPr>
                <w:rFonts w:ascii="Arial" w:cs="Arial" w:eastAsia="Arial" w:hAnsi="Arial"/>
                <w:sz w:val="21"/>
                <w:szCs w:val="21"/>
                <w:b w:val="1"/>
                <w:bCs w:val="1"/>
                <w:color w:val="auto"/>
                <w:vertAlign w:val="superscript"/>
              </w:rPr>
              <w:t>7</w:t>
            </w:r>
            <w:r>
              <w:rPr>
                <w:rFonts w:ascii="Arial" w:cs="Arial" w:eastAsia="Arial" w:hAnsi="Arial"/>
                <w:sz w:val="16"/>
                <w:szCs w:val="16"/>
                <w:b w:val="1"/>
                <w:bCs w:val="1"/>
                <w:color w:val="auto"/>
              </w:rPr>
              <w:t xml:space="preserve"> </w:t>
            </w:r>
            <w:r>
              <w:rPr>
                <w:rFonts w:ascii="Arial" w:cs="Arial" w:eastAsia="Arial" w:hAnsi="Arial"/>
                <w:sz w:val="16"/>
                <w:szCs w:val="16"/>
                <w:color w:val="auto"/>
              </w:rPr>
              <w:t>from 2024</w:t>
            </w: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20" w:type="dxa"/>
            <w:vAlign w:val="bottom"/>
            <w:shd w:val="clear" w:color="auto" w:fill="F2F3F2"/>
          </w:tcPr>
          <w:p>
            <w:pPr>
              <w:spacing w:after="0"/>
              <w:rPr>
                <w:sz w:val="17"/>
                <w:szCs w:val="17"/>
                <w:color w:val="auto"/>
              </w:rPr>
            </w:pPr>
          </w:p>
        </w:tc>
        <w:tc>
          <w:tcPr>
            <w:tcW w:w="100" w:type="dxa"/>
            <w:vAlign w:val="bottom"/>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F2F3F2"/>
          </w:tcPr>
          <w:p>
            <w:pPr>
              <w:spacing w:after="0"/>
              <w:rPr>
                <w:sz w:val="4"/>
                <w:szCs w:val="4"/>
                <w:color w:val="auto"/>
              </w:rPr>
            </w:pPr>
          </w:p>
        </w:tc>
        <w:tc>
          <w:tcPr>
            <w:tcW w:w="2860" w:type="dxa"/>
            <w:vAlign w:val="bottom"/>
            <w:shd w:val="clear" w:color="auto" w:fill="F2F3F2"/>
          </w:tcPr>
          <w:p>
            <w:pPr>
              <w:spacing w:after="0"/>
              <w:rPr>
                <w:sz w:val="4"/>
                <w:szCs w:val="4"/>
                <w:color w:val="auto"/>
              </w:rPr>
            </w:pPr>
          </w:p>
        </w:tc>
        <w:tc>
          <w:tcPr>
            <w:tcW w:w="100" w:type="dxa"/>
            <w:vAlign w:val="bottom"/>
            <w:tcBorders>
              <w:right w:val="single" w:sz="8" w:color="B2B3B6"/>
            </w:tcBorders>
            <w:shd w:val="clear" w:color="auto" w:fill="F2F3F2"/>
          </w:tcPr>
          <w:p>
            <w:pPr>
              <w:spacing w:after="0"/>
              <w:rPr>
                <w:sz w:val="4"/>
                <w:szCs w:val="4"/>
                <w:color w:val="auto"/>
              </w:rPr>
            </w:pPr>
          </w:p>
        </w:tc>
        <w:tc>
          <w:tcPr>
            <w:tcW w:w="80" w:type="dxa"/>
            <w:vAlign w:val="bottom"/>
            <w:shd w:val="clear" w:color="auto" w:fill="F2F3F2"/>
          </w:tcPr>
          <w:p>
            <w:pPr>
              <w:spacing w:after="0"/>
              <w:rPr>
                <w:sz w:val="4"/>
                <w:szCs w:val="4"/>
                <w:color w:val="auto"/>
              </w:rPr>
            </w:pPr>
          </w:p>
        </w:tc>
        <w:tc>
          <w:tcPr>
            <w:tcW w:w="2840" w:type="dxa"/>
            <w:vAlign w:val="bottom"/>
            <w:shd w:val="clear" w:color="auto" w:fill="F2F3F2"/>
          </w:tcPr>
          <w:p>
            <w:pPr>
              <w:spacing w:after="0"/>
              <w:rPr>
                <w:sz w:val="4"/>
                <w:szCs w:val="4"/>
                <w:color w:val="auto"/>
              </w:rPr>
            </w:pPr>
          </w:p>
        </w:tc>
        <w:tc>
          <w:tcPr>
            <w:tcW w:w="100" w:type="dxa"/>
            <w:vAlign w:val="bottom"/>
            <w:tcBorders>
              <w:right w:val="single" w:sz="8" w:color="B2B3B6"/>
            </w:tcBorders>
            <w:shd w:val="clear" w:color="auto" w:fill="F2F3F2"/>
          </w:tcPr>
          <w:p>
            <w:pPr>
              <w:spacing w:after="0"/>
              <w:rPr>
                <w:sz w:val="4"/>
                <w:szCs w:val="4"/>
                <w:color w:val="auto"/>
              </w:rPr>
            </w:pPr>
          </w:p>
        </w:tc>
        <w:tc>
          <w:tcPr>
            <w:tcW w:w="80" w:type="dxa"/>
            <w:vAlign w:val="bottom"/>
            <w:shd w:val="clear" w:color="auto" w:fill="F2F3F2"/>
          </w:tcPr>
          <w:p>
            <w:pPr>
              <w:spacing w:after="0"/>
              <w:rPr>
                <w:sz w:val="4"/>
                <w:szCs w:val="4"/>
                <w:color w:val="auto"/>
              </w:rPr>
            </w:pPr>
          </w:p>
        </w:tc>
        <w:tc>
          <w:tcPr>
            <w:tcW w:w="2820" w:type="dxa"/>
            <w:vAlign w:val="bottom"/>
            <w:shd w:val="clear" w:color="auto" w:fill="F2F3F2"/>
          </w:tcPr>
          <w:p>
            <w:pPr>
              <w:spacing w:after="0"/>
              <w:rPr>
                <w:sz w:val="4"/>
                <w:szCs w:val="4"/>
                <w:color w:val="auto"/>
              </w:rPr>
            </w:pPr>
          </w:p>
        </w:tc>
        <w:tc>
          <w:tcPr>
            <w:tcW w:w="100" w:type="dxa"/>
            <w:vAlign w:val="bottom"/>
            <w:shd w:val="clear" w:color="auto" w:fill="F2F3F2"/>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2"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6</w:t>
      </w:r>
    </w:p>
    <w:p>
      <w:pPr>
        <w:sectPr>
          <w:pgSz w:w="11900" w:h="16862" w:orient="portrait"/>
          <w:cols w:equalWidth="0" w:num="1">
            <w:col w:w="9080"/>
          </w:cols>
          <w:pgMar w:left="1400" w:top="114" w:right="1419" w:bottom="0" w:gutter="0" w:footer="0" w:header="0"/>
          <w:type w:val="continuous"/>
        </w:sectPr>
      </w:pPr>
    </w:p>
    <w:bookmarkStart w:id="39" w:name="page40"/>
    <w:bookmarkEnd w:id="39"/>
    <w:p>
      <w:pPr>
        <w:jc w:val="both"/>
        <w:ind w:right="20"/>
        <w:spacing w:after="0" w:line="252" w:lineRule="auto"/>
        <w:rPr>
          <w:sz w:val="20"/>
          <w:szCs w:val="20"/>
          <w:color w:val="auto"/>
        </w:rPr>
      </w:pPr>
      <w:r>
        <w:rPr>
          <w:rFonts w:ascii="Arial" w:cs="Arial" w:eastAsia="Arial" w:hAnsi="Arial"/>
          <w:sz w:val="9"/>
          <w:szCs w:val="9"/>
          <w:i w:val="1"/>
          <w:iCs w:val="1"/>
          <w:color w:val="auto"/>
        </w:rPr>
        <w:t>include</w:t>
      </w:r>
      <w:r>
        <w:rPr>
          <w:rFonts w:ascii="Arial" w:cs="Arial" w:eastAsia="Arial" w:hAnsi="Arial"/>
          <w:sz w:val="16"/>
          <w:szCs w:val="16"/>
          <w:i w:val="1"/>
          <w:iCs w:val="1"/>
          <w:color w:val="auto"/>
          <w:vertAlign w:val="superscript"/>
        </w:rPr>
        <w:t>Results</w:t>
      </w:r>
      <w:r>
        <w:rPr>
          <w:rFonts w:ascii="Arial" w:cs="Arial" w:eastAsia="Arial" w:hAnsi="Arial"/>
          <w:sz w:val="9"/>
          <w:szCs w:val="9"/>
          <w:i w:val="1"/>
          <w:iCs w:val="1"/>
          <w:color w:val="auto"/>
        </w:rPr>
        <w:t>an</w:t>
      </w:r>
      <w:r>
        <w:rPr>
          <w:rFonts w:ascii="Arial" w:cs="Arial" w:eastAsia="Arial" w:hAnsi="Arial"/>
          <w:sz w:val="16"/>
          <w:szCs w:val="16"/>
          <w:i w:val="1"/>
          <w:iCs w:val="1"/>
          <w:color w:val="auto"/>
          <w:vertAlign w:val="superscript"/>
        </w:rPr>
        <w:t>for</w:t>
      </w:r>
      <w:r>
        <w:rPr>
          <w:rFonts w:ascii="Arial" w:cs="Arial" w:eastAsia="Arial" w:hAnsi="Arial"/>
          <w:sz w:val="9"/>
          <w:szCs w:val="9"/>
          <w:i w:val="1"/>
          <w:iCs w:val="1"/>
          <w:color w:val="auto"/>
        </w:rPr>
        <w:t>$11</w:t>
      </w:r>
      <w:r>
        <w:rPr>
          <w:rFonts w:ascii="Arial" w:cs="Arial" w:eastAsia="Arial" w:hAnsi="Arial"/>
          <w:sz w:val="16"/>
          <w:szCs w:val="16"/>
          <w:i w:val="1"/>
          <w:iCs w:val="1"/>
          <w:color w:val="auto"/>
          <w:vertAlign w:val="superscript"/>
        </w:rPr>
        <w:t>2025</w:t>
      </w:r>
      <w:r>
        <w:rPr>
          <w:rFonts w:ascii="Arial" w:cs="Arial" w:eastAsia="Arial" w:hAnsi="Arial"/>
          <w:sz w:val="9"/>
          <w:szCs w:val="9"/>
          <w:i w:val="1"/>
          <w:iCs w:val="1"/>
          <w:color w:val="auto"/>
        </w:rPr>
        <w:t>.1million</w:t>
      </w:r>
      <w:r>
        <w:rPr>
          <w:rFonts w:ascii="Arial" w:cs="Arial" w:eastAsia="Arial" w:hAnsi="Arial"/>
          <w:sz w:val="16"/>
          <w:szCs w:val="16"/>
          <w:i w:val="1"/>
          <w:iCs w:val="1"/>
          <w:color w:val="auto"/>
          <w:vertAlign w:val="superscript"/>
        </w:rPr>
        <w:t>include</w:t>
      </w:r>
      <w:r>
        <w:rPr>
          <w:rFonts w:ascii="Arial" w:cs="Arial" w:eastAsia="Arial" w:hAnsi="Arial"/>
          <w:sz w:val="9"/>
          <w:szCs w:val="9"/>
          <w:i w:val="1"/>
          <w:iCs w:val="1"/>
          <w:color w:val="auto"/>
        </w:rPr>
        <w:t>litigation</w:t>
      </w:r>
      <w:r>
        <w:rPr>
          <w:rFonts w:ascii="Arial" w:cs="Arial" w:eastAsia="Arial" w:hAnsi="Arial"/>
          <w:sz w:val="16"/>
          <w:szCs w:val="16"/>
          <w:i w:val="1"/>
          <w:iCs w:val="1"/>
          <w:color w:val="auto"/>
          <w:vertAlign w:val="superscript"/>
        </w:rPr>
        <w:t>$7.7million</w:t>
      </w:r>
      <w:r>
        <w:rPr>
          <w:rFonts w:ascii="Arial" w:cs="Arial" w:eastAsia="Arial" w:hAnsi="Arial"/>
          <w:sz w:val="9"/>
          <w:szCs w:val="9"/>
          <w:i w:val="1"/>
          <w:iCs w:val="1"/>
          <w:color w:val="auto"/>
        </w:rPr>
        <w:t>settlement</w:t>
      </w:r>
      <w:r>
        <w:rPr>
          <w:rFonts w:ascii="Arial" w:cs="Arial" w:eastAsia="Arial" w:hAnsi="Arial"/>
          <w:sz w:val="16"/>
          <w:szCs w:val="16"/>
          <w:i w:val="1"/>
          <w:iCs w:val="1"/>
          <w:color w:val="auto"/>
          <w:vertAlign w:val="superscript"/>
        </w:rPr>
        <w:t>ofnon</w:t>
      </w:r>
      <w:r>
        <w:rPr>
          <w:rFonts w:ascii="Arial" w:cs="Arial" w:eastAsia="Arial" w:hAnsi="Arial"/>
          <w:sz w:val="9"/>
          <w:szCs w:val="9"/>
          <w:i w:val="1"/>
          <w:iCs w:val="1"/>
          <w:color w:val="auto"/>
        </w:rPr>
        <w:t>gain,</w:t>
      </w:r>
      <w:r>
        <w:rPr>
          <w:rFonts w:ascii="Arial" w:cs="Arial" w:eastAsia="Arial" w:hAnsi="Arial"/>
          <w:sz w:val="16"/>
          <w:szCs w:val="16"/>
          <w:i w:val="1"/>
          <w:iCs w:val="1"/>
          <w:color w:val="auto"/>
          <w:vertAlign w:val="superscript"/>
        </w:rPr>
        <w:t>-cash</w:t>
      </w:r>
      <w:r>
        <w:rPr>
          <w:rFonts w:ascii="Arial" w:cs="Arial" w:eastAsia="Arial" w:hAnsi="Arial"/>
          <w:sz w:val="9"/>
          <w:szCs w:val="9"/>
          <w:i w:val="1"/>
          <w:iCs w:val="1"/>
          <w:color w:val="auto"/>
        </w:rPr>
        <w:t>net</w:t>
      </w:r>
      <w:r>
        <w:rPr>
          <w:rFonts w:ascii="Arial" w:cs="Arial" w:eastAsia="Arial" w:hAnsi="Arial"/>
          <w:sz w:val="16"/>
          <w:szCs w:val="16"/>
          <w:i w:val="1"/>
          <w:iCs w:val="1"/>
          <w:color w:val="auto"/>
          <w:vertAlign w:val="superscript"/>
        </w:rPr>
        <w:t>impairment</w:t>
      </w:r>
      <w:r>
        <w:rPr>
          <w:rFonts w:ascii="Arial" w:cs="Arial" w:eastAsia="Arial" w:hAnsi="Arial"/>
          <w:sz w:val="9"/>
          <w:szCs w:val="9"/>
          <w:i w:val="1"/>
          <w:iCs w:val="1"/>
          <w:color w:val="auto"/>
        </w:rPr>
        <w:t>oftax,related</w:t>
      </w:r>
      <w:r>
        <w:rPr>
          <w:rFonts w:ascii="Arial" w:cs="Arial" w:eastAsia="Arial" w:hAnsi="Arial"/>
          <w:sz w:val="16"/>
          <w:szCs w:val="16"/>
          <w:i w:val="1"/>
          <w:iCs w:val="1"/>
          <w:color w:val="auto"/>
          <w:vertAlign w:val="superscript"/>
        </w:rPr>
        <w:t>charges,</w:t>
      </w:r>
      <w:r>
        <w:rPr>
          <w:rFonts w:ascii="Arial" w:cs="Arial" w:eastAsia="Arial" w:hAnsi="Arial"/>
          <w:sz w:val="9"/>
          <w:szCs w:val="9"/>
          <w:i w:val="1"/>
          <w:iCs w:val="1"/>
          <w:color w:val="auto"/>
        </w:rPr>
        <w:t xml:space="preserve">toa </w:t>
      </w:r>
      <w:r>
        <w:rPr>
          <w:rFonts w:ascii="Arial" w:cs="Arial" w:eastAsia="Arial" w:hAnsi="Arial"/>
          <w:sz w:val="16"/>
          <w:szCs w:val="16"/>
          <w:i w:val="1"/>
          <w:iCs w:val="1"/>
          <w:color w:val="auto"/>
          <w:vertAlign w:val="superscript"/>
        </w:rPr>
        <w:t>net</w:t>
      </w:r>
      <w:r>
        <w:rPr>
          <w:rFonts w:ascii="Arial" w:cs="Arial" w:eastAsia="Arial" w:hAnsi="Arial"/>
          <w:sz w:val="9"/>
          <w:szCs w:val="9"/>
          <w:i w:val="1"/>
          <w:iCs w:val="1"/>
          <w:color w:val="auto"/>
        </w:rPr>
        <w:t>completed</w:t>
      </w:r>
      <w:r>
        <w:rPr>
          <w:rFonts w:ascii="Arial" w:cs="Arial" w:eastAsia="Arial" w:hAnsi="Arial"/>
          <w:sz w:val="16"/>
          <w:szCs w:val="16"/>
          <w:i w:val="1"/>
          <w:iCs w:val="1"/>
          <w:color w:val="auto"/>
          <w:vertAlign w:val="superscript"/>
        </w:rPr>
        <w:t>oftax,related</w:t>
      </w:r>
      <w:r>
        <w:rPr>
          <w:rFonts w:ascii="Arial" w:cs="Arial" w:eastAsia="Arial" w:hAnsi="Arial"/>
          <w:sz w:val="9"/>
          <w:szCs w:val="9"/>
          <w:i w:val="1"/>
          <w:iCs w:val="1"/>
          <w:color w:val="auto"/>
        </w:rPr>
        <w:t>legalmatter</w:t>
      </w:r>
      <w:r>
        <w:rPr>
          <w:rFonts w:ascii="Arial" w:cs="Arial" w:eastAsia="Arial" w:hAnsi="Arial"/>
          <w:sz w:val="16"/>
          <w:szCs w:val="16"/>
          <w:i w:val="1"/>
          <w:iCs w:val="1"/>
          <w:color w:val="auto"/>
          <w:vertAlign w:val="superscript"/>
        </w:rPr>
        <w:t>toour</w:t>
      </w:r>
      <w:r>
        <w:rPr>
          <w:rFonts w:ascii="Arial" w:cs="Arial" w:eastAsia="Arial" w:hAnsi="Arial"/>
          <w:sz w:val="9"/>
          <w:szCs w:val="9"/>
          <w:i w:val="1"/>
          <w:iCs w:val="1"/>
          <w:color w:val="auto"/>
        </w:rPr>
        <w:t>in</w:t>
      </w:r>
      <w:r>
        <w:rPr>
          <w:rFonts w:ascii="Arial" w:cs="Arial" w:eastAsia="Arial" w:hAnsi="Arial"/>
          <w:sz w:val="16"/>
          <w:szCs w:val="16"/>
          <w:i w:val="1"/>
          <w:iCs w:val="1"/>
          <w:color w:val="auto"/>
          <w:vertAlign w:val="superscript"/>
        </w:rPr>
        <w:t>convertible</w:t>
      </w:r>
      <w:r>
        <w:rPr>
          <w:rFonts w:ascii="Arial" w:cs="Arial" w:eastAsia="Arial" w:hAnsi="Arial"/>
          <w:sz w:val="9"/>
          <w:szCs w:val="9"/>
          <w:i w:val="1"/>
          <w:iCs w:val="1"/>
          <w:color w:val="auto"/>
        </w:rPr>
        <w:t>whichHuron</w:t>
      </w:r>
      <w:r>
        <w:rPr>
          <w:rFonts w:ascii="Arial" w:cs="Arial" w:eastAsia="Arial" w:hAnsi="Arial"/>
          <w:sz w:val="16"/>
          <w:szCs w:val="16"/>
          <w:i w:val="1"/>
          <w:iCs w:val="1"/>
          <w:color w:val="auto"/>
          <w:vertAlign w:val="superscript"/>
        </w:rPr>
        <w:t>debt</w:t>
      </w:r>
      <w:r>
        <w:rPr>
          <w:rFonts w:ascii="Arial" w:cs="Arial" w:eastAsia="Arial" w:hAnsi="Arial"/>
          <w:sz w:val="9"/>
          <w:szCs w:val="9"/>
          <w:i w:val="1"/>
          <w:iCs w:val="1"/>
          <w:color w:val="auto"/>
        </w:rPr>
        <w:t>was</w:t>
      </w:r>
      <w:r>
        <w:rPr>
          <w:rFonts w:ascii="Arial" w:cs="Arial" w:eastAsia="Arial" w:hAnsi="Arial"/>
          <w:sz w:val="16"/>
          <w:szCs w:val="16"/>
          <w:i w:val="1"/>
          <w:iCs w:val="1"/>
          <w:color w:val="auto"/>
          <w:vertAlign w:val="superscript"/>
        </w:rPr>
        <w:t>investment</w:t>
      </w:r>
      <w:r>
        <w:rPr>
          <w:rFonts w:ascii="Arial" w:cs="Arial" w:eastAsia="Arial" w:hAnsi="Arial"/>
          <w:sz w:val="9"/>
          <w:szCs w:val="9"/>
          <w:i w:val="1"/>
          <w:iCs w:val="1"/>
          <w:color w:val="auto"/>
        </w:rPr>
        <w:t>theplaintiff</w:t>
      </w:r>
      <w:r>
        <w:rPr>
          <w:rFonts w:ascii="Arial" w:cs="Arial" w:eastAsia="Arial" w:hAnsi="Arial"/>
          <w:sz w:val="16"/>
          <w:szCs w:val="16"/>
          <w:i w:val="1"/>
          <w:iCs w:val="1"/>
          <w:color w:val="auto"/>
          <w:vertAlign w:val="superscript"/>
        </w:rPr>
        <w:t>in</w:t>
      </w:r>
      <w:r>
        <w:rPr>
          <w:rFonts w:ascii="Arial" w:cs="Arial" w:eastAsia="Arial" w:hAnsi="Arial"/>
          <w:sz w:val="9"/>
          <w:szCs w:val="9"/>
          <w:i w:val="1"/>
          <w:iCs w:val="1"/>
          <w:color w:val="auto"/>
        </w:rPr>
        <w:t>.</w:t>
      </w:r>
      <w:r>
        <w:rPr>
          <w:rFonts w:ascii="Arial" w:cs="Arial" w:eastAsia="Arial" w:hAnsi="Arial"/>
          <w:sz w:val="16"/>
          <w:szCs w:val="16"/>
          <w:i w:val="1"/>
          <w:iCs w:val="1"/>
          <w:color w:val="auto"/>
          <w:vertAlign w:val="superscript"/>
        </w:rPr>
        <w:t>a</w:t>
      </w:r>
      <w:r>
        <w:rPr>
          <w:rFonts w:ascii="Arial" w:cs="Arial" w:eastAsia="Arial" w:hAnsi="Arial"/>
          <w:sz w:val="9"/>
          <w:szCs w:val="9"/>
          <w:i w:val="1"/>
          <w:iCs w:val="1"/>
          <w:color w:val="auto"/>
        </w:rPr>
        <w:t>See</w:t>
      </w:r>
      <w:r>
        <w:rPr>
          <w:rFonts w:ascii="Arial" w:cs="Arial" w:eastAsia="Arial" w:hAnsi="Arial"/>
          <w:sz w:val="16"/>
          <w:szCs w:val="16"/>
          <w:i w:val="1"/>
          <w:iCs w:val="1"/>
          <w:color w:val="auto"/>
          <w:vertAlign w:val="superscript"/>
        </w:rPr>
        <w:t>third</w:t>
      </w:r>
      <w:r>
        <w:rPr>
          <w:rFonts w:ascii="Arial" w:cs="Arial" w:eastAsia="Arial" w:hAnsi="Arial"/>
          <w:sz w:val="9"/>
          <w:szCs w:val="9"/>
          <w:i w:val="1"/>
          <w:iCs w:val="1"/>
          <w:color w:val="auto"/>
        </w:rPr>
        <w:t>A</w:t>
      </w:r>
      <w:r>
        <w:rPr>
          <w:rFonts w:ascii="Arial" w:cs="Arial" w:eastAsia="Arial" w:hAnsi="Arial"/>
          <w:sz w:val="16"/>
          <w:szCs w:val="16"/>
          <w:i w:val="1"/>
          <w:iCs w:val="1"/>
          <w:color w:val="auto"/>
          <w:vertAlign w:val="superscript"/>
        </w:rPr>
        <w:t>-</w:t>
      </w:r>
      <w:r>
        <w:rPr>
          <w:rFonts w:ascii="Arial" w:cs="Arial" w:eastAsia="Arial" w:hAnsi="Arial"/>
          <w:sz w:val="9"/>
          <w:szCs w:val="9"/>
          <w:i w:val="1"/>
          <w:iCs w:val="1"/>
          <w:color w:val="auto"/>
        </w:rPr>
        <w:t>p</w:t>
      </w:r>
      <w:r>
        <w:rPr>
          <w:rFonts w:ascii="Arial" w:cs="Arial" w:eastAsia="Arial" w:hAnsi="Arial"/>
          <w:sz w:val="16"/>
          <w:szCs w:val="16"/>
          <w:i w:val="1"/>
          <w:iCs w:val="1"/>
          <w:color w:val="auto"/>
          <w:vertAlign w:val="superscript"/>
        </w:rPr>
        <w:t>arty</w:t>
      </w:r>
      <w:r>
        <w:rPr>
          <w:rFonts w:ascii="Arial" w:cs="Arial" w:eastAsia="Arial" w:hAnsi="Arial"/>
          <w:sz w:val="9"/>
          <w:szCs w:val="9"/>
          <w:i w:val="1"/>
          <w:iCs w:val="1"/>
          <w:color w:val="auto"/>
        </w:rPr>
        <w:t>pendix</w:t>
      </w:r>
      <w:r>
        <w:rPr>
          <w:rFonts w:ascii="Arial" w:cs="Arial" w:eastAsia="Arial" w:hAnsi="Arial"/>
          <w:sz w:val="16"/>
          <w:szCs w:val="16"/>
          <w:i w:val="1"/>
          <w:iCs w:val="1"/>
          <w:color w:val="auto"/>
          <w:vertAlign w:val="superscript"/>
        </w:rPr>
        <w:t>.Results</w:t>
      </w:r>
      <w:r>
        <w:rPr>
          <w:rFonts w:ascii="Arial" w:cs="Arial" w:eastAsia="Arial" w:hAnsi="Arial"/>
          <w:sz w:val="9"/>
          <w:szCs w:val="9"/>
          <w:i w:val="1"/>
          <w:iCs w:val="1"/>
          <w:color w:val="auto"/>
        </w:rPr>
        <w:t>Afor the</w:t>
      </w:r>
      <w:r>
        <w:rPr>
          <w:rFonts w:ascii="Arial" w:cs="Arial" w:eastAsia="Arial" w:hAnsi="Arial"/>
          <w:sz w:val="16"/>
          <w:szCs w:val="16"/>
          <w:i w:val="1"/>
          <w:iCs w:val="1"/>
          <w:color w:val="auto"/>
          <w:vertAlign w:val="superscript"/>
        </w:rPr>
        <w:t>for 2024</w:t>
      </w:r>
      <w:r>
        <w:rPr>
          <w:rFonts w:ascii="Arial" w:cs="Arial" w:eastAsia="Arial" w:hAnsi="Arial"/>
          <w:sz w:val="9"/>
          <w:szCs w:val="9"/>
          <w:i w:val="1"/>
          <w:iCs w:val="1"/>
          <w:color w:val="auto"/>
        </w:rPr>
        <w:t>definitions of adjusted EBITDA margin, adjusted diluted earnings per share and free cash flows, and other non-GAAP financial measures included in this Proxy Statement, as well as their reconciliation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-294640</wp:posOffset>
            </wp:positionV>
            <wp:extent cx="6810375" cy="11334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10375" cy="1133475"/>
                    </a:xfrm>
                    <a:prstGeom prst="rect">
                      <a:avLst/>
                    </a:prstGeom>
                    <a:noFill/>
                  </pic:spPr>
                </pic:pic>
              </a:graphicData>
            </a:graphic>
          </wp:anchor>
        </w:drawing>
      </w:r>
    </w:p>
    <w:p>
      <w:pPr>
        <w:ind w:right="100" w:firstLine="8"/>
        <w:spacing w:after="0" w:line="224" w:lineRule="auto"/>
        <w:tabs>
          <w:tab w:leader="none" w:pos="80" w:val="left"/>
        </w:tabs>
        <w:numPr>
          <w:ilvl w:val="0"/>
          <w:numId w:val="5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A for the definitions of adjusted EBITDA margin and adjusted diluted earnings per share, and other non-GAAP financial measures included in this Proxy Statement, as well as their reconciliation to the most directly comparable GAAP financial measure.</w:t>
      </w:r>
    </w:p>
    <w:p>
      <w:pPr>
        <w:spacing w:after="0" w:line="32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34</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67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In addition to record revenues and improved profitability, we further invested in our people, our clients and our communities highlighted by the following achievements.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423"/>
        </w:trPr>
        <w:tc>
          <w:tcPr>
            <w:tcW w:w="100" w:type="dxa"/>
            <w:vAlign w:val="bottom"/>
            <w:shd w:val="clear" w:color="auto" w:fill="F2F3F2"/>
          </w:tcPr>
          <w:p>
            <w:pPr>
              <w:spacing w:after="0"/>
              <w:rPr>
                <w:sz w:val="24"/>
                <w:szCs w:val="24"/>
                <w:color w:val="auto"/>
              </w:rPr>
            </w:pPr>
          </w:p>
        </w:tc>
        <w:tc>
          <w:tcPr>
            <w:tcW w:w="2860" w:type="dxa"/>
            <w:vAlign w:val="bottom"/>
            <w:vMerge w:val="restart"/>
            <w:shd w:val="clear" w:color="auto" w:fill="F2F3F2"/>
          </w:tcPr>
          <w:p>
            <w:pPr>
              <w:jc w:val="center"/>
              <w:ind w:right="114"/>
              <w:spacing w:after="0"/>
              <w:rPr>
                <w:sz w:val="20"/>
                <w:szCs w:val="20"/>
                <w:color w:val="auto"/>
              </w:rPr>
            </w:pPr>
            <w:r>
              <w:rPr>
                <w:rFonts w:ascii="Arial" w:cs="Arial" w:eastAsia="Arial" w:hAnsi="Arial"/>
                <w:sz w:val="25"/>
                <w:szCs w:val="25"/>
                <w:color w:val="6AAA37"/>
              </w:rPr>
              <w:t>2025 Best Firms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51"/>
              <w:spacing w:after="0"/>
              <w:rPr>
                <w:sz w:val="20"/>
                <w:szCs w:val="20"/>
                <w:color w:val="auto"/>
              </w:rPr>
            </w:pPr>
            <w:r>
              <w:rPr>
                <w:rFonts w:ascii="Arial" w:cs="Arial" w:eastAsia="Arial" w:hAnsi="Arial"/>
                <w:sz w:val="25"/>
                <w:szCs w:val="25"/>
                <w:color w:val="6AAA37"/>
              </w:rPr>
              <w:t>Certified by Great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20" w:type="dxa"/>
            <w:vAlign w:val="bottom"/>
            <w:gridSpan w:val="2"/>
            <w:vMerge w:val="restart"/>
            <w:shd w:val="clear" w:color="auto" w:fill="F2F3F2"/>
          </w:tcPr>
          <w:p>
            <w:pPr>
              <w:jc w:val="center"/>
              <w:ind w:right="280"/>
              <w:spacing w:after="0"/>
              <w:rPr>
                <w:sz w:val="20"/>
                <w:szCs w:val="20"/>
                <w:color w:val="auto"/>
              </w:rPr>
            </w:pPr>
            <w:r>
              <w:rPr>
                <w:rFonts w:ascii="Arial" w:cs="Arial" w:eastAsia="Arial" w:hAnsi="Arial"/>
                <w:sz w:val="25"/>
                <w:szCs w:val="25"/>
                <w:color w:val="6AAA37"/>
              </w:rPr>
              <w:t>America’s Best</w:t>
            </w:r>
          </w:p>
        </w:tc>
        <w:tc>
          <w:tcPr>
            <w:tcW w:w="0" w:type="dxa"/>
            <w:vAlign w:val="bottom"/>
          </w:tcPr>
          <w:p>
            <w:pPr>
              <w:spacing w:after="0"/>
              <w:rPr>
                <w:sz w:val="1"/>
                <w:szCs w:val="1"/>
                <w:color w:val="auto"/>
              </w:rPr>
            </w:pPr>
          </w:p>
        </w:tc>
      </w:tr>
      <w:tr>
        <w:trPr>
          <w:trHeight w:val="122"/>
        </w:trPr>
        <w:tc>
          <w:tcPr>
            <w:tcW w:w="100" w:type="dxa"/>
            <w:vAlign w:val="bottom"/>
            <w:shd w:val="clear" w:color="auto" w:fill="F2F3F2"/>
          </w:tcPr>
          <w:p>
            <w:pPr>
              <w:spacing w:after="0"/>
              <w:rPr>
                <w:sz w:val="10"/>
                <w:szCs w:val="10"/>
                <w:color w:val="auto"/>
              </w:rPr>
            </w:pPr>
          </w:p>
        </w:tc>
        <w:tc>
          <w:tcPr>
            <w:tcW w:w="2860" w:type="dxa"/>
            <w:vAlign w:val="bottom"/>
            <w:vMerge w:val="continue"/>
            <w:shd w:val="clear" w:color="auto" w:fill="F2F3F2"/>
          </w:tcPr>
          <w:p>
            <w:pPr>
              <w:spacing w:after="0"/>
              <w:rPr>
                <w:sz w:val="10"/>
                <w:szCs w:val="10"/>
                <w:color w:val="auto"/>
              </w:rPr>
            </w:pPr>
          </w:p>
        </w:tc>
        <w:tc>
          <w:tcPr>
            <w:tcW w:w="10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840" w:type="dxa"/>
            <w:vAlign w:val="bottom"/>
            <w:vMerge w:val="restart"/>
            <w:shd w:val="clear" w:color="auto" w:fill="F2F3F2"/>
          </w:tcPr>
          <w:p>
            <w:pPr>
              <w:jc w:val="center"/>
              <w:ind w:right="111"/>
              <w:spacing w:after="0"/>
              <w:rPr>
                <w:sz w:val="20"/>
                <w:szCs w:val="20"/>
                <w:color w:val="auto"/>
              </w:rPr>
            </w:pPr>
            <w:r>
              <w:rPr>
                <w:rFonts w:ascii="Arial" w:cs="Arial" w:eastAsia="Arial" w:hAnsi="Arial"/>
                <w:sz w:val="25"/>
                <w:szCs w:val="25"/>
                <w:color w:val="6AAA37"/>
                <w:w w:val="98"/>
              </w:rPr>
              <w:t>Place To Work</w:t>
            </w:r>
          </w:p>
        </w:tc>
        <w:tc>
          <w:tcPr>
            <w:tcW w:w="10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920" w:type="dxa"/>
            <w:vAlign w:val="bottom"/>
            <w:gridSpan w:val="2"/>
            <w:vMerge w:val="continue"/>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00" w:type="dxa"/>
            <w:vAlign w:val="bottom"/>
            <w:shd w:val="clear" w:color="auto" w:fill="F2F3F2"/>
          </w:tcPr>
          <w:p>
            <w:pPr>
              <w:spacing w:after="0"/>
              <w:rPr>
                <w:sz w:val="18"/>
                <w:szCs w:val="18"/>
                <w:color w:val="auto"/>
              </w:rPr>
            </w:pPr>
          </w:p>
        </w:tc>
        <w:tc>
          <w:tcPr>
            <w:tcW w:w="2860" w:type="dxa"/>
            <w:vAlign w:val="bottom"/>
            <w:vMerge w:val="restart"/>
            <w:shd w:val="clear" w:color="auto" w:fill="F2F3F2"/>
          </w:tcPr>
          <w:p>
            <w:pPr>
              <w:jc w:val="center"/>
              <w:ind w:right="34"/>
              <w:spacing w:after="0"/>
              <w:rPr>
                <w:sz w:val="20"/>
                <w:szCs w:val="20"/>
                <w:color w:val="auto"/>
              </w:rPr>
            </w:pPr>
            <w:r>
              <w:rPr>
                <w:rFonts w:ascii="Arial" w:cs="Arial" w:eastAsia="Arial" w:hAnsi="Arial"/>
                <w:sz w:val="25"/>
                <w:szCs w:val="25"/>
                <w:color w:val="6AAA37"/>
              </w:rPr>
              <w:t>Work For</w:t>
            </w: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840" w:type="dxa"/>
            <w:vAlign w:val="bottom"/>
            <w:vMerge w:val="continue"/>
            <w:shd w:val="clear" w:color="auto" w:fill="F2F3F2"/>
          </w:tcPr>
          <w:p>
            <w:pPr>
              <w:spacing w:after="0"/>
              <w:rPr>
                <w:sz w:val="18"/>
                <w:szCs w:val="18"/>
                <w:color w:val="auto"/>
              </w:rPr>
            </w:pP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920" w:type="dxa"/>
            <w:vAlign w:val="bottom"/>
            <w:gridSpan w:val="2"/>
            <w:vMerge w:val="restart"/>
            <w:shd w:val="clear" w:color="auto" w:fill="F2F3F2"/>
          </w:tcPr>
          <w:p>
            <w:pPr>
              <w:jc w:val="center"/>
              <w:ind w:right="380"/>
              <w:spacing w:after="0"/>
              <w:rPr>
                <w:sz w:val="20"/>
                <w:szCs w:val="20"/>
                <w:color w:val="auto"/>
              </w:rPr>
            </w:pPr>
            <w:r>
              <w:rPr>
                <w:rFonts w:ascii="Arial" w:cs="Arial" w:eastAsia="Arial" w:hAnsi="Arial"/>
                <w:sz w:val="25"/>
                <w:szCs w:val="25"/>
                <w:color w:val="6AAA37"/>
              </w:rPr>
              <w:t>Midsized Companies</w:t>
            </w:r>
          </w:p>
        </w:tc>
        <w:tc>
          <w:tcPr>
            <w:tcW w:w="0" w:type="dxa"/>
            <w:vAlign w:val="bottom"/>
          </w:tcPr>
          <w:p>
            <w:pPr>
              <w:spacing w:after="0"/>
              <w:rPr>
                <w:sz w:val="1"/>
                <w:szCs w:val="1"/>
                <w:color w:val="auto"/>
              </w:rPr>
            </w:pPr>
          </w:p>
        </w:tc>
      </w:tr>
      <w:tr>
        <w:trPr>
          <w:trHeight w:val="87"/>
        </w:trPr>
        <w:tc>
          <w:tcPr>
            <w:tcW w:w="100" w:type="dxa"/>
            <w:vAlign w:val="bottom"/>
            <w:shd w:val="clear" w:color="auto" w:fill="F2F3F2"/>
          </w:tcPr>
          <w:p>
            <w:pPr>
              <w:spacing w:after="0"/>
              <w:rPr>
                <w:sz w:val="7"/>
                <w:szCs w:val="7"/>
                <w:color w:val="auto"/>
              </w:rPr>
            </w:pPr>
          </w:p>
        </w:tc>
        <w:tc>
          <w:tcPr>
            <w:tcW w:w="2860" w:type="dxa"/>
            <w:vAlign w:val="bottom"/>
            <w:vMerge w:val="continue"/>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vMerge w:val="restart"/>
            <w:shd w:val="clear" w:color="auto" w:fill="F2F3F2"/>
          </w:tcPr>
          <w:p>
            <w:pPr>
              <w:jc w:val="center"/>
              <w:spacing w:after="0"/>
              <w:rPr>
                <w:sz w:val="20"/>
                <w:szCs w:val="20"/>
                <w:color w:val="auto"/>
              </w:rPr>
            </w:pPr>
            <w:r>
              <w:rPr>
                <w:rFonts w:ascii="Arial" w:cs="Arial" w:eastAsia="Arial" w:hAnsi="Arial"/>
                <w:sz w:val="18"/>
                <w:szCs w:val="18"/>
                <w:color w:val="auto"/>
                <w:w w:val="99"/>
              </w:rPr>
              <w:t>in the U.S., Canada,</w:t>
            </w: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920" w:type="dxa"/>
            <w:vAlign w:val="bottom"/>
            <w:gridSpan w:val="2"/>
            <w:vMerge w:val="continue"/>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00" w:type="dxa"/>
            <w:vAlign w:val="bottom"/>
            <w:shd w:val="clear" w:color="auto" w:fill="F2F3F2"/>
          </w:tcPr>
          <w:p>
            <w:pPr>
              <w:spacing w:after="0"/>
              <w:rPr>
                <w:sz w:val="16"/>
                <w:szCs w:val="16"/>
                <w:color w:val="auto"/>
              </w:rPr>
            </w:pPr>
          </w:p>
        </w:tc>
        <w:tc>
          <w:tcPr>
            <w:tcW w:w="2860" w:type="dxa"/>
            <w:vAlign w:val="bottom"/>
            <w:vMerge w:val="restart"/>
            <w:shd w:val="clear" w:color="auto" w:fill="F2F3F2"/>
          </w:tcPr>
          <w:p>
            <w:pPr>
              <w:jc w:val="center"/>
              <w:ind w:right="34"/>
              <w:spacing w:after="0"/>
              <w:rPr>
                <w:sz w:val="20"/>
                <w:szCs w:val="20"/>
                <w:color w:val="auto"/>
              </w:rPr>
            </w:pPr>
            <w:r>
              <w:rPr>
                <w:rFonts w:ascii="Arial" w:cs="Arial" w:eastAsia="Arial" w:hAnsi="Arial"/>
                <w:sz w:val="18"/>
                <w:szCs w:val="18"/>
                <w:color w:val="auto"/>
                <w:w w:val="99"/>
              </w:rPr>
              <w:t>15 consecutive years</w:t>
            </w:r>
          </w:p>
        </w:tc>
        <w:tc>
          <w:tcPr>
            <w:tcW w:w="100" w:type="dxa"/>
            <w:vAlign w:val="bottom"/>
            <w:tcBorders>
              <w:right w:val="single" w:sz="8" w:color="B2B3B6"/>
            </w:tcBorders>
            <w:shd w:val="clear" w:color="auto" w:fill="F2F3F2"/>
          </w:tcPr>
          <w:p>
            <w:pPr>
              <w:spacing w:after="0"/>
              <w:rPr>
                <w:sz w:val="16"/>
                <w:szCs w:val="16"/>
                <w:color w:val="auto"/>
              </w:rPr>
            </w:pPr>
          </w:p>
        </w:tc>
        <w:tc>
          <w:tcPr>
            <w:tcW w:w="80" w:type="dxa"/>
            <w:vAlign w:val="bottom"/>
            <w:shd w:val="clear" w:color="auto" w:fill="F2F3F2"/>
          </w:tcPr>
          <w:p>
            <w:pPr>
              <w:spacing w:after="0"/>
              <w:rPr>
                <w:sz w:val="16"/>
                <w:szCs w:val="16"/>
                <w:color w:val="auto"/>
              </w:rPr>
            </w:pPr>
          </w:p>
        </w:tc>
        <w:tc>
          <w:tcPr>
            <w:tcW w:w="2840" w:type="dxa"/>
            <w:vAlign w:val="bottom"/>
            <w:vMerge w:val="continue"/>
            <w:shd w:val="clear" w:color="auto" w:fill="F2F3F2"/>
          </w:tcPr>
          <w:p>
            <w:pPr>
              <w:spacing w:after="0"/>
              <w:rPr>
                <w:sz w:val="16"/>
                <w:szCs w:val="16"/>
                <w:color w:val="auto"/>
              </w:rPr>
            </w:pPr>
          </w:p>
        </w:tc>
        <w:tc>
          <w:tcPr>
            <w:tcW w:w="100" w:type="dxa"/>
            <w:vAlign w:val="bottom"/>
            <w:tcBorders>
              <w:right w:val="single" w:sz="8" w:color="B2B3B6"/>
            </w:tcBorders>
            <w:shd w:val="clear" w:color="auto" w:fill="F2F3F2"/>
          </w:tcPr>
          <w:p>
            <w:pPr>
              <w:spacing w:after="0"/>
              <w:rPr>
                <w:sz w:val="16"/>
                <w:szCs w:val="16"/>
                <w:color w:val="auto"/>
              </w:rPr>
            </w:pPr>
          </w:p>
        </w:tc>
        <w:tc>
          <w:tcPr>
            <w:tcW w:w="2900" w:type="dxa"/>
            <w:vAlign w:val="bottom"/>
            <w:gridSpan w:val="2"/>
            <w:vMerge w:val="restart"/>
            <w:shd w:val="clear" w:color="auto" w:fill="F2F3F2"/>
          </w:tcPr>
          <w:p>
            <w:pPr>
              <w:jc w:val="right"/>
              <w:ind w:right="1031"/>
              <w:spacing w:after="0"/>
              <w:rPr>
                <w:sz w:val="20"/>
                <w:szCs w:val="20"/>
                <w:color w:val="auto"/>
              </w:rPr>
            </w:pPr>
            <w:r>
              <w:rPr>
                <w:rFonts w:ascii="Arial" w:cs="Arial" w:eastAsia="Arial" w:hAnsi="Arial"/>
                <w:sz w:val="25"/>
                <w:szCs w:val="25"/>
                <w:color w:val="6AAA37"/>
              </w:rPr>
              <w:t>2025</w:t>
            </w:r>
          </w:p>
        </w:tc>
        <w:tc>
          <w:tcPr>
            <w:tcW w:w="10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00" w:type="dxa"/>
            <w:vAlign w:val="bottom"/>
            <w:shd w:val="clear" w:color="auto" w:fill="F2F3F2"/>
          </w:tcPr>
          <w:p>
            <w:pPr>
              <w:spacing w:after="0"/>
              <w:rPr>
                <w:sz w:val="12"/>
                <w:szCs w:val="12"/>
                <w:color w:val="auto"/>
              </w:rPr>
            </w:pPr>
          </w:p>
        </w:tc>
        <w:tc>
          <w:tcPr>
            <w:tcW w:w="2860" w:type="dxa"/>
            <w:vAlign w:val="bottom"/>
            <w:vMerge w:val="continue"/>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vMerge w:val="restart"/>
            <w:shd w:val="clear" w:color="auto" w:fill="F2F3F2"/>
          </w:tcPr>
          <w:p>
            <w:pPr>
              <w:jc w:val="center"/>
              <w:ind w:right="131"/>
              <w:spacing w:after="0"/>
              <w:rPr>
                <w:sz w:val="20"/>
                <w:szCs w:val="20"/>
                <w:color w:val="auto"/>
              </w:rPr>
            </w:pPr>
            <w:r>
              <w:rPr>
                <w:rFonts w:ascii="Arial" w:cs="Arial" w:eastAsia="Arial" w:hAnsi="Arial"/>
                <w:sz w:val="18"/>
                <w:szCs w:val="18"/>
                <w:color w:val="auto"/>
                <w:w w:val="99"/>
              </w:rPr>
              <w:t>India, Singapore, and the U.K.</w:t>
            </w:r>
          </w:p>
        </w:tc>
        <w:tc>
          <w:tcPr>
            <w:tcW w:w="100" w:type="dxa"/>
            <w:vAlign w:val="bottom"/>
            <w:tcBorders>
              <w:right w:val="single" w:sz="8" w:color="B2B3B6"/>
            </w:tcBorders>
            <w:shd w:val="clear" w:color="auto" w:fill="F2F3F2"/>
          </w:tcPr>
          <w:p>
            <w:pPr>
              <w:spacing w:after="0"/>
              <w:rPr>
                <w:sz w:val="12"/>
                <w:szCs w:val="12"/>
                <w:color w:val="auto"/>
              </w:rPr>
            </w:pPr>
          </w:p>
        </w:tc>
        <w:tc>
          <w:tcPr>
            <w:tcW w:w="2900" w:type="dxa"/>
            <w:vAlign w:val="bottom"/>
            <w:gridSpan w:val="2"/>
            <w:vMerge w:val="continue"/>
            <w:shd w:val="clear" w:color="auto" w:fill="F2F3F2"/>
          </w:tcPr>
          <w:p>
            <w:pPr>
              <w:spacing w:after="0"/>
              <w:rPr>
                <w:sz w:val="12"/>
                <w:szCs w:val="12"/>
                <w:color w:val="auto"/>
              </w:rPr>
            </w:pPr>
          </w:p>
        </w:tc>
        <w:tc>
          <w:tcPr>
            <w:tcW w:w="10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 w:type="dxa"/>
            <w:vAlign w:val="bottom"/>
            <w:shd w:val="clear" w:color="auto" w:fill="F2F3F2"/>
          </w:tcPr>
          <w:p>
            <w:pPr>
              <w:spacing w:after="0"/>
              <w:rPr>
                <w:sz w:val="11"/>
                <w:szCs w:val="11"/>
                <w:color w:val="auto"/>
              </w:rPr>
            </w:pPr>
          </w:p>
        </w:tc>
        <w:tc>
          <w:tcPr>
            <w:tcW w:w="2860" w:type="dxa"/>
            <w:vAlign w:val="bottom"/>
            <w:shd w:val="clear" w:color="auto" w:fill="F2F3F2"/>
          </w:tcPr>
          <w:p>
            <w:pPr>
              <w:spacing w:after="0"/>
              <w:rPr>
                <w:sz w:val="11"/>
                <w:szCs w:val="11"/>
                <w:color w:val="auto"/>
              </w:rPr>
            </w:pPr>
          </w:p>
        </w:tc>
        <w:tc>
          <w:tcPr>
            <w:tcW w:w="10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840" w:type="dxa"/>
            <w:vAlign w:val="bottom"/>
            <w:vMerge w:val="continue"/>
            <w:shd w:val="clear" w:color="auto" w:fill="F2F3F2"/>
          </w:tcPr>
          <w:p>
            <w:pPr>
              <w:spacing w:after="0"/>
              <w:rPr>
                <w:sz w:val="11"/>
                <w:szCs w:val="11"/>
                <w:color w:val="auto"/>
              </w:rPr>
            </w:pPr>
          </w:p>
        </w:tc>
        <w:tc>
          <w:tcPr>
            <w:tcW w:w="10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820" w:type="dxa"/>
            <w:vAlign w:val="bottom"/>
            <w:shd w:val="clear" w:color="auto" w:fill="F2F3F2"/>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F2F3F2"/>
          </w:tcPr>
          <w:p>
            <w:pPr>
              <w:spacing w:after="0"/>
              <w:rPr>
                <w:sz w:val="12"/>
                <w:szCs w:val="12"/>
                <w:color w:val="auto"/>
              </w:rPr>
            </w:pPr>
          </w:p>
        </w:tc>
        <w:tc>
          <w:tcPr>
            <w:tcW w:w="2860" w:type="dxa"/>
            <w:vAlign w:val="bottom"/>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20" w:type="dxa"/>
            <w:vAlign w:val="bottom"/>
            <w:shd w:val="clear" w:color="auto" w:fill="F2F3F2"/>
          </w:tcPr>
          <w:p>
            <w:pPr>
              <w:spacing w:after="0"/>
              <w:rPr>
                <w:sz w:val="12"/>
                <w:szCs w:val="12"/>
                <w:color w:val="auto"/>
              </w:rPr>
            </w:pPr>
          </w:p>
        </w:tc>
        <w:tc>
          <w:tcPr>
            <w:tcW w:w="10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54"/>
              <w:spacing w:after="0"/>
              <w:rPr>
                <w:sz w:val="20"/>
                <w:szCs w:val="20"/>
                <w:color w:val="auto"/>
              </w:rPr>
            </w:pPr>
            <w:r>
              <w:rPr>
                <w:rFonts w:ascii="Arial" w:cs="Arial" w:eastAsia="Arial" w:hAnsi="Arial"/>
                <w:sz w:val="16"/>
                <w:szCs w:val="16"/>
                <w:b w:val="1"/>
                <w:bCs w:val="1"/>
                <w:color w:val="FFFFFF"/>
              </w:rPr>
              <w:t>Consulting Magazine</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ind w:right="71"/>
              <w:spacing w:after="0"/>
              <w:rPr>
                <w:sz w:val="20"/>
                <w:szCs w:val="20"/>
                <w:color w:val="auto"/>
              </w:rPr>
            </w:pPr>
            <w:r>
              <w:rPr>
                <w:rFonts w:ascii="Arial" w:cs="Arial" w:eastAsia="Arial" w:hAnsi="Arial"/>
                <w:sz w:val="16"/>
                <w:szCs w:val="16"/>
                <w:b w:val="1"/>
                <w:bCs w:val="1"/>
                <w:color w:val="FFFFFF"/>
              </w:rPr>
              <w:t>Great Place to Work</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TIME Magazine</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shd w:val="clear" w:color="auto" w:fill="F2F3F2"/>
          </w:tcPr>
          <w:p>
            <w:pPr>
              <w:spacing w:after="0"/>
              <w:rPr>
                <w:sz w:val="6"/>
                <w:szCs w:val="6"/>
                <w:color w:val="auto"/>
              </w:rPr>
            </w:pPr>
          </w:p>
        </w:tc>
        <w:tc>
          <w:tcPr>
            <w:tcW w:w="286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4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20" w:type="dxa"/>
            <w:vAlign w:val="bottom"/>
            <w:shd w:val="clear" w:color="auto" w:fill="00558C"/>
          </w:tcPr>
          <w:p>
            <w:pPr>
              <w:spacing w:after="0"/>
              <w:rPr>
                <w:sz w:val="6"/>
                <w:szCs w:val="6"/>
                <w:color w:val="auto"/>
              </w:rPr>
            </w:pPr>
          </w:p>
        </w:tc>
        <w:tc>
          <w:tcPr>
            <w:tcW w:w="10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518"/>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74"/>
              <w:spacing w:after="0"/>
              <w:rPr>
                <w:sz w:val="20"/>
                <w:szCs w:val="20"/>
                <w:color w:val="auto"/>
              </w:rPr>
            </w:pPr>
            <w:r>
              <w:rPr>
                <w:rFonts w:ascii="Arial" w:cs="Arial" w:eastAsia="Arial" w:hAnsi="Arial"/>
                <w:sz w:val="25"/>
                <w:szCs w:val="25"/>
                <w:color w:val="6AAA37"/>
                <w:w w:val="99"/>
              </w:rPr>
              <w:t>2025 Top Consulting</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91"/>
              <w:spacing w:after="0"/>
              <w:rPr>
                <w:sz w:val="20"/>
                <w:szCs w:val="20"/>
                <w:color w:val="auto"/>
              </w:rPr>
            </w:pPr>
            <w:r>
              <w:rPr>
                <w:rFonts w:ascii="Arial" w:cs="Arial" w:eastAsia="Arial" w:hAnsi="Arial"/>
                <w:sz w:val="25"/>
                <w:szCs w:val="25"/>
                <w:color w:val="6AAA37"/>
              </w:rPr>
              <w:t>2025 Best Place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91"/>
              <w:spacing w:after="0"/>
              <w:rPr>
                <w:sz w:val="20"/>
                <w:szCs w:val="20"/>
                <w:color w:val="auto"/>
              </w:rPr>
            </w:pPr>
            <w:r>
              <w:rPr>
                <w:rFonts w:ascii="Arial" w:cs="Arial" w:eastAsia="Arial" w:hAnsi="Arial"/>
                <w:sz w:val="25"/>
                <w:szCs w:val="25"/>
                <w:color w:val="6AAA37"/>
                <w:w w:val="99"/>
              </w:rPr>
              <w:t>2025 Top Ranked</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spacing w:after="0"/>
              <w:rPr>
                <w:sz w:val="20"/>
                <w:szCs w:val="20"/>
                <w:color w:val="auto"/>
              </w:rPr>
            </w:pPr>
            <w:r>
              <w:rPr>
                <w:rFonts w:ascii="Arial" w:cs="Arial" w:eastAsia="Arial" w:hAnsi="Arial"/>
                <w:sz w:val="25"/>
                <w:szCs w:val="25"/>
                <w:color w:val="6AAA37"/>
              </w:rPr>
              <w:t>Firms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spacing w:after="0"/>
              <w:rPr>
                <w:sz w:val="20"/>
                <w:szCs w:val="20"/>
                <w:color w:val="auto"/>
              </w:rPr>
            </w:pPr>
            <w:r>
              <w:rPr>
                <w:rFonts w:ascii="Arial" w:cs="Arial" w:eastAsia="Arial" w:hAnsi="Arial"/>
                <w:sz w:val="25"/>
                <w:szCs w:val="25"/>
                <w:color w:val="6AAA37"/>
                <w:w w:val="99"/>
              </w:rPr>
              <w:t>Work</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51"/>
              <w:spacing w:after="0"/>
              <w:rPr>
                <w:sz w:val="20"/>
                <w:szCs w:val="20"/>
                <w:color w:val="auto"/>
              </w:rPr>
            </w:pPr>
            <w:r>
              <w:rPr>
                <w:rFonts w:ascii="Arial" w:cs="Arial" w:eastAsia="Arial" w:hAnsi="Arial"/>
                <w:sz w:val="25"/>
                <w:szCs w:val="25"/>
                <w:color w:val="6AAA37"/>
              </w:rPr>
              <w:t>Consulting Firm</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54"/>
              <w:spacing w:after="0"/>
              <w:rPr>
                <w:sz w:val="20"/>
                <w:szCs w:val="20"/>
                <w:color w:val="auto"/>
              </w:rPr>
            </w:pPr>
            <w:r>
              <w:rPr>
                <w:rFonts w:ascii="Arial" w:cs="Arial" w:eastAsia="Arial" w:hAnsi="Arial"/>
                <w:sz w:val="16"/>
                <w:szCs w:val="16"/>
                <w:b w:val="1"/>
                <w:bCs w:val="1"/>
                <w:color w:val="FFFFFF"/>
              </w:rPr>
              <w:t>The Consulting Report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Glassdoor</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ind w:right="91"/>
              <w:spacing w:after="0"/>
              <w:rPr>
                <w:sz w:val="20"/>
                <w:szCs w:val="20"/>
                <w:color w:val="auto"/>
              </w:rPr>
            </w:pPr>
            <w:r>
              <w:rPr>
                <w:rFonts w:ascii="Arial" w:cs="Arial" w:eastAsia="Arial" w:hAnsi="Arial"/>
                <w:sz w:val="16"/>
                <w:szCs w:val="16"/>
                <w:b w:val="1"/>
                <w:bCs w:val="1"/>
                <w:color w:val="FFFFFF"/>
              </w:rPr>
              <w:t>Management Consulted</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F2F3F2"/>
            </w:tcBorders>
            <w:shd w:val="clear" w:color="auto" w:fill="F2F3F2"/>
          </w:tcPr>
          <w:p>
            <w:pPr>
              <w:spacing w:after="0"/>
              <w:rPr>
                <w:sz w:val="6"/>
                <w:szCs w:val="6"/>
                <w:color w:val="auto"/>
              </w:rPr>
            </w:pPr>
          </w:p>
        </w:tc>
        <w:tc>
          <w:tcPr>
            <w:tcW w:w="2860" w:type="dxa"/>
            <w:vAlign w:val="bottom"/>
            <w:tcBorders>
              <w:bottom w:val="single" w:sz="8" w:color="F2F3F2"/>
            </w:tcBorders>
            <w:shd w:val="clear" w:color="auto" w:fill="00558C"/>
          </w:tcPr>
          <w:p>
            <w:pPr>
              <w:spacing w:after="0"/>
              <w:rPr>
                <w:sz w:val="6"/>
                <w:szCs w:val="6"/>
                <w:color w:val="auto"/>
              </w:rPr>
            </w:pPr>
          </w:p>
        </w:tc>
        <w:tc>
          <w:tcPr>
            <w:tcW w:w="100" w:type="dxa"/>
            <w:vAlign w:val="bottom"/>
            <w:tcBorders>
              <w:bottom w:val="single" w:sz="8" w:color="F2F3F2"/>
              <w:right w:val="single" w:sz="8" w:color="B2B3B6"/>
            </w:tcBorders>
            <w:shd w:val="clear" w:color="auto" w:fill="F2F3F2"/>
          </w:tcPr>
          <w:p>
            <w:pPr>
              <w:spacing w:after="0"/>
              <w:rPr>
                <w:sz w:val="6"/>
                <w:szCs w:val="6"/>
                <w:color w:val="auto"/>
              </w:rPr>
            </w:pPr>
          </w:p>
        </w:tc>
        <w:tc>
          <w:tcPr>
            <w:tcW w:w="80" w:type="dxa"/>
            <w:vAlign w:val="bottom"/>
            <w:tcBorders>
              <w:bottom w:val="single" w:sz="8" w:color="F2F3F2"/>
            </w:tcBorders>
            <w:shd w:val="clear" w:color="auto" w:fill="F2F3F2"/>
          </w:tcPr>
          <w:p>
            <w:pPr>
              <w:spacing w:after="0"/>
              <w:rPr>
                <w:sz w:val="6"/>
                <w:szCs w:val="6"/>
                <w:color w:val="auto"/>
              </w:rPr>
            </w:pPr>
          </w:p>
        </w:tc>
        <w:tc>
          <w:tcPr>
            <w:tcW w:w="2840" w:type="dxa"/>
            <w:vAlign w:val="bottom"/>
            <w:tcBorders>
              <w:bottom w:val="single" w:sz="8" w:color="B2B3B6"/>
            </w:tcBorders>
            <w:shd w:val="clear" w:color="auto" w:fill="00558C"/>
          </w:tcPr>
          <w:p>
            <w:pPr>
              <w:spacing w:after="0"/>
              <w:rPr>
                <w:sz w:val="6"/>
                <w:szCs w:val="6"/>
                <w:color w:val="auto"/>
              </w:rPr>
            </w:pPr>
          </w:p>
        </w:tc>
        <w:tc>
          <w:tcPr>
            <w:tcW w:w="100" w:type="dxa"/>
            <w:vAlign w:val="bottom"/>
            <w:tcBorders>
              <w:bottom w:val="single" w:sz="8" w:color="F2F3F2"/>
              <w:right w:val="single" w:sz="8" w:color="B2B3B6"/>
            </w:tcBorders>
            <w:shd w:val="clear" w:color="auto" w:fill="F2F3F2"/>
          </w:tcPr>
          <w:p>
            <w:pPr>
              <w:spacing w:after="0"/>
              <w:rPr>
                <w:sz w:val="6"/>
                <w:szCs w:val="6"/>
                <w:color w:val="auto"/>
              </w:rPr>
            </w:pPr>
          </w:p>
        </w:tc>
        <w:tc>
          <w:tcPr>
            <w:tcW w:w="80" w:type="dxa"/>
            <w:vAlign w:val="bottom"/>
            <w:tcBorders>
              <w:bottom w:val="single" w:sz="8" w:color="F2F3F2"/>
            </w:tcBorders>
            <w:shd w:val="clear" w:color="auto" w:fill="F2F3F2"/>
          </w:tcPr>
          <w:p>
            <w:pPr>
              <w:spacing w:after="0"/>
              <w:rPr>
                <w:sz w:val="6"/>
                <w:szCs w:val="6"/>
                <w:color w:val="auto"/>
              </w:rPr>
            </w:pPr>
          </w:p>
        </w:tc>
        <w:tc>
          <w:tcPr>
            <w:tcW w:w="2820" w:type="dxa"/>
            <w:vAlign w:val="bottom"/>
            <w:tcBorders>
              <w:bottom w:val="single" w:sz="8" w:color="B2B3B6"/>
            </w:tcBorders>
            <w:shd w:val="clear" w:color="auto" w:fill="00558C"/>
          </w:tcPr>
          <w:p>
            <w:pPr>
              <w:spacing w:after="0"/>
              <w:rPr>
                <w:sz w:val="6"/>
                <w:szCs w:val="6"/>
                <w:color w:val="auto"/>
              </w:rPr>
            </w:pPr>
          </w:p>
        </w:tc>
        <w:tc>
          <w:tcPr>
            <w:tcW w:w="100" w:type="dxa"/>
            <w:vAlign w:val="bottom"/>
            <w:tcBorders>
              <w:bottom w:val="single" w:sz="8" w:color="F2F3F2"/>
            </w:tcBorders>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94"/>
              <w:spacing w:after="0"/>
              <w:rPr>
                <w:sz w:val="20"/>
                <w:szCs w:val="20"/>
                <w:color w:val="auto"/>
              </w:rPr>
            </w:pPr>
            <w:r>
              <w:rPr>
                <w:rFonts w:ascii="Arial" w:cs="Arial" w:eastAsia="Arial" w:hAnsi="Arial"/>
                <w:sz w:val="25"/>
                <w:szCs w:val="25"/>
                <w:color w:val="6AAA37"/>
                <w:w w:val="98"/>
              </w:rPr>
              <w:t>2025 Early Talent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11"/>
              <w:spacing w:after="0"/>
              <w:rPr>
                <w:sz w:val="20"/>
                <w:szCs w:val="20"/>
                <w:color w:val="auto"/>
              </w:rPr>
            </w:pPr>
            <w:r>
              <w:rPr>
                <w:rFonts w:ascii="Arial" w:cs="Arial" w:eastAsia="Arial" w:hAnsi="Arial"/>
                <w:sz w:val="25"/>
                <w:szCs w:val="25"/>
                <w:color w:val="6AAA37"/>
                <w:w w:val="99"/>
              </w:rPr>
              <w:t>2025 World’s Best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31"/>
              <w:spacing w:after="0"/>
              <w:rPr>
                <w:sz w:val="20"/>
                <w:szCs w:val="20"/>
                <w:color w:val="auto"/>
              </w:rPr>
            </w:pPr>
            <w:r>
              <w:rPr>
                <w:rFonts w:ascii="Arial" w:cs="Arial" w:eastAsia="Arial" w:hAnsi="Arial"/>
                <w:sz w:val="25"/>
                <w:szCs w:val="25"/>
                <w:color w:val="6AAA37"/>
              </w:rPr>
              <w:t>Most Prestigious</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4"/>
              <w:spacing w:after="0"/>
              <w:rPr>
                <w:sz w:val="20"/>
                <w:szCs w:val="20"/>
                <w:color w:val="auto"/>
              </w:rPr>
            </w:pPr>
            <w:r>
              <w:rPr>
                <w:rFonts w:ascii="Arial" w:cs="Arial" w:eastAsia="Arial" w:hAnsi="Arial"/>
                <w:sz w:val="25"/>
                <w:szCs w:val="25"/>
                <w:color w:val="6AAA37"/>
                <w:w w:val="98"/>
              </w:rPr>
              <w:t>Awards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51"/>
              <w:spacing w:after="0"/>
              <w:rPr>
                <w:sz w:val="20"/>
                <w:szCs w:val="20"/>
                <w:color w:val="auto"/>
              </w:rPr>
            </w:pPr>
            <w:r>
              <w:rPr>
                <w:rFonts w:ascii="Arial" w:cs="Arial" w:eastAsia="Arial" w:hAnsi="Arial"/>
                <w:sz w:val="25"/>
                <w:szCs w:val="25"/>
                <w:color w:val="6AAA37"/>
              </w:rPr>
              <w:t>Management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51"/>
              <w:spacing w:after="0"/>
              <w:rPr>
                <w:sz w:val="20"/>
                <w:szCs w:val="20"/>
                <w:color w:val="auto"/>
              </w:rPr>
            </w:pPr>
            <w:r>
              <w:rPr>
                <w:rFonts w:ascii="Arial" w:cs="Arial" w:eastAsia="Arial" w:hAnsi="Arial"/>
                <w:sz w:val="25"/>
                <w:szCs w:val="25"/>
                <w:color w:val="6AAA37"/>
              </w:rPr>
              <w:t>Consulting Firms</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shd w:val="clear" w:color="auto" w:fill="F2F3F2"/>
          </w:tcPr>
          <w:p>
            <w:pPr>
              <w:spacing w:after="0"/>
              <w:rPr>
                <w:sz w:val="18"/>
                <w:szCs w:val="18"/>
                <w:color w:val="auto"/>
              </w:rPr>
            </w:pPr>
          </w:p>
        </w:tc>
        <w:tc>
          <w:tcPr>
            <w:tcW w:w="2860" w:type="dxa"/>
            <w:vAlign w:val="bottom"/>
            <w:shd w:val="clear" w:color="auto" w:fill="F2F3F2"/>
          </w:tcPr>
          <w:p>
            <w:pPr>
              <w:jc w:val="center"/>
              <w:ind w:right="154"/>
              <w:spacing w:after="0"/>
              <w:rPr>
                <w:sz w:val="20"/>
                <w:szCs w:val="20"/>
                <w:color w:val="auto"/>
              </w:rPr>
            </w:pPr>
            <w:r>
              <w:rPr>
                <w:rFonts w:ascii="Arial" w:cs="Arial" w:eastAsia="Arial" w:hAnsi="Arial"/>
                <w:sz w:val="18"/>
                <w:szCs w:val="18"/>
                <w:color w:val="auto"/>
                <w:w w:val="99"/>
              </w:rPr>
              <w:t>Best place for Gen Z to start</w:t>
            </w: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840" w:type="dxa"/>
            <w:vAlign w:val="bottom"/>
            <w:vMerge w:val="restart"/>
            <w:shd w:val="clear" w:color="auto" w:fill="F2F3F2"/>
          </w:tcPr>
          <w:p>
            <w:pPr>
              <w:jc w:val="center"/>
              <w:ind w:right="171"/>
              <w:spacing w:after="0"/>
              <w:rPr>
                <w:sz w:val="20"/>
                <w:szCs w:val="20"/>
                <w:color w:val="auto"/>
              </w:rPr>
            </w:pPr>
            <w:r>
              <w:rPr>
                <w:rFonts w:ascii="Arial" w:cs="Arial" w:eastAsia="Arial" w:hAnsi="Arial"/>
                <w:sz w:val="25"/>
                <w:szCs w:val="25"/>
                <w:color w:val="6AAA37"/>
              </w:rPr>
              <w:t>Consulting Firm</w:t>
            </w:r>
          </w:p>
        </w:tc>
        <w:tc>
          <w:tcPr>
            <w:tcW w:w="10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820" w:type="dxa"/>
            <w:vAlign w:val="bottom"/>
            <w:vMerge w:val="restart"/>
            <w:shd w:val="clear" w:color="auto" w:fill="F2F3F2"/>
          </w:tcPr>
          <w:p>
            <w:pPr>
              <w:jc w:val="center"/>
              <w:ind w:right="71"/>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0" w:type="dxa"/>
            <w:vAlign w:val="bottom"/>
            <w:shd w:val="clear" w:color="auto" w:fill="F2F3F2"/>
          </w:tcPr>
          <w:p>
            <w:pPr>
              <w:spacing w:after="0"/>
              <w:rPr>
                <w:sz w:val="13"/>
                <w:szCs w:val="13"/>
                <w:color w:val="auto"/>
              </w:rPr>
            </w:pPr>
          </w:p>
        </w:tc>
        <w:tc>
          <w:tcPr>
            <w:tcW w:w="2860" w:type="dxa"/>
            <w:vAlign w:val="bottom"/>
            <w:vMerge w:val="restart"/>
            <w:shd w:val="clear" w:color="auto" w:fill="F2F3F2"/>
          </w:tcPr>
          <w:p>
            <w:pPr>
              <w:jc w:val="center"/>
              <w:ind w:right="34"/>
              <w:spacing w:after="0"/>
              <w:rPr>
                <w:sz w:val="20"/>
                <w:szCs w:val="20"/>
                <w:color w:val="auto"/>
              </w:rPr>
            </w:pPr>
            <w:r>
              <w:rPr>
                <w:rFonts w:ascii="Arial" w:cs="Arial" w:eastAsia="Arial" w:hAnsi="Arial"/>
                <w:sz w:val="18"/>
                <w:szCs w:val="18"/>
                <w:color w:val="auto"/>
                <w:w w:val="99"/>
              </w:rPr>
              <w:t>their careers</w:t>
            </w: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40" w:type="dxa"/>
            <w:vAlign w:val="bottom"/>
            <w:vMerge w:val="continue"/>
            <w:shd w:val="clear" w:color="auto" w:fill="F2F3F2"/>
          </w:tcPr>
          <w:p>
            <w:pPr>
              <w:spacing w:after="0"/>
              <w:rPr>
                <w:sz w:val="13"/>
                <w:szCs w:val="13"/>
                <w:color w:val="auto"/>
              </w:rPr>
            </w:pP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20" w:type="dxa"/>
            <w:vAlign w:val="bottom"/>
            <w:vMerge w:val="continue"/>
            <w:shd w:val="clear" w:color="auto" w:fill="F2F3F2"/>
          </w:tcPr>
          <w:p>
            <w:pPr>
              <w:spacing w:after="0"/>
              <w:rPr>
                <w:sz w:val="13"/>
                <w:szCs w:val="13"/>
                <w:color w:val="auto"/>
              </w:rPr>
            </w:pPr>
          </w:p>
        </w:tc>
        <w:tc>
          <w:tcPr>
            <w:tcW w:w="100" w:type="dxa"/>
            <w:vAlign w:val="bottom"/>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00" w:type="dxa"/>
            <w:vAlign w:val="bottom"/>
            <w:tcBorders>
              <w:bottom w:val="single" w:sz="8" w:color="F2F3F2"/>
            </w:tcBorders>
            <w:shd w:val="clear" w:color="auto" w:fill="F2F3F2"/>
          </w:tcPr>
          <w:p>
            <w:pPr>
              <w:spacing w:after="0"/>
              <w:rPr>
                <w:sz w:val="7"/>
                <w:szCs w:val="7"/>
                <w:color w:val="auto"/>
              </w:rPr>
            </w:pPr>
          </w:p>
        </w:tc>
        <w:tc>
          <w:tcPr>
            <w:tcW w:w="2860" w:type="dxa"/>
            <w:vAlign w:val="bottom"/>
            <w:tcBorders>
              <w:bottom w:val="single" w:sz="8" w:color="F2F3F2"/>
            </w:tcBorders>
            <w:vMerge w:val="continue"/>
            <w:shd w:val="clear" w:color="auto" w:fill="F2F3F2"/>
          </w:tcPr>
          <w:p>
            <w:pPr>
              <w:spacing w:after="0"/>
              <w:rPr>
                <w:sz w:val="7"/>
                <w:szCs w:val="7"/>
                <w:color w:val="auto"/>
              </w:rPr>
            </w:pPr>
          </w:p>
        </w:tc>
        <w:tc>
          <w:tcPr>
            <w:tcW w:w="100" w:type="dxa"/>
            <w:vAlign w:val="bottom"/>
            <w:tcBorders>
              <w:bottom w:val="single" w:sz="8" w:color="F2F3F2"/>
              <w:right w:val="single" w:sz="8" w:color="B2B3B6"/>
            </w:tcBorders>
            <w:shd w:val="clear" w:color="auto" w:fill="F2F3F2"/>
          </w:tcPr>
          <w:p>
            <w:pPr>
              <w:spacing w:after="0"/>
              <w:rPr>
                <w:sz w:val="7"/>
                <w:szCs w:val="7"/>
                <w:color w:val="auto"/>
              </w:rPr>
            </w:pPr>
          </w:p>
        </w:tc>
        <w:tc>
          <w:tcPr>
            <w:tcW w:w="80" w:type="dxa"/>
            <w:vAlign w:val="bottom"/>
            <w:tcBorders>
              <w:bottom w:val="single" w:sz="8" w:color="F2F3F2"/>
            </w:tcBorders>
            <w:shd w:val="clear" w:color="auto" w:fill="F2F3F2"/>
          </w:tcPr>
          <w:p>
            <w:pPr>
              <w:spacing w:after="0"/>
              <w:rPr>
                <w:sz w:val="7"/>
                <w:szCs w:val="7"/>
                <w:color w:val="auto"/>
              </w:rPr>
            </w:pPr>
          </w:p>
        </w:tc>
        <w:tc>
          <w:tcPr>
            <w:tcW w:w="2840" w:type="dxa"/>
            <w:vAlign w:val="bottom"/>
            <w:tcBorders>
              <w:bottom w:val="single" w:sz="8" w:color="F2F3F2"/>
            </w:tcBorders>
            <w:shd w:val="clear" w:color="auto" w:fill="F2F3F2"/>
          </w:tcPr>
          <w:p>
            <w:pPr>
              <w:spacing w:after="0"/>
              <w:rPr>
                <w:sz w:val="7"/>
                <w:szCs w:val="7"/>
                <w:color w:val="auto"/>
              </w:rPr>
            </w:pPr>
          </w:p>
        </w:tc>
        <w:tc>
          <w:tcPr>
            <w:tcW w:w="100" w:type="dxa"/>
            <w:vAlign w:val="bottom"/>
            <w:tcBorders>
              <w:bottom w:val="single" w:sz="8" w:color="F2F3F2"/>
              <w:right w:val="single" w:sz="8" w:color="B2B3B6"/>
            </w:tcBorders>
            <w:shd w:val="clear" w:color="auto" w:fill="F2F3F2"/>
          </w:tcPr>
          <w:p>
            <w:pPr>
              <w:spacing w:after="0"/>
              <w:rPr>
                <w:sz w:val="7"/>
                <w:szCs w:val="7"/>
                <w:color w:val="auto"/>
              </w:rPr>
            </w:pPr>
          </w:p>
        </w:tc>
        <w:tc>
          <w:tcPr>
            <w:tcW w:w="80" w:type="dxa"/>
            <w:vAlign w:val="bottom"/>
            <w:tcBorders>
              <w:bottom w:val="single" w:sz="8" w:color="F2F3F2"/>
            </w:tcBorders>
            <w:shd w:val="clear" w:color="auto" w:fill="F2F3F2"/>
          </w:tcPr>
          <w:p>
            <w:pPr>
              <w:spacing w:after="0"/>
              <w:rPr>
                <w:sz w:val="7"/>
                <w:szCs w:val="7"/>
                <w:color w:val="auto"/>
              </w:rPr>
            </w:pPr>
          </w:p>
        </w:tc>
        <w:tc>
          <w:tcPr>
            <w:tcW w:w="2820" w:type="dxa"/>
            <w:vAlign w:val="bottom"/>
            <w:tcBorders>
              <w:bottom w:val="single" w:sz="8" w:color="F2F3F2"/>
            </w:tcBorders>
            <w:shd w:val="clear" w:color="auto" w:fill="F2F3F2"/>
          </w:tcPr>
          <w:p>
            <w:pPr>
              <w:spacing w:after="0"/>
              <w:rPr>
                <w:sz w:val="7"/>
                <w:szCs w:val="7"/>
                <w:color w:val="auto"/>
              </w:rPr>
            </w:pPr>
          </w:p>
        </w:tc>
        <w:tc>
          <w:tcPr>
            <w:tcW w:w="100" w:type="dxa"/>
            <w:vAlign w:val="bottom"/>
            <w:tcBorders>
              <w:bottom w:val="single" w:sz="8" w:color="F2F3F2"/>
            </w:tcBorders>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Handshake</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Forbes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Vault</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shd w:val="clear" w:color="auto" w:fill="F2F3F2"/>
          </w:tcPr>
          <w:p>
            <w:pPr>
              <w:spacing w:after="0"/>
              <w:rPr>
                <w:sz w:val="7"/>
                <w:szCs w:val="7"/>
                <w:color w:val="auto"/>
              </w:rPr>
            </w:pPr>
          </w:p>
        </w:tc>
        <w:tc>
          <w:tcPr>
            <w:tcW w:w="286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shd w:val="clear" w:color="auto" w:fill="00558C"/>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20" w:type="dxa"/>
            <w:vAlign w:val="bottom"/>
            <w:shd w:val="clear" w:color="auto" w:fill="00558C"/>
          </w:tcPr>
          <w:p>
            <w:pPr>
              <w:spacing w:after="0"/>
              <w:rPr>
                <w:sz w:val="7"/>
                <w:szCs w:val="7"/>
                <w:color w:val="auto"/>
              </w:rPr>
            </w:pPr>
          </w:p>
        </w:tc>
        <w:tc>
          <w:tcPr>
            <w:tcW w:w="1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00"/>
        <w:spacing w:after="0" w:line="300" w:lineRule="auto"/>
        <w:rPr>
          <w:sz w:val="20"/>
          <w:szCs w:val="20"/>
          <w:color w:val="auto"/>
        </w:rPr>
      </w:pPr>
      <w:r>
        <w:rPr>
          <w:rFonts w:ascii="Arial" w:cs="Arial" w:eastAsia="Arial" w:hAnsi="Arial"/>
          <w:sz w:val="16"/>
          <w:szCs w:val="16"/>
          <w:color w:val="auto"/>
        </w:rPr>
        <w:t>For additional information on our commitment to our employees and shaping a more sustainable future, refer to our 2025 Corporate Social Responsibility Report which is available on our investor relations website located at https:// ir.huronconsultinggroup.com. Please note that information contained on our website is not incorporated by reference in this Proxy Statement or considered to be part of this document.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Executive Compensation Philosophy</w:t>
      </w:r>
    </w:p>
    <w:p>
      <w:pPr>
        <w:spacing w:after="0" w:line="15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Huron's growth, distinctive integrated operating model, and continued development of leadership in global regions strategically positions the Company to identify, attract, hire and retain the caliber of leaders needed to meet our strategic objectives and enhance stockholder value. Therefore, it is imperative that Huron’s executives exemplify the company’s values and leadership principles, while possessing the expertise and experience necessary to successfully lead and engage a growing organization operating across multiple countries, each with its own unique business, economic, and regulatory landscape and complexities. As such, our compensation philosophy is focused on motivating and effectively rewarding our executives for their significant contributions, while aligning their interests with the Company and our stockholders.</w:t>
      </w:r>
    </w:p>
    <w:p>
      <w:pPr>
        <w:sectPr>
          <w:pgSz w:w="11900" w:h="16838" w:orient="portrait"/>
          <w:cols w:equalWidth="0" w:num="1">
            <w:col w:w="9080"/>
          </w:cols>
          <w:pgMar w:left="1400" w:top="110" w:right="1419" w:bottom="6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35</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505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0375" cy="350520"/>
                    </a:xfrm>
                    <a:prstGeom prst="rect">
                      <a:avLst/>
                    </a:prstGeom>
                    <a:noFill/>
                  </pic:spPr>
                </pic:pic>
              </a:graphicData>
            </a:graphic>
          </wp:anchor>
        </w:drawing>
      </w:r>
    </w:p>
    <w:p>
      <w:pPr>
        <w:sectPr>
          <w:pgSz w:w="11900" w:h="16838" w:orient="portrait"/>
          <w:cols w:equalWidth="0" w:num="1">
            <w:col w:w="9080"/>
          </w:cols>
          <w:pgMar w:left="1400" w:top="110" w:right="1419" w:bottom="650" w:gutter="0" w:footer="0" w:header="0"/>
          <w:type w:val="continuous"/>
        </w:sectPr>
      </w:pPr>
    </w:p>
    <w:bookmarkStart w:id="40" w:name="page41"/>
    <w:bookmarkEnd w:id="40"/>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55"/>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B2B3B6"/>
              </w:rPr>
              <w:t>General</w:t>
            </w:r>
          </w:p>
        </w:tc>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vMerge w:val="restart"/>
          </w:tcPr>
          <w:p>
            <w:pPr>
              <w:ind w:left="160"/>
              <w:spacing w:after="0"/>
              <w:rPr>
                <w:sz w:val="20"/>
                <w:szCs w:val="20"/>
                <w:color w:val="auto"/>
              </w:rPr>
            </w:pPr>
            <w:r>
              <w:rPr>
                <w:rFonts w:ascii="Arial" w:cs="Arial" w:eastAsia="Arial" w:hAnsi="Arial"/>
                <w:sz w:val="13"/>
                <w:szCs w:val="13"/>
                <w:b w:val="1"/>
                <w:bCs w:val="1"/>
                <w:color w:val="B2B3B6"/>
              </w:rPr>
              <w:t>Corporate</w:t>
            </w:r>
          </w:p>
        </w:tc>
        <w:tc>
          <w:tcPr>
            <w:tcW w:w="920" w:type="dxa"/>
            <w:vAlign w:val="bottom"/>
            <w:vMerge w:val="restart"/>
          </w:tcPr>
          <w:p>
            <w:pPr>
              <w:ind w:left="140"/>
              <w:spacing w:after="0"/>
              <w:rPr>
                <w:sz w:val="20"/>
                <w:szCs w:val="20"/>
                <w:color w:val="auto"/>
              </w:rPr>
            </w:pPr>
            <w:r>
              <w:rPr>
                <w:rFonts w:ascii="Arial" w:cs="Arial" w:eastAsia="Arial" w:hAnsi="Arial"/>
                <w:sz w:val="13"/>
                <w:szCs w:val="13"/>
                <w:b w:val="1"/>
                <w:bCs w:val="1"/>
                <w:color w:val="B2B3B6"/>
              </w:rPr>
              <w:t>Proposal</w:t>
            </w:r>
          </w:p>
        </w:tc>
        <w:tc>
          <w:tcPr>
            <w:tcW w:w="1180" w:type="dxa"/>
            <w:vAlign w:val="bottom"/>
            <w:vMerge w:val="restart"/>
          </w:tcPr>
          <w:p>
            <w:pPr>
              <w:ind w:left="40"/>
              <w:spacing w:after="0"/>
              <w:rPr>
                <w:sz w:val="20"/>
                <w:szCs w:val="20"/>
                <w:color w:val="auto"/>
              </w:rPr>
            </w:pPr>
            <w:r>
              <w:rPr>
                <w:rFonts w:ascii="Arial" w:cs="Arial" w:eastAsia="Arial" w:hAnsi="Arial"/>
                <w:sz w:val="13"/>
                <w:szCs w:val="13"/>
                <w:b w:val="1"/>
                <w:bCs w:val="1"/>
                <w:color w:val="6AAA37"/>
              </w:rPr>
              <w:t>Executive</w:t>
            </w:r>
          </w:p>
        </w:tc>
        <w:tc>
          <w:tcPr>
            <w:tcW w:w="740" w:type="dxa"/>
            <w:vAlign w:val="bottom"/>
            <w:vMerge w:val="restart"/>
          </w:tcPr>
          <w:p>
            <w:pPr>
              <w:ind w:left="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vMerge w:val="restart"/>
          </w:tcPr>
          <w:p>
            <w:pPr>
              <w:ind w:left="140"/>
              <w:spacing w:after="0"/>
              <w:rPr>
                <w:sz w:val="20"/>
                <w:szCs w:val="20"/>
                <w:color w:val="auto"/>
              </w:rPr>
            </w:pPr>
            <w:r>
              <w:rPr>
                <w:rFonts w:ascii="Arial" w:cs="Arial" w:eastAsia="Arial" w:hAnsi="Arial"/>
                <w:sz w:val="13"/>
                <w:szCs w:val="13"/>
                <w:b w:val="1"/>
                <w:bCs w:val="1"/>
                <w:color w:val="B2B3B6"/>
              </w:rPr>
              <w:t>Stockholder</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80" w:type="dxa"/>
            <w:vAlign w:val="bottom"/>
          </w:tcPr>
          <w:p>
            <w:pPr>
              <w:ind w:left="40"/>
              <w:spacing w:after="0"/>
              <w:rPr>
                <w:sz w:val="20"/>
                <w:szCs w:val="20"/>
                <w:color w:val="auto"/>
              </w:rPr>
            </w:pPr>
            <w:r>
              <w:rPr>
                <w:rFonts w:ascii="Arial" w:cs="Arial" w:eastAsia="Arial" w:hAnsi="Arial"/>
                <w:sz w:val="13"/>
                <w:szCs w:val="13"/>
                <w:b w:val="1"/>
                <w:bCs w:val="1"/>
                <w:color w:val="6AAA37"/>
              </w:rPr>
              <w:t>Compensation</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Three</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B2B3B6"/>
                <w:w w:val="90"/>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-168275</wp:posOffset>
            </wp:positionV>
            <wp:extent cx="6810375" cy="85058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8505825"/>
                    </a:xfrm>
                    <a:prstGeom prst="rect">
                      <a:avLst/>
                    </a:prstGeom>
                    <a:noFill/>
                  </pic:spPr>
                </pic:pic>
              </a:graphicData>
            </a:graphic>
          </wp:anchor>
        </w:drawing>
      </w:r>
    </w:p>
    <w:p>
      <w:pPr>
        <w:spacing w:after="0" w:line="239" w:lineRule="exact"/>
        <w:rPr>
          <w:sz w:val="20"/>
          <w:szCs w:val="20"/>
          <w:color w:val="auto"/>
        </w:rPr>
      </w:pPr>
    </w:p>
    <w:p>
      <w:pPr>
        <w:ind w:right="59"/>
        <w:spacing w:after="0" w:line="295" w:lineRule="auto"/>
        <w:rPr>
          <w:sz w:val="20"/>
          <w:szCs w:val="20"/>
          <w:color w:val="auto"/>
        </w:rPr>
      </w:pPr>
      <w:r>
        <w:rPr>
          <w:rFonts w:ascii="Arial" w:cs="Arial" w:eastAsia="Arial" w:hAnsi="Arial"/>
          <w:sz w:val="16"/>
          <w:szCs w:val="16"/>
          <w:color w:val="auto"/>
        </w:rPr>
        <w:t>Huron’s Compensation Committee aligns our executives’ interests with the Company and stockholders through a careful and robust pay-for-performance compensation program, while also minimizing the potential for excessive risk-taking through thorough oversight and governance practices. When determining 2025 executive compensation target levels and payouts, the Compensation Committee was guided by the following principles and objectives:</w:t>
      </w:r>
    </w:p>
    <w:p>
      <w:pPr>
        <w:sectPr>
          <w:pgSz w:w="11900" w:h="16894" w:orient="portrait"/>
          <w:cols w:equalWidth="0" w:num="1">
            <w:col w:w="9059"/>
          </w:cols>
          <w:pgMar w:left="1400" w:top="85" w:right="1440" w:bottom="0" w:gutter="0" w:footer="0" w:header="0"/>
        </w:sectPr>
      </w:pPr>
    </w:p>
    <w:p>
      <w:pPr>
        <w:spacing w:after="0" w:line="336" w:lineRule="exact"/>
        <w:rPr>
          <w:sz w:val="20"/>
          <w:szCs w:val="20"/>
          <w:color w:val="auto"/>
        </w:rPr>
      </w:pPr>
    </w:p>
    <w:p>
      <w:pPr>
        <w:ind w:left="140"/>
        <w:spacing w:after="0"/>
        <w:rPr>
          <w:sz w:val="20"/>
          <w:szCs w:val="20"/>
          <w:color w:val="auto"/>
        </w:rPr>
      </w:pPr>
      <w:r>
        <w:rPr>
          <w:rFonts w:ascii="Arial" w:cs="Arial" w:eastAsia="Arial" w:hAnsi="Arial"/>
          <w:sz w:val="43"/>
          <w:szCs w:val="43"/>
          <w:b w:val="1"/>
          <w:bCs w:val="1"/>
          <w:color w:val="00558C"/>
        </w:rPr>
        <w:t>1</w:t>
      </w:r>
    </w:p>
    <w:p>
      <w:pPr>
        <w:spacing w:after="0" w:line="200" w:lineRule="exact"/>
        <w:rPr>
          <w:sz w:val="20"/>
          <w:szCs w:val="20"/>
          <w:color w:val="auto"/>
        </w:rPr>
      </w:pPr>
    </w:p>
    <w:p>
      <w:pPr>
        <w:spacing w:after="0" w:line="248" w:lineRule="exact"/>
        <w:rPr>
          <w:sz w:val="20"/>
          <w:szCs w:val="20"/>
          <w:color w:val="auto"/>
        </w:rPr>
      </w:pPr>
    </w:p>
    <w:p>
      <w:pPr>
        <w:ind w:left="140" w:right="400"/>
        <w:spacing w:after="0" w:line="320" w:lineRule="auto"/>
        <w:rPr>
          <w:sz w:val="20"/>
          <w:szCs w:val="20"/>
          <w:color w:val="auto"/>
        </w:rPr>
      </w:pPr>
      <w:r>
        <w:rPr>
          <w:rFonts w:ascii="Arial" w:cs="Arial" w:eastAsia="Arial" w:hAnsi="Arial"/>
          <w:sz w:val="17"/>
          <w:szCs w:val="17"/>
          <w:b w:val="1"/>
          <w:bCs w:val="1"/>
          <w:color w:val="auto"/>
        </w:rPr>
        <w:t>Align to Business Strategy</w:t>
      </w:r>
    </w:p>
    <w:p>
      <w:pPr>
        <w:spacing w:after="0" w:line="1" w:lineRule="exact"/>
        <w:rPr>
          <w:sz w:val="20"/>
          <w:szCs w:val="20"/>
          <w:color w:val="auto"/>
        </w:rPr>
      </w:pPr>
    </w:p>
    <w:p>
      <w:pPr>
        <w:ind w:left="140"/>
        <w:spacing w:after="0" w:line="265" w:lineRule="auto"/>
        <w:rPr>
          <w:sz w:val="20"/>
          <w:szCs w:val="20"/>
          <w:color w:val="auto"/>
        </w:rPr>
      </w:pPr>
      <w:r>
        <w:rPr>
          <w:rFonts w:ascii="Arial" w:cs="Arial" w:eastAsia="Arial" w:hAnsi="Arial"/>
          <w:sz w:val="14"/>
          <w:szCs w:val="14"/>
          <w:color w:val="auto"/>
        </w:rPr>
        <w:t>Enable our “Team Huron” integrated operating model by holding leaders accountable for delivering challenging, but achievable, goals that align with the long-term interests of our stockholders.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43"/>
          <w:szCs w:val="43"/>
          <w:b w:val="1"/>
          <w:bCs w:val="1"/>
          <w:color w:val="00558C"/>
        </w:rPr>
        <w:t>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Retain</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Attract and retain extraordinary leaders who both model our Leadership Principles and enable our purpose-driven culture by providing a competitive total rewards program compared to companies with whom we compete for business and talent.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43"/>
          <w:szCs w:val="43"/>
          <w:b w:val="1"/>
          <w:bCs w:val="1"/>
          <w:color w:val="00558C"/>
        </w:rPr>
        <w:t>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82"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Reward leaders for delivering profitable growth and balance the achievement of financial and non-financial results, emphasizing our clients, communities and employees.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43"/>
          <w:szCs w:val="43"/>
          <w:b w:val="1"/>
          <w:bCs w:val="1"/>
          <w:color w:val="00558C"/>
        </w:rPr>
        <w:t>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Uphold Strong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82" w:lineRule="exact"/>
        <w:rPr>
          <w:sz w:val="20"/>
          <w:szCs w:val="20"/>
          <w:color w:val="auto"/>
        </w:rPr>
      </w:pPr>
    </w:p>
    <w:p>
      <w:pPr>
        <w:ind w:right="179"/>
        <w:spacing w:after="0" w:line="264" w:lineRule="auto"/>
        <w:rPr>
          <w:sz w:val="20"/>
          <w:szCs w:val="20"/>
          <w:color w:val="auto"/>
        </w:rPr>
      </w:pPr>
      <w:r>
        <w:rPr>
          <w:rFonts w:ascii="Arial" w:cs="Arial" w:eastAsia="Arial" w:hAnsi="Arial"/>
          <w:sz w:val="14"/>
          <w:szCs w:val="14"/>
          <w:color w:val="auto"/>
        </w:rPr>
        <w:t>Implement and execute on thorough practices that lie at the heart of what the Compensation Committee considers good governance as they review our compensation programs and adopt policies that mitigate risk and incentivize long-term results.</w:t>
      </w:r>
    </w:p>
    <w:p>
      <w:pPr>
        <w:spacing w:after="0" w:line="356" w:lineRule="exact"/>
        <w:rPr>
          <w:sz w:val="20"/>
          <w:szCs w:val="20"/>
          <w:color w:val="auto"/>
        </w:rPr>
      </w:pPr>
    </w:p>
    <w:p>
      <w:pPr>
        <w:sectPr>
          <w:pgSz w:w="11900" w:h="16894" w:orient="portrait"/>
          <w:cols w:equalWidth="0" w:num="4">
            <w:col w:w="2060" w:space="340"/>
            <w:col w:w="1940" w:space="320"/>
            <w:col w:w="1880" w:space="380"/>
            <w:col w:w="2139"/>
          </w:cols>
          <w:pgMar w:left="1400" w:top="85" w:right="1440" w:bottom="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right="39"/>
        <w:spacing w:after="0" w:line="296" w:lineRule="auto"/>
        <w:rPr>
          <w:sz w:val="20"/>
          <w:szCs w:val="20"/>
          <w:color w:val="auto"/>
        </w:rPr>
      </w:pPr>
      <w:r>
        <w:rPr>
          <w:rFonts w:ascii="Arial" w:cs="Arial" w:eastAsia="Arial" w:hAnsi="Arial"/>
          <w:sz w:val="16"/>
          <w:szCs w:val="16"/>
          <w:color w:val="auto"/>
        </w:rPr>
        <w:t>We define performance under the executive compensation program as a blend of delivering value to stockholders, achieving financial performance in comparison to pre-established financial goals, and establishing and executing strategic initiatives that we believe are responsive to evolving market and economic conditions and critical to future stockholder value creation. The Compensation Committee and the board regularly review the design and administration of Huron’s executive compensation program for alignment of the pay programs to this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36</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1927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Best Practices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Align pay with performance with a significant majority of</w:t>
      </w:r>
    </w:p>
    <w:p>
      <w:pPr>
        <w:spacing w:after="0" w:line="5" w:lineRule="exact"/>
        <w:rPr>
          <w:sz w:val="20"/>
          <w:szCs w:val="20"/>
          <w:color w:val="auto"/>
        </w:rPr>
      </w:pPr>
    </w:p>
    <w:p>
      <w:pPr>
        <w:ind w:left="460" w:right="2359" w:hanging="339"/>
        <w:spacing w:after="0" w:line="222" w:lineRule="auto"/>
        <w:tabs>
          <w:tab w:leader="none" w:pos="440" w:val="left"/>
        </w:tabs>
        <w:rPr>
          <w:sz w:val="20"/>
          <w:szCs w:val="20"/>
          <w:color w:val="auto"/>
        </w:rPr>
      </w:pPr>
      <w:r>
        <w:rPr>
          <w:rFonts w:ascii="Wingdings" w:cs="Wingdings" w:eastAsia="Wingdings" w:hAnsi="Wingdings"/>
          <w:sz w:val="22"/>
          <w:szCs w:val="22"/>
          <w:b w:val="1"/>
          <w:bCs w:val="1"/>
          <w:color w:val="6AAA37"/>
        </w:rPr>
        <w:t>ü</w:t>
      </w:r>
      <w:r>
        <w:rPr>
          <w:sz w:val="20"/>
          <w:szCs w:val="20"/>
          <w:color w:val="auto"/>
        </w:rPr>
        <w:tab/>
      </w:r>
      <w:r>
        <w:rPr>
          <w:rFonts w:ascii="Arial" w:cs="Arial" w:eastAsia="Arial" w:hAnsi="Arial"/>
          <w:sz w:val="14"/>
          <w:szCs w:val="14"/>
          <w:color w:val="auto"/>
        </w:rPr>
        <w:t xml:space="preserve">compensation at-risk and based on objective financial </w:t>
      </w:r>
      <w:r>
        <w:rPr>
          <w:rFonts w:ascii="Wingdings" w:cs="Wingdings" w:eastAsia="Wingdings" w:hAnsi="Wingdings"/>
          <w:sz w:val="21"/>
          <w:szCs w:val="21"/>
          <w:b w:val="1"/>
          <w:bCs w:val="1"/>
          <w:color w:val="00588C"/>
        </w:rPr>
        <w:t>û</w:t>
      </w:r>
      <w:r>
        <w:rPr>
          <w:rFonts w:ascii="Arial" w:cs="Arial" w:eastAsia="Arial" w:hAnsi="Arial"/>
          <w:sz w:val="14"/>
          <w:szCs w:val="14"/>
          <w:color w:val="auto"/>
        </w:rPr>
        <w:t xml:space="preserve"> No excise tax gross-ups performance measures</w:t>
      </w:r>
    </w:p>
    <w:p>
      <w:pPr>
        <w:sectPr>
          <w:pgSz w:w="11900" w:h="16894" w:orient="portrait"/>
          <w:cols w:equalWidth="0" w:num="1">
            <w:col w:w="9059"/>
          </w:cols>
          <w:pgMar w:left="1400" w:top="85" w:right="1440" w:bottom="0" w:gutter="0" w:footer="0" w:header="0"/>
          <w:type w:val="continuous"/>
        </w:sectPr>
      </w:pPr>
    </w:p>
    <w:p>
      <w:pPr>
        <w:spacing w:after="0" w:line="323" w:lineRule="exact"/>
        <w:rPr>
          <w:sz w:val="20"/>
          <w:szCs w:val="20"/>
          <w:color w:val="auto"/>
        </w:rPr>
      </w:pPr>
    </w:p>
    <w:p>
      <w:pPr>
        <w:ind w:left="460"/>
        <w:spacing w:after="0"/>
        <w:tabs>
          <w:tab w:leader="none" w:pos="5140" w:val="left"/>
        </w:tabs>
        <w:rPr>
          <w:sz w:val="20"/>
          <w:szCs w:val="20"/>
          <w:color w:val="auto"/>
        </w:rPr>
      </w:pPr>
      <w:r>
        <w:rPr>
          <w:rFonts w:ascii="Arial" w:cs="Arial" w:eastAsia="Arial" w:hAnsi="Arial"/>
          <w:sz w:val="14"/>
          <w:szCs w:val="14"/>
          <w:color w:val="auto"/>
        </w:rPr>
        <w:t>Appropriately balance short-term and long-term incentives</w:t>
      </w:r>
      <w:r>
        <w:rPr>
          <w:sz w:val="20"/>
          <w:szCs w:val="20"/>
          <w:color w:val="auto"/>
        </w:rPr>
        <w:tab/>
      </w:r>
      <w:r>
        <w:rPr>
          <w:rFonts w:ascii="Arial" w:cs="Arial" w:eastAsia="Arial" w:hAnsi="Arial"/>
          <w:sz w:val="14"/>
          <w:szCs w:val="14"/>
          <w:color w:val="auto"/>
        </w:rPr>
        <w:t>No hedging or pledging of Huron stock</w:t>
      </w:r>
    </w:p>
    <w:p>
      <w:pPr>
        <w:sectPr>
          <w:pgSz w:w="11900" w:h="16894" w:orient="portrait"/>
          <w:cols w:equalWidth="0" w:num="1">
            <w:col w:w="9059"/>
          </w:cols>
          <w:pgMar w:left="1400" w:top="85" w:right="1440" w:bottom="0" w:gutter="0" w:footer="0" w:header="0"/>
          <w:type w:val="continuous"/>
        </w:sectPr>
      </w:pPr>
    </w:p>
    <w:bookmarkStart w:id="41" w:name="page42"/>
    <w:bookmarkEnd w:id="41"/>
    <w:p>
      <w:pPr>
        <w:spacing w:after="0" w:line="63" w:lineRule="exact"/>
        <w:rPr>
          <w:sz w:val="20"/>
          <w:szCs w:val="20"/>
          <w:color w:val="auto"/>
        </w:rPr>
      </w:pPr>
    </w:p>
    <w:p>
      <w:pPr>
        <w:ind w:left="120"/>
        <w:spacing w:after="0"/>
        <w:rPr>
          <w:sz w:val="20"/>
          <w:szCs w:val="20"/>
          <w:color w:val="auto"/>
        </w:rPr>
      </w:pPr>
      <w:r>
        <w:rPr>
          <w:rFonts w:ascii="Wingdings" w:cs="Wingdings" w:eastAsia="Wingdings" w:hAnsi="Wingdings"/>
          <w:sz w:val="22"/>
          <w:szCs w:val="22"/>
          <w:b w:val="1"/>
          <w:bCs w:val="1"/>
          <w:color w:val="6AAA37"/>
        </w:rPr>
        <w:t>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-105410</wp:posOffset>
            </wp:positionV>
            <wp:extent cx="6810375" cy="6928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69284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FFFFFF"/>
        </w:rPr>
        <w:t>What We Do</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Align executive compensation with stockholder returns</w:t>
      </w:r>
    </w:p>
    <w:p>
      <w:pPr>
        <w:spacing w:after="0" w:line="9" w:lineRule="exact"/>
        <w:rPr>
          <w:sz w:val="20"/>
          <w:szCs w:val="20"/>
          <w:color w:val="auto"/>
        </w:rPr>
      </w:pPr>
    </w:p>
    <w:p>
      <w:pPr>
        <w:ind w:left="460" w:right="400" w:hanging="332"/>
        <w:spacing w:after="0" w:line="216" w:lineRule="auto"/>
        <w:tabs>
          <w:tab w:leader="none" w:pos="460" w:val="left"/>
        </w:tabs>
        <w:numPr>
          <w:ilvl w:val="0"/>
          <w:numId w:val="51"/>
        </w:numPr>
        <w:rPr>
          <w:rFonts w:ascii="Wingdings" w:cs="Wingdings" w:eastAsia="Wingdings" w:hAnsi="Wingdings"/>
          <w:sz w:val="22"/>
          <w:szCs w:val="22"/>
          <w:b w:val="1"/>
          <w:bCs w:val="1"/>
          <w:color w:val="6AAA37"/>
        </w:rPr>
      </w:pPr>
      <w:r>
        <w:rPr>
          <w:rFonts w:ascii="Arial" w:cs="Arial" w:eastAsia="Arial" w:hAnsi="Arial"/>
          <w:sz w:val="14"/>
          <w:szCs w:val="14"/>
          <w:color w:val="auto"/>
        </w:rPr>
        <w:t>through performance-based equity grants that include minimum time-vesting requirements</w:t>
      </w:r>
    </w:p>
    <w:p>
      <w:pPr>
        <w:spacing w:after="0" w:line="148" w:lineRule="exact"/>
        <w:rPr>
          <w:rFonts w:ascii="Wingdings" w:cs="Wingdings" w:eastAsia="Wingdings" w:hAnsi="Wingdings"/>
          <w:sz w:val="22"/>
          <w:szCs w:val="22"/>
          <w:b w:val="1"/>
          <w:bCs w:val="1"/>
          <w:color w:val="6AAA37"/>
        </w:rPr>
      </w:pPr>
    </w:p>
    <w:p>
      <w:pPr>
        <w:ind w:left="460"/>
        <w:spacing w:after="0"/>
        <w:rPr>
          <w:rFonts w:ascii="Wingdings" w:cs="Wingdings" w:eastAsia="Wingdings" w:hAnsi="Wingdings"/>
          <w:sz w:val="22"/>
          <w:szCs w:val="22"/>
          <w:b w:val="1"/>
          <w:bCs w:val="1"/>
          <w:color w:val="6AAA37"/>
        </w:rPr>
      </w:pPr>
      <w:r>
        <w:rPr>
          <w:rFonts w:ascii="Arial" w:cs="Arial" w:eastAsia="Arial" w:hAnsi="Arial"/>
          <w:sz w:val="14"/>
          <w:szCs w:val="14"/>
          <w:color w:val="auto"/>
        </w:rPr>
        <w:t>Establish rigorous, achievable, and predominantly</w:t>
      </w:r>
    </w:p>
    <w:p>
      <w:pPr>
        <w:spacing w:after="0" w:line="28" w:lineRule="exact"/>
        <w:rPr>
          <w:rFonts w:ascii="Wingdings" w:cs="Wingdings" w:eastAsia="Wingdings" w:hAnsi="Wingdings"/>
          <w:sz w:val="22"/>
          <w:szCs w:val="22"/>
          <w:b w:val="1"/>
          <w:bCs w:val="1"/>
          <w:color w:val="6AAA37"/>
        </w:rPr>
      </w:pPr>
    </w:p>
    <w:p>
      <w:pPr>
        <w:ind w:left="460" w:right="400" w:hanging="332"/>
        <w:spacing w:after="0" w:line="208" w:lineRule="auto"/>
        <w:tabs>
          <w:tab w:leader="none" w:pos="460" w:val="left"/>
        </w:tabs>
        <w:numPr>
          <w:ilvl w:val="0"/>
          <w:numId w:val="51"/>
        </w:numPr>
        <w:rPr>
          <w:rFonts w:ascii="Wingdings" w:cs="Wingdings" w:eastAsia="Wingdings" w:hAnsi="Wingdings"/>
          <w:sz w:val="22"/>
          <w:szCs w:val="22"/>
          <w:b w:val="1"/>
          <w:bCs w:val="1"/>
          <w:color w:val="6AAA37"/>
        </w:rPr>
      </w:pPr>
      <w:r>
        <w:rPr>
          <w:rFonts w:ascii="Arial" w:cs="Arial" w:eastAsia="Arial" w:hAnsi="Arial"/>
          <w:sz w:val="14"/>
          <w:szCs w:val="14"/>
          <w:color w:val="auto"/>
        </w:rPr>
        <w:t>quantitative goals that align with focused, measurable progress and overall organizational advancement</w:t>
      </w:r>
    </w:p>
    <w:p>
      <w:pPr>
        <w:spacing w:after="0" w:line="147" w:lineRule="exact"/>
        <w:rPr>
          <w:rFonts w:ascii="Wingdings" w:cs="Wingdings" w:eastAsia="Wingdings" w:hAnsi="Wingdings"/>
          <w:sz w:val="22"/>
          <w:szCs w:val="22"/>
          <w:b w:val="1"/>
          <w:bCs w:val="1"/>
          <w:color w:val="6AAA37"/>
        </w:rPr>
      </w:pPr>
    </w:p>
    <w:p>
      <w:pPr>
        <w:ind w:left="460"/>
        <w:spacing w:after="0"/>
        <w:rPr>
          <w:rFonts w:ascii="Wingdings" w:cs="Wingdings" w:eastAsia="Wingdings" w:hAnsi="Wingdings"/>
          <w:sz w:val="22"/>
          <w:szCs w:val="22"/>
          <w:b w:val="1"/>
          <w:bCs w:val="1"/>
          <w:color w:val="6AAA37"/>
        </w:rPr>
      </w:pPr>
      <w:r>
        <w:rPr>
          <w:rFonts w:ascii="Arial" w:cs="Arial" w:eastAsia="Arial" w:hAnsi="Arial"/>
          <w:sz w:val="14"/>
          <w:szCs w:val="14"/>
          <w:color w:val="auto"/>
        </w:rPr>
        <w:t>Require the annual incentive program funding to be capped</w:t>
      </w:r>
    </w:p>
    <w:p>
      <w:pPr>
        <w:spacing w:after="0" w:line="28" w:lineRule="exact"/>
        <w:rPr>
          <w:rFonts w:ascii="Wingdings" w:cs="Wingdings" w:eastAsia="Wingdings" w:hAnsi="Wingdings"/>
          <w:sz w:val="22"/>
          <w:szCs w:val="22"/>
          <w:b w:val="1"/>
          <w:bCs w:val="1"/>
          <w:color w:val="6AAA37"/>
        </w:rPr>
      </w:pPr>
    </w:p>
    <w:p>
      <w:pPr>
        <w:ind w:left="460" w:right="260" w:hanging="332"/>
        <w:spacing w:after="0" w:line="208" w:lineRule="auto"/>
        <w:tabs>
          <w:tab w:leader="none" w:pos="460" w:val="left"/>
        </w:tabs>
        <w:numPr>
          <w:ilvl w:val="0"/>
          <w:numId w:val="51"/>
        </w:numPr>
        <w:rPr>
          <w:rFonts w:ascii="Wingdings" w:cs="Wingdings" w:eastAsia="Wingdings" w:hAnsi="Wingdings"/>
          <w:sz w:val="22"/>
          <w:szCs w:val="22"/>
          <w:b w:val="1"/>
          <w:bCs w:val="1"/>
          <w:color w:val="6AAA37"/>
        </w:rPr>
      </w:pPr>
      <w:r>
        <w:rPr>
          <w:rFonts w:ascii="Arial" w:cs="Arial" w:eastAsia="Arial" w:hAnsi="Arial"/>
          <w:sz w:val="14"/>
          <w:szCs w:val="14"/>
          <w:color w:val="auto"/>
        </w:rPr>
        <w:t>at target payout if total shareholder return for the year is negative</w:t>
      </w:r>
    </w:p>
    <w:p>
      <w:pPr>
        <w:spacing w:after="0" w:line="242" w:lineRule="exact"/>
        <w:rPr>
          <w:rFonts w:ascii="Wingdings" w:cs="Wingdings" w:eastAsia="Wingdings" w:hAnsi="Wingdings"/>
          <w:sz w:val="22"/>
          <w:szCs w:val="22"/>
          <w:b w:val="1"/>
          <w:bCs w:val="1"/>
          <w:color w:val="6AAA37"/>
        </w:rPr>
      </w:pPr>
    </w:p>
    <w:p>
      <w:pPr>
        <w:ind w:left="460" w:right="220" w:hanging="332"/>
        <w:spacing w:after="0"/>
        <w:tabs>
          <w:tab w:leader="none" w:pos="460" w:val="left"/>
        </w:tabs>
        <w:numPr>
          <w:ilvl w:val="0"/>
          <w:numId w:val="51"/>
        </w:numPr>
        <w:rPr>
          <w:rFonts w:ascii="Wingdings" w:cs="Wingdings" w:eastAsia="Wingdings" w:hAnsi="Wingdings"/>
          <w:sz w:val="31"/>
          <w:szCs w:val="31"/>
          <w:b w:val="1"/>
          <w:bCs w:val="1"/>
          <w:color w:val="6AAA37"/>
          <w:vertAlign w:val="subscript"/>
        </w:rPr>
      </w:pPr>
      <w:r>
        <w:rPr>
          <w:rFonts w:ascii="Arial" w:cs="Arial" w:eastAsia="Arial" w:hAnsi="Arial"/>
          <w:sz w:val="12"/>
          <w:szCs w:val="12"/>
          <w:color w:val="auto"/>
        </w:rPr>
        <w:t>Perform an annual risk assessment of our compensation programs</w:t>
      </w:r>
    </w:p>
    <w:p>
      <w:pPr>
        <w:spacing w:after="0" w:line="371" w:lineRule="exact"/>
        <w:rPr>
          <w:rFonts w:ascii="Wingdings" w:cs="Wingdings" w:eastAsia="Wingdings" w:hAnsi="Wingdings"/>
          <w:sz w:val="31"/>
          <w:szCs w:val="31"/>
          <w:b w:val="1"/>
          <w:bCs w:val="1"/>
          <w:color w:val="6AAA37"/>
          <w:vertAlign w:val="subscript"/>
        </w:rPr>
      </w:pPr>
    </w:p>
    <w:p>
      <w:pPr>
        <w:ind w:left="460" w:hanging="332"/>
        <w:spacing w:after="0"/>
        <w:tabs>
          <w:tab w:leader="none" w:pos="460" w:val="left"/>
        </w:tabs>
        <w:numPr>
          <w:ilvl w:val="0"/>
          <w:numId w:val="51"/>
        </w:numPr>
        <w:rPr>
          <w:rFonts w:ascii="Wingdings" w:cs="Wingdings" w:eastAsia="Wingdings" w:hAnsi="Wingdings"/>
          <w:sz w:val="22"/>
          <w:szCs w:val="22"/>
          <w:b w:val="1"/>
          <w:bCs w:val="1"/>
          <w:color w:val="6AAA37"/>
        </w:rPr>
      </w:pPr>
      <w:r>
        <w:rPr>
          <w:rFonts w:ascii="Arial" w:cs="Arial" w:eastAsia="Arial" w:hAnsi="Arial"/>
          <w:sz w:val="14"/>
          <w:szCs w:val="14"/>
          <w:color w:val="auto"/>
        </w:rPr>
        <w:t>Maintain robust stock ownership guidelines</w:t>
      </w:r>
    </w:p>
    <w:p>
      <w:pPr>
        <w:spacing w:after="0" w:line="372" w:lineRule="exact"/>
        <w:rPr>
          <w:rFonts w:ascii="Wingdings" w:cs="Wingdings" w:eastAsia="Wingdings" w:hAnsi="Wingdings"/>
          <w:sz w:val="22"/>
          <w:szCs w:val="22"/>
          <w:b w:val="1"/>
          <w:bCs w:val="1"/>
          <w:color w:val="6AAA37"/>
        </w:rPr>
      </w:pPr>
    </w:p>
    <w:p>
      <w:pPr>
        <w:ind w:left="460" w:hanging="332"/>
        <w:spacing w:after="0"/>
        <w:tabs>
          <w:tab w:leader="none" w:pos="460" w:val="left"/>
        </w:tabs>
        <w:numPr>
          <w:ilvl w:val="0"/>
          <w:numId w:val="51"/>
        </w:numPr>
        <w:rPr>
          <w:rFonts w:ascii="Wingdings" w:cs="Wingdings" w:eastAsia="Wingdings" w:hAnsi="Wingdings"/>
          <w:sz w:val="37"/>
          <w:szCs w:val="37"/>
          <w:b w:val="1"/>
          <w:bCs w:val="1"/>
          <w:color w:val="6AAA37"/>
          <w:vertAlign w:val="subscript"/>
        </w:rPr>
      </w:pPr>
      <w:r>
        <w:rPr>
          <w:rFonts w:ascii="Arial" w:cs="Arial" w:eastAsia="Arial" w:hAnsi="Arial"/>
          <w:sz w:val="13"/>
          <w:szCs w:val="13"/>
          <w:color w:val="auto"/>
        </w:rPr>
        <w:t>Provide</w:t>
      </w:r>
      <w:r>
        <w:rPr>
          <w:rFonts w:ascii="Arial" w:cs="Arial" w:eastAsia="Arial" w:hAnsi="Arial"/>
          <w:sz w:val="25"/>
          <w:szCs w:val="25"/>
          <w:color w:val="auto"/>
          <w:vertAlign w:val="subscript"/>
        </w:rPr>
        <w:t>event</w:t>
      </w:r>
      <w:r>
        <w:rPr>
          <w:rFonts w:ascii="Arial" w:cs="Arial" w:eastAsia="Arial" w:hAnsi="Arial"/>
          <w:sz w:val="13"/>
          <w:szCs w:val="13"/>
          <w:color w:val="auto"/>
        </w:rPr>
        <w:t xml:space="preserve"> only double-trigger benefits in a change of control</w:t>
      </w:r>
    </w:p>
    <w:p>
      <w:pPr>
        <w:spacing w:after="0" w:line="322" w:lineRule="exact"/>
        <w:rPr>
          <w:rFonts w:ascii="Wingdings" w:cs="Wingdings" w:eastAsia="Wingdings" w:hAnsi="Wingdings"/>
          <w:sz w:val="37"/>
          <w:szCs w:val="37"/>
          <w:b w:val="1"/>
          <w:bCs w:val="1"/>
          <w:color w:val="6AAA37"/>
          <w:vertAlign w:val="subscript"/>
        </w:rPr>
      </w:pPr>
    </w:p>
    <w:p>
      <w:pPr>
        <w:ind w:left="460" w:right="320" w:hanging="332"/>
        <w:spacing w:after="0" w:line="182" w:lineRule="auto"/>
        <w:tabs>
          <w:tab w:leader="none" w:pos="460" w:val="left"/>
        </w:tabs>
        <w:numPr>
          <w:ilvl w:val="0"/>
          <w:numId w:val="51"/>
        </w:numPr>
        <w:rPr>
          <w:rFonts w:ascii="Wingdings" w:cs="Wingdings" w:eastAsia="Wingdings" w:hAnsi="Wingdings"/>
          <w:sz w:val="31"/>
          <w:szCs w:val="31"/>
          <w:b w:val="1"/>
          <w:bCs w:val="1"/>
          <w:color w:val="6AAA37"/>
          <w:vertAlign w:val="subscript"/>
        </w:rPr>
      </w:pPr>
      <w:r>
        <w:rPr>
          <w:rFonts w:ascii="Arial" w:cs="Arial" w:eastAsia="Arial" w:hAnsi="Arial"/>
          <w:sz w:val="12"/>
          <w:szCs w:val="12"/>
          <w:color w:val="auto"/>
        </w:rPr>
        <w:t>Maintain a clawback policy providing for recoupment of incentive-based compensation</w:t>
      </w:r>
    </w:p>
    <w:p>
      <w:pPr>
        <w:spacing w:after="0" w:line="303" w:lineRule="exact"/>
        <w:rPr>
          <w:rFonts w:ascii="Wingdings" w:cs="Wingdings" w:eastAsia="Wingdings" w:hAnsi="Wingdings"/>
          <w:sz w:val="31"/>
          <w:szCs w:val="31"/>
          <w:b w:val="1"/>
          <w:bCs w:val="1"/>
          <w:color w:val="6AAA37"/>
          <w:vertAlign w:val="subscript"/>
        </w:rPr>
      </w:pPr>
    </w:p>
    <w:p>
      <w:pPr>
        <w:jc w:val="both"/>
        <w:ind w:left="460" w:right="340" w:hanging="332"/>
        <w:spacing w:after="0" w:line="344" w:lineRule="auto"/>
        <w:tabs>
          <w:tab w:leader="none" w:pos="460" w:val="left"/>
        </w:tabs>
        <w:numPr>
          <w:ilvl w:val="0"/>
          <w:numId w:val="51"/>
        </w:numPr>
        <w:rPr>
          <w:rFonts w:ascii="Wingdings" w:cs="Wingdings" w:eastAsia="Wingdings" w:hAnsi="Wingdings"/>
          <w:sz w:val="37"/>
          <w:szCs w:val="37"/>
          <w:b w:val="1"/>
          <w:bCs w:val="1"/>
          <w:color w:val="6AAA37"/>
          <w:vertAlign w:val="subscript"/>
        </w:rPr>
      </w:pPr>
      <w:r>
        <w:rPr>
          <w:rFonts w:ascii="Arial" w:cs="Arial" w:eastAsia="Arial" w:hAnsi="Arial"/>
          <w:sz w:val="13"/>
          <w:szCs w:val="13"/>
          <w:color w:val="auto"/>
        </w:rPr>
        <w:t>Retain</w:t>
      </w:r>
      <w:r>
        <w:rPr>
          <w:rFonts w:ascii="Arial" w:cs="Arial" w:eastAsia="Arial" w:hAnsi="Arial"/>
          <w:sz w:val="25"/>
          <w:szCs w:val="25"/>
          <w:color w:val="auto"/>
          <w:vertAlign w:val="subscript"/>
        </w:rPr>
        <w:t>board</w:t>
      </w:r>
      <w:r>
        <w:rPr>
          <w:rFonts w:ascii="Arial" w:cs="Arial" w:eastAsia="Arial" w:hAnsi="Arial"/>
          <w:sz w:val="13"/>
          <w:szCs w:val="13"/>
          <w:color w:val="auto"/>
        </w:rPr>
        <w:t xml:space="preserve"> an independent compensation consultant to the Administer the equity plans through the Compensation</w:t>
      </w:r>
    </w:p>
    <w:p>
      <w:pPr>
        <w:ind w:left="460" w:right="340" w:hanging="332"/>
        <w:spacing w:after="0" w:line="208" w:lineRule="auto"/>
        <w:tabs>
          <w:tab w:leader="none" w:pos="460" w:val="left"/>
        </w:tabs>
        <w:numPr>
          <w:ilvl w:val="0"/>
          <w:numId w:val="51"/>
        </w:numPr>
        <w:rPr>
          <w:rFonts w:ascii="Wingdings" w:cs="Wingdings" w:eastAsia="Wingdings" w:hAnsi="Wingdings"/>
          <w:sz w:val="22"/>
          <w:szCs w:val="22"/>
          <w:b w:val="1"/>
          <w:bCs w:val="1"/>
          <w:color w:val="6AAA37"/>
        </w:rPr>
      </w:pPr>
      <w:r>
        <w:rPr>
          <w:rFonts w:ascii="Arial" w:cs="Arial" w:eastAsia="Arial" w:hAnsi="Arial"/>
          <w:sz w:val="14"/>
          <w:szCs w:val="14"/>
          <w:color w:val="auto"/>
        </w:rPr>
        <w:t>Committee, which is comprised entirely of independent directors</w:t>
      </w:r>
    </w:p>
    <w:p>
      <w:pPr>
        <w:spacing w:after="0" w:line="242" w:lineRule="exact"/>
        <w:rPr>
          <w:rFonts w:ascii="Wingdings" w:cs="Wingdings" w:eastAsia="Wingdings" w:hAnsi="Wingdings"/>
          <w:sz w:val="22"/>
          <w:szCs w:val="22"/>
          <w:b w:val="1"/>
          <w:bCs w:val="1"/>
          <w:color w:val="6AAA37"/>
        </w:rPr>
      </w:pPr>
    </w:p>
    <w:p>
      <w:pPr>
        <w:ind w:left="460" w:hanging="332"/>
        <w:spacing w:after="0" w:line="182" w:lineRule="auto"/>
        <w:tabs>
          <w:tab w:leader="none" w:pos="460" w:val="left"/>
        </w:tabs>
        <w:numPr>
          <w:ilvl w:val="0"/>
          <w:numId w:val="51"/>
        </w:numPr>
        <w:rPr>
          <w:rFonts w:ascii="Wingdings" w:cs="Wingdings" w:eastAsia="Wingdings" w:hAnsi="Wingdings"/>
          <w:sz w:val="31"/>
          <w:szCs w:val="31"/>
          <w:b w:val="1"/>
          <w:bCs w:val="1"/>
          <w:color w:val="6AAA37"/>
          <w:vertAlign w:val="subscript"/>
        </w:rPr>
      </w:pPr>
      <w:r>
        <w:rPr>
          <w:rFonts w:ascii="Arial" w:cs="Arial" w:eastAsia="Arial" w:hAnsi="Arial"/>
          <w:sz w:val="12"/>
          <w:szCs w:val="12"/>
          <w:color w:val="auto"/>
        </w:rPr>
        <w:t>Mitigate potential dilution of equity award grants through our share repurchase program</w:t>
      </w:r>
    </w:p>
    <w:p>
      <w:pPr>
        <w:spacing w:after="0" w:line="228" w:lineRule="exact"/>
        <w:rPr>
          <w:rFonts w:ascii="Wingdings" w:cs="Wingdings" w:eastAsia="Wingdings" w:hAnsi="Wingdings"/>
          <w:sz w:val="31"/>
          <w:szCs w:val="31"/>
          <w:b w:val="1"/>
          <w:bCs w:val="1"/>
          <w:color w:val="6AAA37"/>
          <w:vertAlign w:val="subscript"/>
        </w:rPr>
      </w:pPr>
    </w:p>
    <w:p>
      <w:pPr>
        <w:ind w:left="460"/>
        <w:spacing w:after="0"/>
        <w:rPr>
          <w:rFonts w:ascii="Wingdings" w:cs="Wingdings" w:eastAsia="Wingdings" w:hAnsi="Wingdings"/>
          <w:sz w:val="31"/>
          <w:szCs w:val="31"/>
          <w:b w:val="1"/>
          <w:bCs w:val="1"/>
          <w:color w:val="6AAA37"/>
          <w:vertAlign w:val="subscript"/>
        </w:rPr>
      </w:pPr>
      <w:r>
        <w:rPr>
          <w:rFonts w:ascii="Arial" w:cs="Arial" w:eastAsia="Arial" w:hAnsi="Arial"/>
          <w:sz w:val="14"/>
          <w:szCs w:val="14"/>
          <w:color w:val="auto"/>
        </w:rPr>
        <w:t>Solicit investor feedback on our compensation program and</w:t>
      </w:r>
    </w:p>
    <w:p>
      <w:pPr>
        <w:spacing w:after="0" w:line="28" w:lineRule="exact"/>
        <w:rPr>
          <w:rFonts w:ascii="Wingdings" w:cs="Wingdings" w:eastAsia="Wingdings" w:hAnsi="Wingdings"/>
          <w:sz w:val="31"/>
          <w:szCs w:val="31"/>
          <w:b w:val="1"/>
          <w:bCs w:val="1"/>
          <w:color w:val="6AAA37"/>
          <w:vertAlign w:val="subscript"/>
        </w:rPr>
      </w:pPr>
    </w:p>
    <w:p>
      <w:pPr>
        <w:ind w:left="460" w:right="140" w:hanging="332"/>
        <w:spacing w:after="0" w:line="208" w:lineRule="auto"/>
        <w:tabs>
          <w:tab w:leader="none" w:pos="460" w:val="left"/>
        </w:tabs>
        <w:numPr>
          <w:ilvl w:val="0"/>
          <w:numId w:val="51"/>
        </w:numPr>
        <w:rPr>
          <w:rFonts w:ascii="Wingdings" w:cs="Wingdings" w:eastAsia="Wingdings" w:hAnsi="Wingdings"/>
          <w:sz w:val="22"/>
          <w:szCs w:val="22"/>
          <w:b w:val="1"/>
          <w:bCs w:val="1"/>
          <w:color w:val="6AAA37"/>
        </w:rPr>
      </w:pPr>
      <w:r>
        <w:rPr>
          <w:rFonts w:ascii="Arial" w:cs="Arial" w:eastAsia="Arial" w:hAnsi="Arial"/>
          <w:sz w:val="14"/>
          <w:szCs w:val="14"/>
          <w:color w:val="auto"/>
        </w:rPr>
        <w:t>potential enhancements through an extensive stockholder engagement program</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Wingdings" w:cs="Wingdings" w:eastAsia="Wingdings" w:hAnsi="Wingdings"/>
          <w:sz w:val="22"/>
          <w:szCs w:val="22"/>
          <w:b w:val="1"/>
          <w:bCs w:val="1"/>
          <w:color w:val="00588C"/>
        </w:rPr>
        <w:t>û</w:t>
      </w:r>
    </w:p>
    <w:p>
      <w:pPr>
        <w:ind w:left="1280"/>
        <w:spacing w:after="0"/>
        <w:rPr>
          <w:sz w:val="20"/>
          <w:szCs w:val="20"/>
          <w:color w:val="auto"/>
        </w:rPr>
      </w:pPr>
      <w:r>
        <w:rPr>
          <w:rFonts w:ascii="Arial" w:cs="Arial" w:eastAsia="Arial" w:hAnsi="Arial"/>
          <w:sz w:val="14"/>
          <w:szCs w:val="14"/>
          <w:b w:val="1"/>
          <w:bCs w:val="1"/>
          <w:color w:val="FFFFFF"/>
        </w:rPr>
        <w:t>What We Do Not Do</w:t>
      </w:r>
    </w:p>
    <w:p>
      <w:pPr>
        <w:spacing w:after="0" w:line="122" w:lineRule="exact"/>
        <w:rPr>
          <w:sz w:val="20"/>
          <w:szCs w:val="20"/>
          <w:color w:val="auto"/>
        </w:rPr>
      </w:pPr>
    </w:p>
    <w:p>
      <w:pPr>
        <w:ind w:left="320" w:hanging="315"/>
        <w:spacing w:after="0"/>
        <w:tabs>
          <w:tab w:leader="none" w:pos="320" w:val="left"/>
        </w:tabs>
        <w:numPr>
          <w:ilvl w:val="0"/>
          <w:numId w:val="52"/>
        </w:numPr>
        <w:rPr>
          <w:rFonts w:ascii="Wingdings" w:cs="Wingdings" w:eastAsia="Wingdings" w:hAnsi="Wingdings"/>
          <w:sz w:val="22"/>
          <w:szCs w:val="22"/>
          <w:b w:val="1"/>
          <w:bCs w:val="1"/>
          <w:color w:val="00588C"/>
        </w:rPr>
      </w:pPr>
      <w:r>
        <w:rPr>
          <w:rFonts w:ascii="Arial" w:cs="Arial" w:eastAsia="Arial" w:hAnsi="Arial"/>
          <w:sz w:val="14"/>
          <w:szCs w:val="14"/>
          <w:color w:val="auto"/>
        </w:rPr>
        <w:t>No stock grants are "timed" or awards to be repriced</w:t>
      </w:r>
    </w:p>
    <w:p>
      <w:pPr>
        <w:spacing w:after="0" w:line="322" w:lineRule="exact"/>
        <w:rPr>
          <w:rFonts w:ascii="Wingdings" w:cs="Wingdings" w:eastAsia="Wingdings" w:hAnsi="Wingdings"/>
          <w:sz w:val="22"/>
          <w:szCs w:val="22"/>
          <w:b w:val="1"/>
          <w:bCs w:val="1"/>
          <w:color w:val="00588C"/>
        </w:rPr>
      </w:pPr>
    </w:p>
    <w:p>
      <w:pPr>
        <w:ind w:left="320"/>
        <w:spacing w:after="0"/>
        <w:rPr>
          <w:rFonts w:ascii="Wingdings" w:cs="Wingdings" w:eastAsia="Wingdings" w:hAnsi="Wingdings"/>
          <w:sz w:val="22"/>
          <w:szCs w:val="22"/>
          <w:b w:val="1"/>
          <w:bCs w:val="1"/>
          <w:color w:val="00588C"/>
        </w:rPr>
      </w:pPr>
      <w:r>
        <w:rPr>
          <w:rFonts w:ascii="Arial" w:cs="Arial" w:eastAsia="Arial" w:hAnsi="Arial"/>
          <w:sz w:val="14"/>
          <w:szCs w:val="14"/>
          <w:color w:val="auto"/>
        </w:rPr>
        <w:t>No material executive perquisites not commonly available to</w:t>
      </w:r>
    </w:p>
    <w:p>
      <w:pPr>
        <w:spacing w:after="0" w:line="28" w:lineRule="exact"/>
        <w:rPr>
          <w:rFonts w:ascii="Wingdings" w:cs="Wingdings" w:eastAsia="Wingdings" w:hAnsi="Wingdings"/>
          <w:sz w:val="22"/>
          <w:szCs w:val="22"/>
          <w:b w:val="1"/>
          <w:bCs w:val="1"/>
          <w:color w:val="00588C"/>
        </w:rPr>
      </w:pPr>
    </w:p>
    <w:p>
      <w:pPr>
        <w:ind w:left="320" w:right="480" w:hanging="315"/>
        <w:spacing w:after="0" w:line="208" w:lineRule="auto"/>
        <w:tabs>
          <w:tab w:leader="none" w:pos="320" w:val="left"/>
        </w:tabs>
        <w:numPr>
          <w:ilvl w:val="0"/>
          <w:numId w:val="52"/>
        </w:numPr>
        <w:rPr>
          <w:rFonts w:ascii="Wingdings" w:cs="Wingdings" w:eastAsia="Wingdings" w:hAnsi="Wingdings"/>
          <w:sz w:val="22"/>
          <w:szCs w:val="22"/>
          <w:b w:val="1"/>
          <w:bCs w:val="1"/>
          <w:color w:val="00588C"/>
        </w:rPr>
      </w:pPr>
      <w:r>
        <w:rPr>
          <w:rFonts w:ascii="Arial" w:cs="Arial" w:eastAsia="Arial" w:hAnsi="Arial"/>
          <w:sz w:val="14"/>
          <w:szCs w:val="14"/>
          <w:color w:val="auto"/>
        </w:rPr>
        <w:t>the broader Huron employee population or to similarly situated key management employees</w:t>
      </w:r>
    </w:p>
    <w:p>
      <w:pPr>
        <w:spacing w:after="0" w:line="242" w:lineRule="exact"/>
        <w:rPr>
          <w:rFonts w:ascii="Wingdings" w:cs="Wingdings" w:eastAsia="Wingdings" w:hAnsi="Wingdings"/>
          <w:sz w:val="22"/>
          <w:szCs w:val="22"/>
          <w:b w:val="1"/>
          <w:bCs w:val="1"/>
          <w:color w:val="00588C"/>
        </w:rPr>
      </w:pPr>
    </w:p>
    <w:p>
      <w:pPr>
        <w:ind w:left="320" w:right="100" w:hanging="315"/>
        <w:spacing w:after="0" w:line="182" w:lineRule="auto"/>
        <w:tabs>
          <w:tab w:leader="none" w:pos="320" w:val="left"/>
        </w:tabs>
        <w:numPr>
          <w:ilvl w:val="0"/>
          <w:numId w:val="52"/>
        </w:numPr>
        <w:rPr>
          <w:rFonts w:ascii="Wingdings" w:cs="Wingdings" w:eastAsia="Wingdings" w:hAnsi="Wingdings"/>
          <w:sz w:val="31"/>
          <w:szCs w:val="31"/>
          <w:b w:val="1"/>
          <w:bCs w:val="1"/>
          <w:color w:val="00588C"/>
          <w:vertAlign w:val="subscript"/>
        </w:rPr>
      </w:pPr>
      <w:r>
        <w:rPr>
          <w:rFonts w:ascii="Arial" w:cs="Arial" w:eastAsia="Arial" w:hAnsi="Arial"/>
          <w:sz w:val="12"/>
          <w:szCs w:val="12"/>
          <w:color w:val="auto"/>
        </w:rPr>
        <w:t>No "evergreen" features or liberal share counting provisions within our equity plan</w:t>
      </w:r>
    </w:p>
    <w:p>
      <w:pPr>
        <w:spacing w:after="0" w:line="350" w:lineRule="exact"/>
        <w:rPr>
          <w:rFonts w:ascii="Wingdings" w:cs="Wingdings" w:eastAsia="Wingdings" w:hAnsi="Wingdings"/>
          <w:sz w:val="31"/>
          <w:szCs w:val="31"/>
          <w:b w:val="1"/>
          <w:bCs w:val="1"/>
          <w:color w:val="00588C"/>
          <w:vertAlign w:val="subscript"/>
        </w:rPr>
      </w:pPr>
    </w:p>
    <w:p>
      <w:pPr>
        <w:ind w:left="320" w:hanging="315"/>
        <w:spacing w:after="0"/>
        <w:tabs>
          <w:tab w:leader="none" w:pos="320" w:val="left"/>
        </w:tabs>
        <w:numPr>
          <w:ilvl w:val="0"/>
          <w:numId w:val="52"/>
        </w:numPr>
        <w:rPr>
          <w:rFonts w:ascii="Wingdings" w:cs="Wingdings" w:eastAsia="Wingdings" w:hAnsi="Wingdings"/>
          <w:sz w:val="22"/>
          <w:szCs w:val="22"/>
          <w:b w:val="1"/>
          <w:bCs w:val="1"/>
          <w:color w:val="00588C"/>
        </w:rPr>
      </w:pPr>
      <w:r>
        <w:rPr>
          <w:rFonts w:ascii="Arial" w:cs="Arial" w:eastAsia="Arial" w:hAnsi="Arial"/>
          <w:sz w:val="14"/>
          <w:szCs w:val="14"/>
          <w:color w:val="auto"/>
        </w:rPr>
        <w:t>No automatic grants to any participant within the equity plan</w:t>
      </w:r>
    </w:p>
    <w:p>
      <w:pPr>
        <w:spacing w:after="0" w:line="5194" w:lineRule="exact"/>
        <w:rPr>
          <w:sz w:val="20"/>
          <w:szCs w:val="20"/>
          <w:color w:val="auto"/>
        </w:rPr>
      </w:pPr>
    </w:p>
    <w:p>
      <w:pPr>
        <w:sectPr>
          <w:pgSz w:w="11900" w:h="16902" w:orient="portrait"/>
          <w:cols w:equalWidth="0" w:num="2">
            <w:col w:w="4280" w:space="560"/>
            <w:col w:w="4220"/>
          </w:cols>
          <w:pgMar w:left="1400" w:top="62"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37</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505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Executive Compensation Pay Components</w:t>
      </w:r>
    </w:p>
    <w:p>
      <w:pPr>
        <w:spacing w:after="0" w:line="13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Our executive compensation program design strives to execute on our market-competitive compensation philosophy through a meaningful mix of three principal components: (i) base salary, (ii) annual incentives and (iii) long-term incentives.</w:t>
      </w:r>
    </w:p>
    <w:p>
      <w:pPr>
        <w:sectPr>
          <w:pgSz w:w="11900" w:h="16902" w:orient="portrait"/>
          <w:cols w:equalWidth="0" w:num="1">
            <w:col w:w="9060"/>
          </w:cols>
          <w:pgMar w:left="1400" w:top="62"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4"/>
          <w:szCs w:val="14"/>
          <w:b w:val="1"/>
          <w:bCs w:val="1"/>
          <w:color w:val="auto"/>
        </w:rPr>
        <w:t>Base Salary</w:t>
      </w:r>
      <w:r>
        <w:rPr>
          <w:sz w:val="20"/>
          <w:szCs w:val="20"/>
          <w:color w:val="auto"/>
        </w:rPr>
        <w:tab/>
      </w:r>
      <w:r>
        <w:rPr>
          <w:rFonts w:ascii="Arial" w:cs="Arial" w:eastAsia="Arial" w:hAnsi="Arial"/>
          <w:sz w:val="14"/>
          <w:szCs w:val="14"/>
          <w:color w:val="auto"/>
        </w:rPr>
        <w:t>100%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4"/>
          <w:szCs w:val="14"/>
          <w:b w:val="1"/>
          <w:bCs w:val="1"/>
          <w:color w:val="auto"/>
        </w:rPr>
        <w:t>Annual Incentive</w:t>
      </w:r>
      <w:r>
        <w:rPr>
          <w:sz w:val="20"/>
          <w:szCs w:val="20"/>
          <w:color w:val="auto"/>
        </w:rPr>
        <w:tab/>
      </w:r>
      <w:r>
        <w:rPr>
          <w:rFonts w:ascii="Arial" w:cs="Arial" w:eastAsia="Arial" w:hAnsi="Arial"/>
          <w:sz w:val="14"/>
          <w:szCs w:val="14"/>
          <w:color w:val="auto"/>
        </w:rPr>
        <w:t>100% Cash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1900"/>
        <w:spacing w:after="0"/>
        <w:rPr>
          <w:sz w:val="20"/>
          <w:szCs w:val="20"/>
          <w:color w:val="auto"/>
        </w:rPr>
      </w:pPr>
      <w:r>
        <w:rPr>
          <w:rFonts w:ascii="Arial" w:cs="Arial" w:eastAsia="Arial" w:hAnsi="Arial"/>
          <w:sz w:val="14"/>
          <w:szCs w:val="14"/>
          <w:color w:val="auto"/>
        </w:rPr>
        <w:t>70%</w:t>
      </w:r>
    </w:p>
    <w:p>
      <w:pPr>
        <w:spacing w:after="0" w:line="29"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Performance</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Share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Provide market-competitive base pay that reflects the role and responsibilities, the ability to influence company results, and the experience and individual performance of each executive.</w:t>
      </w:r>
    </w:p>
    <w:p>
      <w:pPr>
        <w:spacing w:after="0" w:line="245"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Set challenging, but attainable, goals that motivate exceptional performance against the annual operating plan and serve as a key compensation vehicle for differentiating performance each year.</w:t>
      </w:r>
    </w:p>
    <w:p>
      <w:pPr>
        <w:spacing w:after="0" w:line="245"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Focus executives on the achievement of strong performance against long-term strategic and financial goals to directly align each executive's interests with the long-term interests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76" w:lineRule="auto"/>
        <w:rPr>
          <w:sz w:val="20"/>
          <w:szCs w:val="20"/>
          <w:color w:val="auto"/>
        </w:rPr>
      </w:pPr>
      <w:r>
        <w:rPr>
          <w:rFonts w:ascii="Arial" w:cs="Arial" w:eastAsia="Arial" w:hAnsi="Arial"/>
          <w:sz w:val="14"/>
          <w:szCs w:val="14"/>
          <w:color w:val="auto"/>
        </w:rPr>
        <w:t>Accomplishment of day-to-day responsibilities, individual performance, the executive's experience, and the competitiveness of the talent market.</w:t>
      </w:r>
    </w:p>
    <w:p>
      <w:pPr>
        <w:spacing w:after="0" w:line="245" w:lineRule="exact"/>
        <w:rPr>
          <w:sz w:val="20"/>
          <w:szCs w:val="20"/>
          <w:color w:val="auto"/>
        </w:rPr>
      </w:pPr>
    </w:p>
    <w:p>
      <w:pPr>
        <w:ind w:right="180"/>
        <w:spacing w:after="0" w:line="276" w:lineRule="auto"/>
        <w:rPr>
          <w:sz w:val="20"/>
          <w:szCs w:val="20"/>
          <w:color w:val="auto"/>
        </w:rPr>
      </w:pPr>
      <w:r>
        <w:rPr>
          <w:rFonts w:ascii="Arial" w:cs="Arial" w:eastAsia="Arial" w:hAnsi="Arial"/>
          <w:sz w:val="14"/>
          <w:szCs w:val="14"/>
          <w:color w:val="auto"/>
        </w:rPr>
        <w:t>Achievement of predefined financial, operational and strategic measures that are commensurate with performance against the annual operating plan.</w:t>
      </w:r>
    </w:p>
    <w:p>
      <w:pPr>
        <w:sectPr>
          <w:pgSz w:w="11900" w:h="16902" w:orient="portrait"/>
          <w:cols w:equalWidth="0" w:num="3">
            <w:col w:w="2720" w:space="180"/>
            <w:col w:w="3260" w:space="200"/>
            <w:col w:w="2700"/>
          </w:cols>
          <w:pgMar w:left="1400" w:top="62" w:right="1439" w:bottom="0" w:gutter="0" w:footer="0" w:header="0"/>
          <w:type w:val="continuous"/>
        </w:sectPr>
      </w:pPr>
    </w:p>
    <w:bookmarkStart w:id="42" w:name="page43"/>
    <w:bookmarkEnd w:id="4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51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5351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4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shd w:val="clear" w:color="auto" w:fill="00558C"/>
          </w:tcPr>
          <w:p>
            <w:pPr>
              <w:jc w:val="center"/>
              <w:spacing w:after="0"/>
              <w:rPr>
                <w:sz w:val="20"/>
                <w:szCs w:val="20"/>
                <w:color w:val="auto"/>
              </w:rPr>
            </w:pPr>
            <w:r>
              <w:rPr>
                <w:rFonts w:ascii="Arial" w:cs="Arial" w:eastAsia="Arial" w:hAnsi="Arial"/>
                <w:sz w:val="14"/>
                <w:szCs w:val="14"/>
                <w:color w:val="auto"/>
              </w:rPr>
              <w:t>(PSUs)</w:t>
            </w:r>
          </w:p>
        </w:tc>
        <w:tc>
          <w:tcPr>
            <w:tcW w:w="3160" w:type="dxa"/>
            <w:vAlign w:val="bottom"/>
            <w:shd w:val="clear" w:color="auto" w:fill="00558C"/>
          </w:tcPr>
          <w:p>
            <w:pPr>
              <w:ind w:left="120"/>
              <w:spacing w:after="0"/>
              <w:rPr>
                <w:sz w:val="20"/>
                <w:szCs w:val="20"/>
                <w:color w:val="auto"/>
              </w:rPr>
            </w:pPr>
            <w:r>
              <w:rPr>
                <w:rFonts w:ascii="Arial" w:cs="Arial" w:eastAsia="Arial" w:hAnsi="Arial"/>
                <w:sz w:val="14"/>
                <w:szCs w:val="14"/>
                <w:color w:val="auto"/>
              </w:rPr>
              <w:t>stockholders.</w:t>
            </w:r>
          </w:p>
        </w:tc>
        <w:tc>
          <w:tcPr>
            <w:tcW w:w="3140" w:type="dxa"/>
            <w:vAlign w:val="bottom"/>
            <w:shd w:val="clear" w:color="auto" w:fill="00558C"/>
          </w:tcPr>
          <w:p>
            <w:pPr>
              <w:ind w:left="420"/>
              <w:spacing w:after="0"/>
              <w:rPr>
                <w:sz w:val="20"/>
                <w:szCs w:val="20"/>
                <w:color w:val="auto"/>
              </w:rPr>
            </w:pPr>
            <w:r>
              <w:rPr>
                <w:rFonts w:ascii="Arial" w:cs="Arial" w:eastAsia="Arial" w:hAnsi="Arial"/>
                <w:sz w:val="14"/>
                <w:szCs w:val="14"/>
                <w:color w:val="auto"/>
              </w:rPr>
              <w:t>Alignment of stockholder interests with</w:t>
            </w:r>
          </w:p>
        </w:tc>
        <w:tc>
          <w:tcPr>
            <w:tcW w:w="0" w:type="dxa"/>
            <w:vAlign w:val="bottom"/>
          </w:tcPr>
          <w:p>
            <w:pPr>
              <w:spacing w:after="0"/>
              <w:rPr>
                <w:sz w:val="1"/>
                <w:szCs w:val="1"/>
                <w:color w:val="auto"/>
              </w:rPr>
            </w:pPr>
          </w:p>
        </w:tc>
      </w:tr>
      <w:tr>
        <w:trPr>
          <w:trHeight w:val="117"/>
        </w:trPr>
        <w:tc>
          <w:tcPr>
            <w:tcW w:w="1840" w:type="dxa"/>
            <w:vAlign w:val="bottom"/>
            <w:vMerge w:val="continue"/>
            <w:shd w:val="clear" w:color="auto" w:fill="00558C"/>
          </w:tcPr>
          <w:p>
            <w:pPr>
              <w:spacing w:after="0"/>
              <w:rPr>
                <w:sz w:val="10"/>
                <w:szCs w:val="10"/>
                <w:color w:val="auto"/>
              </w:rPr>
            </w:pPr>
          </w:p>
        </w:tc>
        <w:tc>
          <w:tcPr>
            <w:tcW w:w="940" w:type="dxa"/>
            <w:vAlign w:val="bottom"/>
            <w:shd w:val="clear" w:color="auto" w:fill="00558C"/>
          </w:tcPr>
          <w:p>
            <w:pPr>
              <w:spacing w:after="0"/>
              <w:rPr>
                <w:sz w:val="10"/>
                <w:szCs w:val="10"/>
                <w:color w:val="auto"/>
              </w:rPr>
            </w:pPr>
          </w:p>
        </w:tc>
        <w:tc>
          <w:tcPr>
            <w:tcW w:w="3160" w:type="dxa"/>
            <w:vAlign w:val="bottom"/>
            <w:shd w:val="clear" w:color="auto" w:fill="00558C"/>
          </w:tcPr>
          <w:p>
            <w:pPr>
              <w:spacing w:after="0"/>
              <w:rPr>
                <w:sz w:val="10"/>
                <w:szCs w:val="10"/>
                <w:color w:val="auto"/>
              </w:rPr>
            </w:pPr>
          </w:p>
        </w:tc>
        <w:tc>
          <w:tcPr>
            <w:tcW w:w="3140" w:type="dxa"/>
            <w:vAlign w:val="bottom"/>
            <w:vMerge w:val="restart"/>
            <w:shd w:val="clear" w:color="auto" w:fill="00558C"/>
          </w:tcPr>
          <w:p>
            <w:pPr>
              <w:ind w:left="420"/>
              <w:spacing w:after="0" w:line="149" w:lineRule="exact"/>
              <w:rPr>
                <w:sz w:val="20"/>
                <w:szCs w:val="20"/>
                <w:color w:val="auto"/>
              </w:rPr>
            </w:pPr>
            <w:r>
              <w:rPr>
                <w:rFonts w:ascii="Arial" w:cs="Arial" w:eastAsia="Arial" w:hAnsi="Arial"/>
                <w:sz w:val="14"/>
                <w:szCs w:val="14"/>
                <w:color w:val="auto"/>
              </w:rPr>
              <w:t>the attainment of long-term financial goals</w:t>
            </w:r>
          </w:p>
        </w:tc>
        <w:tc>
          <w:tcPr>
            <w:tcW w:w="0" w:type="dxa"/>
            <w:vAlign w:val="bottom"/>
          </w:tcPr>
          <w:p>
            <w:pPr>
              <w:spacing w:after="0"/>
              <w:rPr>
                <w:sz w:val="1"/>
                <w:szCs w:val="1"/>
                <w:color w:val="auto"/>
              </w:rPr>
            </w:pPr>
          </w:p>
        </w:tc>
      </w:tr>
      <w:tr>
        <w:trPr>
          <w:trHeight w:val="31"/>
        </w:trPr>
        <w:tc>
          <w:tcPr>
            <w:tcW w:w="1840" w:type="dxa"/>
            <w:vAlign w:val="bottom"/>
            <w:shd w:val="clear" w:color="auto" w:fill="00558C"/>
          </w:tcPr>
          <w:p>
            <w:pPr>
              <w:ind w:left="140"/>
              <w:spacing w:after="0" w:line="32" w:lineRule="exact"/>
              <w:rPr>
                <w:sz w:val="20"/>
                <w:szCs w:val="20"/>
                <w:color w:val="auto"/>
              </w:rPr>
            </w:pPr>
            <w:r>
              <w:rPr>
                <w:rFonts w:ascii="Arial" w:cs="Arial" w:eastAsia="Arial" w:hAnsi="Arial"/>
                <w:sz w:val="3"/>
                <w:szCs w:val="3"/>
                <w:b w:val="1"/>
                <w:bCs w:val="1"/>
                <w:color w:val="auto"/>
              </w:rPr>
              <w:t>Long-Term Incentive</w:t>
            </w:r>
          </w:p>
        </w:tc>
        <w:tc>
          <w:tcPr>
            <w:tcW w:w="94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FFFFFF"/>
              </w:rPr>
              <w:t>Form</w:t>
            </w:r>
          </w:p>
        </w:tc>
        <w:tc>
          <w:tcPr>
            <w:tcW w:w="3160" w:type="dxa"/>
            <w:vAlign w:val="bottom"/>
            <w:vMerge w:val="restart"/>
            <w:shd w:val="clear" w:color="auto" w:fill="00558C"/>
          </w:tcPr>
          <w:p>
            <w:pPr>
              <w:ind w:left="120"/>
              <w:spacing w:after="0"/>
              <w:rPr>
                <w:sz w:val="20"/>
                <w:szCs w:val="20"/>
                <w:color w:val="auto"/>
              </w:rPr>
            </w:pPr>
            <w:r>
              <w:rPr>
                <w:rFonts w:ascii="Arial" w:cs="Arial" w:eastAsia="Arial" w:hAnsi="Arial"/>
                <w:sz w:val="14"/>
                <w:szCs w:val="14"/>
                <w:b w:val="1"/>
                <w:bCs w:val="1"/>
                <w:color w:val="FFFFFF"/>
              </w:rPr>
              <w:t>Compensation Philosophy Alignment</w:t>
            </w:r>
          </w:p>
        </w:tc>
        <w:tc>
          <w:tcPr>
            <w:tcW w:w="3140" w:type="dxa"/>
            <w:vAlign w:val="bottom"/>
            <w:vMerge w:val="continue"/>
            <w:shd w:val="clear" w:color="auto" w:fill="00558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840" w:type="dxa"/>
            <w:vAlign w:val="bottom"/>
            <w:shd w:val="clear" w:color="auto" w:fill="00558C"/>
          </w:tcPr>
          <w:p>
            <w:pPr>
              <w:ind w:left="140"/>
              <w:spacing w:after="0" w:line="145" w:lineRule="exact"/>
              <w:rPr>
                <w:sz w:val="20"/>
                <w:szCs w:val="20"/>
                <w:color w:val="auto"/>
              </w:rPr>
            </w:pPr>
            <w:r>
              <w:rPr>
                <w:rFonts w:ascii="Arial" w:cs="Arial" w:eastAsia="Arial" w:hAnsi="Arial"/>
                <w:sz w:val="14"/>
                <w:szCs w:val="14"/>
                <w:b w:val="1"/>
                <w:bCs w:val="1"/>
                <w:color w:val="FFFFFF"/>
              </w:rPr>
              <w:t>Element</w:t>
            </w:r>
          </w:p>
        </w:tc>
        <w:tc>
          <w:tcPr>
            <w:tcW w:w="940" w:type="dxa"/>
            <w:vAlign w:val="bottom"/>
            <w:vMerge w:val="continue"/>
            <w:shd w:val="clear" w:color="auto" w:fill="00558C"/>
          </w:tcPr>
          <w:p>
            <w:pPr>
              <w:spacing w:after="0"/>
              <w:rPr>
                <w:sz w:val="12"/>
                <w:szCs w:val="12"/>
                <w:color w:val="auto"/>
              </w:rPr>
            </w:pPr>
          </w:p>
        </w:tc>
        <w:tc>
          <w:tcPr>
            <w:tcW w:w="3160" w:type="dxa"/>
            <w:vAlign w:val="bottom"/>
            <w:vMerge w:val="continue"/>
            <w:shd w:val="clear" w:color="auto" w:fill="00558C"/>
          </w:tcPr>
          <w:p>
            <w:pPr>
              <w:spacing w:after="0"/>
              <w:rPr>
                <w:sz w:val="12"/>
                <w:szCs w:val="12"/>
                <w:color w:val="auto"/>
              </w:rPr>
            </w:pPr>
          </w:p>
        </w:tc>
        <w:tc>
          <w:tcPr>
            <w:tcW w:w="3140" w:type="dxa"/>
            <w:vAlign w:val="bottom"/>
            <w:shd w:val="clear" w:color="auto" w:fill="00558C"/>
          </w:tcPr>
          <w:p>
            <w:pPr>
              <w:ind w:left="420"/>
              <w:spacing w:after="0" w:line="145" w:lineRule="exact"/>
              <w:rPr>
                <w:sz w:val="20"/>
                <w:szCs w:val="20"/>
                <w:color w:val="auto"/>
              </w:rPr>
            </w:pPr>
            <w:r>
              <w:rPr>
                <w:rFonts w:ascii="Arial" w:cs="Arial" w:eastAsia="Arial" w:hAnsi="Arial"/>
                <w:sz w:val="14"/>
                <w:szCs w:val="14"/>
                <w:b w:val="1"/>
                <w:bCs w:val="1"/>
                <w:color w:val="FFFFFF"/>
              </w:rPr>
              <w:t>What it Rewards</w:t>
            </w:r>
          </w:p>
        </w:tc>
        <w:tc>
          <w:tcPr>
            <w:tcW w:w="0" w:type="dxa"/>
            <w:vAlign w:val="bottom"/>
          </w:tcPr>
          <w:p>
            <w:pPr>
              <w:spacing w:after="0"/>
              <w:rPr>
                <w:sz w:val="1"/>
                <w:szCs w:val="1"/>
                <w:color w:val="auto"/>
              </w:rPr>
            </w:pPr>
          </w:p>
        </w:tc>
      </w:tr>
      <w:tr>
        <w:trPr>
          <w:trHeight w:val="68"/>
        </w:trPr>
        <w:tc>
          <w:tcPr>
            <w:tcW w:w="1840" w:type="dxa"/>
            <w:vAlign w:val="bottom"/>
            <w:shd w:val="clear" w:color="auto" w:fill="00558C"/>
          </w:tcPr>
          <w:p>
            <w:pPr>
              <w:spacing w:after="0"/>
              <w:rPr>
                <w:sz w:val="5"/>
                <w:szCs w:val="5"/>
                <w:color w:val="auto"/>
              </w:rPr>
            </w:pPr>
          </w:p>
        </w:tc>
        <w:tc>
          <w:tcPr>
            <w:tcW w:w="940" w:type="dxa"/>
            <w:vAlign w:val="bottom"/>
            <w:shd w:val="clear" w:color="auto" w:fill="00558C"/>
          </w:tcPr>
          <w:p>
            <w:pPr>
              <w:spacing w:after="0"/>
              <w:rPr>
                <w:sz w:val="5"/>
                <w:szCs w:val="5"/>
                <w:color w:val="auto"/>
              </w:rPr>
            </w:pPr>
          </w:p>
        </w:tc>
        <w:tc>
          <w:tcPr>
            <w:tcW w:w="3160" w:type="dxa"/>
            <w:vAlign w:val="bottom"/>
            <w:shd w:val="clear" w:color="auto" w:fill="00558C"/>
          </w:tcPr>
          <w:p>
            <w:pPr>
              <w:spacing w:after="0"/>
              <w:rPr>
                <w:sz w:val="5"/>
                <w:szCs w:val="5"/>
                <w:color w:val="auto"/>
              </w:rPr>
            </w:pPr>
          </w:p>
        </w:tc>
        <w:tc>
          <w:tcPr>
            <w:tcW w:w="3140" w:type="dxa"/>
            <w:vAlign w:val="bottom"/>
            <w:shd w:val="clear" w:color="auto" w:fill="00558C"/>
          </w:tcPr>
          <w:p>
            <w:pPr>
              <w:ind w:left="420"/>
              <w:spacing w:after="0" w:line="68" w:lineRule="exact"/>
              <w:rPr>
                <w:sz w:val="20"/>
                <w:szCs w:val="20"/>
                <w:color w:val="auto"/>
              </w:rPr>
            </w:pPr>
            <w:r>
              <w:rPr>
                <w:rFonts w:ascii="Arial" w:cs="Arial" w:eastAsia="Arial" w:hAnsi="Arial"/>
                <w:sz w:val="7"/>
                <w:szCs w:val="7"/>
                <w:color w:val="auto"/>
              </w:rPr>
              <w:t>and share price appreciation.</w:t>
            </w:r>
          </w:p>
        </w:tc>
        <w:tc>
          <w:tcPr>
            <w:tcW w:w="0" w:type="dxa"/>
            <w:vAlign w:val="bottom"/>
          </w:tcPr>
          <w:p>
            <w:pPr>
              <w:spacing w:after="0"/>
              <w:rPr>
                <w:sz w:val="1"/>
                <w:szCs w:val="1"/>
                <w:color w:val="auto"/>
              </w:rPr>
            </w:pPr>
          </w:p>
        </w:tc>
      </w:tr>
      <w:tr>
        <w:trPr>
          <w:trHeight w:val="94"/>
        </w:trPr>
        <w:tc>
          <w:tcPr>
            <w:tcW w:w="1840" w:type="dxa"/>
            <w:vAlign w:val="bottom"/>
            <w:shd w:val="clear" w:color="auto" w:fill="00558C"/>
          </w:tcPr>
          <w:p>
            <w:pPr>
              <w:spacing w:after="0"/>
              <w:rPr>
                <w:sz w:val="8"/>
                <w:szCs w:val="8"/>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4"/>
                <w:szCs w:val="14"/>
                <w:color w:val="auto"/>
                <w:w w:val="99"/>
              </w:rPr>
              <w:t>30%</w:t>
            </w:r>
          </w:p>
        </w:tc>
        <w:tc>
          <w:tcPr>
            <w:tcW w:w="3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84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3160" w:type="dxa"/>
            <w:vAlign w:val="bottom"/>
          </w:tcPr>
          <w:p>
            <w:pPr>
              <w:spacing w:after="0"/>
              <w:rPr>
                <w:sz w:val="3"/>
                <w:szCs w:val="3"/>
                <w:color w:val="auto"/>
              </w:rPr>
            </w:pP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Restricted</w:t>
            </w:r>
          </w:p>
        </w:tc>
        <w:tc>
          <w:tcPr>
            <w:tcW w:w="3160" w:type="dxa"/>
            <w:vAlign w:val="bottom"/>
            <w:vMerge w:val="restart"/>
          </w:tcPr>
          <w:p>
            <w:pPr>
              <w:ind w:left="120"/>
              <w:spacing w:after="0"/>
              <w:rPr>
                <w:sz w:val="20"/>
                <w:szCs w:val="20"/>
                <w:color w:val="auto"/>
              </w:rPr>
            </w:pPr>
            <w:r>
              <w:rPr>
                <w:rFonts w:ascii="Arial" w:cs="Arial" w:eastAsia="Arial" w:hAnsi="Arial"/>
                <w:sz w:val="14"/>
                <w:szCs w:val="14"/>
                <w:color w:val="auto"/>
              </w:rPr>
              <w:t>Provide for long-term executive retention.</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4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Stock Units</w:t>
            </w:r>
          </w:p>
        </w:tc>
        <w:tc>
          <w:tcPr>
            <w:tcW w:w="3160" w:type="dxa"/>
            <w:vAlign w:val="bottom"/>
            <w:vMerge w:val="continue"/>
          </w:tcPr>
          <w:p>
            <w:pPr>
              <w:spacing w:after="0"/>
              <w:rPr>
                <w:sz w:val="9"/>
                <w:szCs w:val="9"/>
                <w:color w:val="auto"/>
              </w:rPr>
            </w:pPr>
          </w:p>
        </w:tc>
        <w:tc>
          <w:tcPr>
            <w:tcW w:w="3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1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(RSUs)</w:t>
            </w:r>
          </w:p>
        </w:tc>
        <w:tc>
          <w:tcPr>
            <w:tcW w:w="31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right="260"/>
        <w:spacing w:after="0" w:line="310" w:lineRule="auto"/>
        <w:rPr>
          <w:sz w:val="20"/>
          <w:szCs w:val="20"/>
          <w:color w:val="auto"/>
        </w:rPr>
      </w:pPr>
      <w:r>
        <w:rPr>
          <w:rFonts w:ascii="Arial" w:cs="Arial" w:eastAsia="Arial" w:hAnsi="Arial"/>
          <w:sz w:val="16"/>
          <w:szCs w:val="16"/>
          <w:color w:val="auto"/>
        </w:rPr>
        <w:t>The 2025 program design continued to align our NEOs' interests with those of the stockholders by maintaining a majority of NEO compensation as performance-based and at-risk. The chart below illustrates the 2025 target mix of pay for the NEOs under the 2025 executive compensation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NEO Pay Mix at Target</w:t>
      </w:r>
    </w:p>
    <w:p>
      <w:pPr>
        <w:spacing w:after="0" w:line="275" w:lineRule="exact"/>
        <w:rPr>
          <w:sz w:val="20"/>
          <w:szCs w:val="20"/>
          <w:color w:val="auto"/>
        </w:rPr>
      </w:pPr>
    </w:p>
    <w:p>
      <w:pPr>
        <w:ind w:left="2440"/>
        <w:spacing w:after="0"/>
        <w:tabs>
          <w:tab w:leader="none" w:pos="5540" w:val="left"/>
        </w:tabs>
        <w:rPr>
          <w:sz w:val="20"/>
          <w:szCs w:val="20"/>
          <w:color w:val="auto"/>
        </w:rPr>
      </w:pPr>
      <w:r>
        <w:rPr>
          <w:rFonts w:ascii="Arial" w:cs="Arial" w:eastAsia="Arial" w:hAnsi="Arial"/>
          <w:sz w:val="14"/>
          <w:szCs w:val="14"/>
          <w:b w:val="1"/>
          <w:bCs w:val="1"/>
          <w:color w:val="6AAA37"/>
        </w:rPr>
        <w:t>CEO</w:t>
      </w:r>
      <w:r>
        <w:rPr>
          <w:sz w:val="20"/>
          <w:szCs w:val="20"/>
          <w:color w:val="auto"/>
        </w:rPr>
        <w:tab/>
      </w:r>
      <w:r>
        <w:rPr>
          <w:rFonts w:ascii="Arial" w:cs="Arial" w:eastAsia="Arial" w:hAnsi="Arial"/>
          <w:sz w:val="14"/>
          <w:szCs w:val="14"/>
          <w:b w:val="1"/>
          <w:bCs w:val="1"/>
          <w:color w:val="6AAA37"/>
        </w:rPr>
        <w:t>OTHER NEOS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38</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50825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508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Governance of Executive Compensation Program</w:t>
      </w:r>
    </w:p>
    <w:p>
      <w:pPr>
        <w:spacing w:after="0" w:line="139" w:lineRule="exact"/>
        <w:rPr>
          <w:sz w:val="20"/>
          <w:szCs w:val="20"/>
          <w:color w:val="auto"/>
        </w:rPr>
      </w:pPr>
    </w:p>
    <w:p>
      <w:pPr>
        <w:ind w:right="180"/>
        <w:spacing w:after="0" w:line="300" w:lineRule="auto"/>
        <w:rPr>
          <w:sz w:val="20"/>
          <w:szCs w:val="20"/>
          <w:color w:val="auto"/>
        </w:rPr>
      </w:pPr>
      <w:r>
        <w:rPr>
          <w:rFonts w:ascii="Arial" w:cs="Arial" w:eastAsia="Arial" w:hAnsi="Arial"/>
          <w:sz w:val="16"/>
          <w:szCs w:val="16"/>
          <w:color w:val="auto"/>
        </w:rPr>
        <w:t>The Compensation Committee, with support from management and an independent compensation consultant, is primarily responsible for designing, reviewing, and evaluating our executive compensation program in a manner consistent with our compensation philosophy, principles and objectives. These responsibilities were achieved through the following 2025 annual compensation-setting process.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 w:type="dxa"/>
            <w:vAlign w:val="bottom"/>
          </w:tcPr>
          <w:p>
            <w:pPr>
              <w:spacing w:after="0"/>
              <w:rPr>
                <w:sz w:val="19"/>
                <w:szCs w:val="19"/>
                <w:color w:val="auto"/>
              </w:rPr>
            </w:pPr>
          </w:p>
        </w:tc>
        <w:tc>
          <w:tcPr>
            <w:tcW w:w="1900" w:type="dxa"/>
            <w:vAlign w:val="bottom"/>
          </w:tcPr>
          <w:p>
            <w:pPr>
              <w:jc w:val="center"/>
              <w:ind w:right="146"/>
              <w:spacing w:after="0"/>
              <w:rPr>
                <w:sz w:val="20"/>
                <w:szCs w:val="20"/>
                <w:color w:val="auto"/>
              </w:rPr>
            </w:pPr>
            <w:r>
              <w:rPr>
                <w:rFonts w:ascii="Arial" w:cs="Arial" w:eastAsia="Arial" w:hAnsi="Arial"/>
                <w:sz w:val="16"/>
                <w:szCs w:val="16"/>
                <w:b w:val="1"/>
                <w:bCs w:val="1"/>
                <w:color w:val="FFFFFF"/>
              </w:rPr>
              <w:t>Peer Group &amp;</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ind w:left="400"/>
              <w:spacing w:after="0"/>
              <w:rPr>
                <w:sz w:val="20"/>
                <w:szCs w:val="20"/>
                <w:color w:val="auto"/>
              </w:rPr>
            </w:pPr>
            <w:r>
              <w:rPr>
                <w:rFonts w:ascii="Arial" w:cs="Arial" w:eastAsia="Arial" w:hAnsi="Arial"/>
                <w:sz w:val="16"/>
                <w:szCs w:val="16"/>
                <w:b w:val="1"/>
                <w:bCs w:val="1"/>
                <w:color w:val="FFFFFF"/>
              </w:rPr>
              <w:t>Monitor Plan</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vMerge w:val="restart"/>
          </w:tcPr>
          <w:p>
            <w:pPr>
              <w:ind w:left="440"/>
              <w:spacing w:after="0"/>
              <w:rPr>
                <w:sz w:val="20"/>
                <w:szCs w:val="20"/>
                <w:color w:val="auto"/>
              </w:rPr>
            </w:pPr>
            <w:r>
              <w:rPr>
                <w:rFonts w:ascii="Arial" w:cs="Arial" w:eastAsia="Arial" w:hAnsi="Arial"/>
                <w:sz w:val="16"/>
                <w:szCs w:val="16"/>
                <w:b w:val="1"/>
                <w:bCs w:val="1"/>
                <w:color w:val="FFFFFF"/>
              </w:rPr>
              <w:t>Determine</w:t>
            </w:r>
          </w:p>
        </w:tc>
        <w:tc>
          <w:tcPr>
            <w:tcW w:w="0" w:type="dxa"/>
            <w:vAlign w:val="bottom"/>
          </w:tcPr>
          <w:p>
            <w:pPr>
              <w:spacing w:after="0"/>
              <w:rPr>
                <w:sz w:val="1"/>
                <w:szCs w:val="1"/>
                <w:color w:val="auto"/>
              </w:rPr>
            </w:pPr>
          </w:p>
        </w:tc>
      </w:tr>
      <w:tr>
        <w:trPr>
          <w:trHeight w:val="78"/>
        </w:trPr>
        <w:tc>
          <w:tcPr>
            <w:tcW w:w="180" w:type="dxa"/>
            <w:vAlign w:val="bottom"/>
            <w:shd w:val="clear" w:color="auto" w:fill="F2F3F2"/>
          </w:tcPr>
          <w:p>
            <w:pPr>
              <w:spacing w:after="0"/>
              <w:rPr>
                <w:sz w:val="6"/>
                <w:szCs w:val="6"/>
                <w:color w:val="auto"/>
              </w:rPr>
            </w:pPr>
          </w:p>
        </w:tc>
        <w:tc>
          <w:tcPr>
            <w:tcW w:w="1900" w:type="dxa"/>
            <w:vAlign w:val="bottom"/>
            <w:vMerge w:val="restart"/>
            <w:shd w:val="clear" w:color="auto" w:fill="F2F3F2"/>
          </w:tcPr>
          <w:p>
            <w:pPr>
              <w:jc w:val="center"/>
              <w:ind w:right="146"/>
              <w:spacing w:after="0" w:line="173" w:lineRule="exact"/>
              <w:rPr>
                <w:sz w:val="20"/>
                <w:szCs w:val="20"/>
                <w:color w:val="auto"/>
              </w:rPr>
            </w:pPr>
            <w:r>
              <w:rPr>
                <w:rFonts w:ascii="Arial" w:cs="Arial" w:eastAsia="Arial" w:hAnsi="Arial"/>
                <w:sz w:val="16"/>
                <w:szCs w:val="16"/>
                <w:b w:val="1"/>
                <w:bCs w:val="1"/>
                <w:color w:val="FFFFFF"/>
              </w:rPr>
              <w:t>Plan Design</w:t>
            </w:r>
          </w:p>
        </w:tc>
        <w:tc>
          <w:tcPr>
            <w:tcW w:w="260" w:type="dxa"/>
            <w:vAlign w:val="bottom"/>
          </w:tcPr>
          <w:p>
            <w:pPr>
              <w:spacing w:after="0"/>
              <w:rPr>
                <w:sz w:val="6"/>
                <w:szCs w:val="6"/>
                <w:color w:val="auto"/>
              </w:rPr>
            </w:pPr>
          </w:p>
        </w:tc>
        <w:tc>
          <w:tcPr>
            <w:tcW w:w="160" w:type="dxa"/>
            <w:vAlign w:val="bottom"/>
            <w:shd w:val="clear" w:color="auto" w:fill="F2F3F2"/>
          </w:tcPr>
          <w:p>
            <w:pPr>
              <w:spacing w:after="0"/>
              <w:rPr>
                <w:sz w:val="6"/>
                <w:szCs w:val="6"/>
                <w:color w:val="auto"/>
              </w:rPr>
            </w:pPr>
          </w:p>
        </w:tc>
        <w:tc>
          <w:tcPr>
            <w:tcW w:w="1900" w:type="dxa"/>
            <w:vAlign w:val="bottom"/>
            <w:vMerge w:val="restart"/>
            <w:shd w:val="clear" w:color="auto" w:fill="F2F3F2"/>
          </w:tcPr>
          <w:p>
            <w:pPr>
              <w:ind w:left="260"/>
              <w:spacing w:after="0" w:line="173" w:lineRule="exact"/>
              <w:rPr>
                <w:sz w:val="20"/>
                <w:szCs w:val="20"/>
                <w:color w:val="auto"/>
              </w:rPr>
            </w:pPr>
            <w:r>
              <w:rPr>
                <w:rFonts w:ascii="Arial" w:cs="Arial" w:eastAsia="Arial" w:hAnsi="Arial"/>
                <w:sz w:val="16"/>
                <w:szCs w:val="16"/>
                <w:b w:val="1"/>
                <w:bCs w:val="1"/>
                <w:color w:val="FFFFFF"/>
              </w:rPr>
              <w:t>Target Setting</w:t>
            </w:r>
          </w:p>
        </w:tc>
        <w:tc>
          <w:tcPr>
            <w:tcW w:w="280" w:type="dxa"/>
            <w:vAlign w:val="bottom"/>
          </w:tcPr>
          <w:p>
            <w:pPr>
              <w:spacing w:after="0"/>
              <w:rPr>
                <w:sz w:val="6"/>
                <w:szCs w:val="6"/>
                <w:color w:val="auto"/>
              </w:rPr>
            </w:pPr>
          </w:p>
        </w:tc>
        <w:tc>
          <w:tcPr>
            <w:tcW w:w="100" w:type="dxa"/>
            <w:vAlign w:val="bottom"/>
            <w:shd w:val="clear" w:color="auto" w:fill="F2F3F2"/>
          </w:tcPr>
          <w:p>
            <w:pPr>
              <w:spacing w:after="0"/>
              <w:rPr>
                <w:sz w:val="6"/>
                <w:szCs w:val="6"/>
                <w:color w:val="auto"/>
              </w:rPr>
            </w:pPr>
          </w:p>
        </w:tc>
        <w:tc>
          <w:tcPr>
            <w:tcW w:w="1960" w:type="dxa"/>
            <w:vAlign w:val="bottom"/>
            <w:vMerge w:val="restart"/>
            <w:shd w:val="clear" w:color="auto" w:fill="F2F3F2"/>
          </w:tcPr>
          <w:p>
            <w:pPr>
              <w:jc w:val="center"/>
              <w:ind w:right="66"/>
              <w:spacing w:after="0" w:line="173" w:lineRule="exact"/>
              <w:rPr>
                <w:sz w:val="20"/>
                <w:szCs w:val="20"/>
                <w:color w:val="auto"/>
              </w:rPr>
            </w:pPr>
            <w:r>
              <w:rPr>
                <w:rFonts w:ascii="Arial" w:cs="Arial" w:eastAsia="Arial" w:hAnsi="Arial"/>
                <w:sz w:val="16"/>
                <w:szCs w:val="16"/>
                <w:b w:val="1"/>
                <w:bCs w:val="1"/>
                <w:color w:val="FFFFFF"/>
              </w:rPr>
              <w:t>Design &amp;</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80" w:type="dxa"/>
            <w:vAlign w:val="bottom"/>
            <w:shd w:val="clear" w:color="auto" w:fill="F2F3F2"/>
          </w:tcPr>
          <w:p>
            <w:pPr>
              <w:spacing w:after="0"/>
              <w:rPr>
                <w:sz w:val="8"/>
                <w:szCs w:val="8"/>
                <w:color w:val="auto"/>
              </w:rPr>
            </w:pPr>
          </w:p>
        </w:tc>
        <w:tc>
          <w:tcPr>
            <w:tcW w:w="1900" w:type="dxa"/>
            <w:vAlign w:val="bottom"/>
            <w:vMerge w:val="continue"/>
            <w:shd w:val="clear" w:color="auto" w:fill="F2F3F2"/>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shd w:val="clear" w:color="auto" w:fill="F2F3F2"/>
          </w:tcPr>
          <w:p>
            <w:pPr>
              <w:spacing w:after="0"/>
              <w:rPr>
                <w:sz w:val="8"/>
                <w:szCs w:val="8"/>
                <w:color w:val="auto"/>
              </w:rPr>
            </w:pPr>
          </w:p>
        </w:tc>
        <w:tc>
          <w:tcPr>
            <w:tcW w:w="1900" w:type="dxa"/>
            <w:vAlign w:val="bottom"/>
            <w:vMerge w:val="continue"/>
            <w:shd w:val="clear" w:color="auto" w:fill="F2F3F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shd w:val="clear" w:color="auto" w:fill="F2F3F2"/>
          </w:tcPr>
          <w:p>
            <w:pPr>
              <w:spacing w:after="0"/>
              <w:rPr>
                <w:sz w:val="8"/>
                <w:szCs w:val="8"/>
                <w:color w:val="auto"/>
              </w:rPr>
            </w:pPr>
          </w:p>
        </w:tc>
        <w:tc>
          <w:tcPr>
            <w:tcW w:w="1960" w:type="dxa"/>
            <w:vAlign w:val="bottom"/>
            <w:vMerge w:val="continue"/>
            <w:shd w:val="clear" w:color="auto" w:fill="F2F3F2"/>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20" w:type="dxa"/>
            <w:vAlign w:val="bottom"/>
            <w:vMerge w:val="restart"/>
          </w:tcPr>
          <w:p>
            <w:pPr>
              <w:ind w:left="340"/>
              <w:spacing w:after="0"/>
              <w:rPr>
                <w:sz w:val="20"/>
                <w:szCs w:val="20"/>
                <w:color w:val="auto"/>
              </w:rPr>
            </w:pPr>
            <w:r>
              <w:rPr>
                <w:rFonts w:ascii="Arial" w:cs="Arial" w:eastAsia="Arial" w:hAnsi="Arial"/>
                <w:sz w:val="16"/>
                <w:szCs w:val="16"/>
                <w:b w:val="1"/>
                <w:bCs w:val="1"/>
                <w:color w:val="FFFFFF"/>
              </w:rPr>
              <w:t>Performance</w:t>
            </w:r>
          </w:p>
        </w:tc>
        <w:tc>
          <w:tcPr>
            <w:tcW w:w="0" w:type="dxa"/>
            <w:vAlign w:val="bottom"/>
          </w:tcPr>
          <w:p>
            <w:pPr>
              <w:spacing w:after="0"/>
              <w:rPr>
                <w:sz w:val="1"/>
                <w:szCs w:val="1"/>
                <w:color w:val="auto"/>
              </w:rPr>
            </w:pPr>
          </w:p>
        </w:tc>
      </w:tr>
      <w:tr>
        <w:trPr>
          <w:trHeight w:val="128"/>
        </w:trPr>
        <w:tc>
          <w:tcPr>
            <w:tcW w:w="180" w:type="dxa"/>
            <w:vAlign w:val="bottom"/>
            <w:shd w:val="clear" w:color="auto" w:fill="F2F3F2"/>
          </w:tcPr>
          <w:p>
            <w:pPr>
              <w:spacing w:after="0"/>
              <w:rPr>
                <w:sz w:val="11"/>
                <w:szCs w:val="11"/>
                <w:color w:val="auto"/>
              </w:rPr>
            </w:pPr>
          </w:p>
        </w:tc>
        <w:tc>
          <w:tcPr>
            <w:tcW w:w="1900" w:type="dxa"/>
            <w:vAlign w:val="bottom"/>
            <w:vMerge w:val="restart"/>
            <w:shd w:val="clear" w:color="auto" w:fill="F2F3F2"/>
          </w:tcPr>
          <w:p>
            <w:pPr>
              <w:jc w:val="center"/>
              <w:ind w:right="126"/>
              <w:spacing w:after="0"/>
              <w:rPr>
                <w:sz w:val="20"/>
                <w:szCs w:val="20"/>
                <w:color w:val="auto"/>
              </w:rPr>
            </w:pPr>
            <w:r>
              <w:rPr>
                <w:rFonts w:ascii="Arial" w:cs="Arial" w:eastAsia="Arial" w:hAnsi="Arial"/>
                <w:sz w:val="16"/>
                <w:szCs w:val="16"/>
                <w:b w:val="1"/>
                <w:bCs w:val="1"/>
                <w:color w:val="FFFFFF"/>
                <w:w w:val="97"/>
              </w:rPr>
              <w:t>Review</w:t>
            </w:r>
          </w:p>
        </w:tc>
        <w:tc>
          <w:tcPr>
            <w:tcW w:w="260" w:type="dxa"/>
            <w:vAlign w:val="bottom"/>
          </w:tcPr>
          <w:p>
            <w:pPr>
              <w:spacing w:after="0"/>
              <w:rPr>
                <w:sz w:val="11"/>
                <w:szCs w:val="11"/>
                <w:color w:val="auto"/>
              </w:rPr>
            </w:pPr>
          </w:p>
        </w:tc>
        <w:tc>
          <w:tcPr>
            <w:tcW w:w="160" w:type="dxa"/>
            <w:vAlign w:val="bottom"/>
            <w:shd w:val="clear" w:color="auto" w:fill="F2F3F2"/>
          </w:tcPr>
          <w:p>
            <w:pPr>
              <w:spacing w:after="0"/>
              <w:rPr>
                <w:sz w:val="11"/>
                <w:szCs w:val="11"/>
                <w:color w:val="auto"/>
              </w:rPr>
            </w:pPr>
          </w:p>
        </w:tc>
        <w:tc>
          <w:tcPr>
            <w:tcW w:w="1900" w:type="dxa"/>
            <w:vAlign w:val="bottom"/>
            <w:shd w:val="clear" w:color="auto" w:fill="F2F3F2"/>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1960" w:type="dxa"/>
            <w:vAlign w:val="bottom"/>
            <w:vMerge w:val="restart"/>
            <w:shd w:val="clear" w:color="auto" w:fill="F2F3F2"/>
          </w:tcPr>
          <w:p>
            <w:pPr>
              <w:jc w:val="center"/>
              <w:ind w:right="66"/>
              <w:spacing w:after="0"/>
              <w:rPr>
                <w:sz w:val="20"/>
                <w:szCs w:val="20"/>
                <w:color w:val="auto"/>
              </w:rPr>
            </w:pPr>
            <w:r>
              <w:rPr>
                <w:rFonts w:ascii="Arial" w:cs="Arial" w:eastAsia="Arial" w:hAnsi="Arial"/>
                <w:sz w:val="16"/>
                <w:szCs w:val="16"/>
                <w:b w:val="1"/>
                <w:bCs w:val="1"/>
                <w:color w:val="FFFFFF"/>
              </w:rPr>
              <w:t>Metrics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0" w:type="dxa"/>
            <w:vAlign w:val="bottom"/>
            <w:shd w:val="clear" w:color="auto" w:fill="F2F3F2"/>
          </w:tcPr>
          <w:p>
            <w:pPr>
              <w:spacing w:after="0"/>
              <w:rPr>
                <w:sz w:val="9"/>
                <w:szCs w:val="9"/>
                <w:color w:val="auto"/>
              </w:rPr>
            </w:pPr>
          </w:p>
        </w:tc>
        <w:tc>
          <w:tcPr>
            <w:tcW w:w="1900" w:type="dxa"/>
            <w:vAlign w:val="bottom"/>
            <w:vMerge w:val="continue"/>
            <w:shd w:val="clear" w:color="auto" w:fill="F2F3F2"/>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shd w:val="clear" w:color="auto" w:fill="F2F3F2"/>
          </w:tcPr>
          <w:p>
            <w:pPr>
              <w:spacing w:after="0"/>
              <w:rPr>
                <w:sz w:val="9"/>
                <w:szCs w:val="9"/>
                <w:color w:val="auto"/>
              </w:rPr>
            </w:pPr>
          </w:p>
        </w:tc>
        <w:tc>
          <w:tcPr>
            <w:tcW w:w="1900" w:type="dxa"/>
            <w:vAlign w:val="bottom"/>
            <w:shd w:val="clear" w:color="auto" w:fill="F2F3F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shd w:val="clear" w:color="auto" w:fill="F2F3F2"/>
          </w:tcPr>
          <w:p>
            <w:pPr>
              <w:spacing w:after="0"/>
              <w:rPr>
                <w:sz w:val="9"/>
                <w:szCs w:val="9"/>
                <w:color w:val="auto"/>
              </w:rPr>
            </w:pPr>
          </w:p>
        </w:tc>
        <w:tc>
          <w:tcPr>
            <w:tcW w:w="1960" w:type="dxa"/>
            <w:vAlign w:val="bottom"/>
            <w:vMerge w:val="continue"/>
            <w:shd w:val="clear" w:color="auto" w:fill="F2F3F2"/>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2"/>
        </w:trPr>
        <w:tc>
          <w:tcPr>
            <w:tcW w:w="180" w:type="dxa"/>
            <w:vAlign w:val="bottom"/>
            <w:shd w:val="clear" w:color="auto" w:fill="F2F3F2"/>
          </w:tcPr>
          <w:p>
            <w:pPr>
              <w:ind w:left="60"/>
              <w:spacing w:after="0"/>
              <w:rPr>
                <w:sz w:val="20"/>
                <w:szCs w:val="20"/>
                <w:color w:val="auto"/>
              </w:rPr>
            </w:pPr>
            <w:r>
              <w:rPr>
                <w:rFonts w:ascii="Arial" w:cs="Arial" w:eastAsia="Arial" w:hAnsi="Arial"/>
                <w:sz w:val="14"/>
                <w:szCs w:val="14"/>
                <w:b w:val="1"/>
                <w:bCs w:val="1"/>
                <w:color w:val="6AAA37"/>
              </w:rPr>
              <w:t>•</w:t>
            </w: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Review compensation</w:t>
            </w:r>
          </w:p>
        </w:tc>
        <w:tc>
          <w:tcPr>
            <w:tcW w:w="260" w:type="dxa"/>
            <w:vAlign w:val="bottom"/>
          </w:tcPr>
          <w:p>
            <w:pPr>
              <w:spacing w:after="0"/>
              <w:rPr>
                <w:sz w:val="24"/>
                <w:szCs w:val="24"/>
                <w:color w:val="auto"/>
              </w:rPr>
            </w:pPr>
          </w:p>
        </w:tc>
        <w:tc>
          <w:tcPr>
            <w:tcW w:w="160" w:type="dxa"/>
            <w:vAlign w:val="bottom"/>
            <w:shd w:val="clear" w:color="auto" w:fill="F2F3F2"/>
          </w:tcPr>
          <w:p>
            <w:pPr>
              <w:ind w:left="60"/>
              <w:spacing w:after="0"/>
              <w:rPr>
                <w:sz w:val="20"/>
                <w:szCs w:val="20"/>
                <w:color w:val="auto"/>
              </w:rPr>
            </w:pPr>
            <w:r>
              <w:rPr>
                <w:rFonts w:ascii="Arial" w:cs="Arial" w:eastAsia="Arial" w:hAnsi="Arial"/>
                <w:sz w:val="14"/>
                <w:szCs w:val="14"/>
                <w:b w:val="1"/>
                <w:bCs w:val="1"/>
                <w:color w:val="6AAA37"/>
              </w:rPr>
              <w:t>•</w:t>
            </w: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Approve total target</w:t>
            </w:r>
          </w:p>
        </w:tc>
        <w:tc>
          <w:tcPr>
            <w:tcW w:w="280" w:type="dxa"/>
            <w:vAlign w:val="bottom"/>
          </w:tcPr>
          <w:p>
            <w:pPr>
              <w:spacing w:after="0"/>
              <w:rPr>
                <w:sz w:val="24"/>
                <w:szCs w:val="24"/>
                <w:color w:val="auto"/>
              </w:rPr>
            </w:pPr>
          </w:p>
        </w:tc>
        <w:tc>
          <w:tcPr>
            <w:tcW w:w="100" w:type="dxa"/>
            <w:vAlign w:val="bottom"/>
            <w:shd w:val="clear" w:color="auto" w:fill="F2F3F2"/>
          </w:tcPr>
          <w:p>
            <w:pPr>
              <w:ind w:left="40"/>
              <w:spacing w:after="0"/>
              <w:rPr>
                <w:sz w:val="20"/>
                <w:szCs w:val="20"/>
                <w:color w:val="auto"/>
              </w:rPr>
            </w:pPr>
            <w:r>
              <w:rPr>
                <w:rFonts w:ascii="Arial" w:cs="Arial" w:eastAsia="Arial" w:hAnsi="Arial"/>
                <w:sz w:val="14"/>
                <w:szCs w:val="14"/>
                <w:b w:val="1"/>
                <w:bCs w:val="1"/>
                <w:color w:val="6AAA37"/>
                <w:w w:val="80"/>
              </w:rPr>
              <w:t>•</w:t>
            </w:r>
          </w:p>
        </w:tc>
        <w:tc>
          <w:tcPr>
            <w:tcW w:w="19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Monitor performance</w:t>
            </w:r>
          </w:p>
        </w:tc>
        <w:tc>
          <w:tcPr>
            <w:tcW w:w="2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6AAA37"/>
              </w:rPr>
              <w:t>•</w:t>
            </w:r>
          </w:p>
        </w:tc>
        <w:tc>
          <w:tcPr>
            <w:tcW w:w="1920" w:type="dxa"/>
            <w:vAlign w:val="bottom"/>
          </w:tcPr>
          <w:p>
            <w:pPr>
              <w:ind w:left="60"/>
              <w:spacing w:after="0"/>
              <w:rPr>
                <w:sz w:val="20"/>
                <w:szCs w:val="20"/>
                <w:color w:val="auto"/>
              </w:rPr>
            </w:pPr>
            <w:r>
              <w:rPr>
                <w:rFonts w:ascii="Arial" w:cs="Arial" w:eastAsia="Arial" w:hAnsi="Arial"/>
                <w:sz w:val="14"/>
                <w:szCs w:val="14"/>
                <w:color w:val="auto"/>
              </w:rPr>
              <w:t>Review pay-for-</w:t>
            </w:r>
          </w:p>
        </w:tc>
        <w:tc>
          <w:tcPr>
            <w:tcW w:w="0" w:type="dxa"/>
            <w:vAlign w:val="bottom"/>
          </w:tcPr>
          <w:p>
            <w:pPr>
              <w:spacing w:after="0"/>
              <w:rPr>
                <w:sz w:val="1"/>
                <w:szCs w:val="1"/>
                <w:color w:val="auto"/>
              </w:rPr>
            </w:pPr>
          </w:p>
        </w:tc>
      </w:tr>
      <w:tr>
        <w:trPr>
          <w:trHeight w:val="176"/>
        </w:trPr>
        <w:tc>
          <w:tcPr>
            <w:tcW w:w="180" w:type="dxa"/>
            <w:vAlign w:val="bottom"/>
            <w:shd w:val="clear" w:color="auto" w:fill="F2F3F2"/>
          </w:tcPr>
          <w:p>
            <w:pPr>
              <w:spacing w:after="0"/>
              <w:rPr>
                <w:sz w:val="15"/>
                <w:szCs w:val="15"/>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peer group for</w:t>
            </w:r>
          </w:p>
        </w:tc>
        <w:tc>
          <w:tcPr>
            <w:tcW w:w="260" w:type="dxa"/>
            <w:vAlign w:val="bottom"/>
          </w:tcPr>
          <w:p>
            <w:pPr>
              <w:spacing w:after="0"/>
              <w:rPr>
                <w:sz w:val="15"/>
                <w:szCs w:val="15"/>
                <w:color w:val="auto"/>
              </w:rPr>
            </w:pPr>
          </w:p>
        </w:tc>
        <w:tc>
          <w:tcPr>
            <w:tcW w:w="160" w:type="dxa"/>
            <w:vAlign w:val="bottom"/>
            <w:shd w:val="clear" w:color="auto" w:fill="F2F3F2"/>
          </w:tcPr>
          <w:p>
            <w:pPr>
              <w:spacing w:after="0"/>
              <w:rPr>
                <w:sz w:val="15"/>
                <w:szCs w:val="15"/>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compensation for each</w:t>
            </w:r>
          </w:p>
        </w:tc>
        <w:tc>
          <w:tcPr>
            <w:tcW w:w="280" w:type="dxa"/>
            <w:vAlign w:val="bottom"/>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9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against established AIP</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performance alignment</w:t>
            </w:r>
          </w:p>
        </w:tc>
        <w:tc>
          <w:tcPr>
            <w:tcW w:w="0" w:type="dxa"/>
            <w:vAlign w:val="bottom"/>
          </w:tcPr>
          <w:p>
            <w:pPr>
              <w:spacing w:after="0"/>
              <w:rPr>
                <w:sz w:val="1"/>
                <w:szCs w:val="1"/>
                <w:color w:val="auto"/>
              </w:rPr>
            </w:pPr>
          </w:p>
        </w:tc>
      </w:tr>
      <w:tr>
        <w:trPr>
          <w:trHeight w:val="175"/>
        </w:trPr>
        <w:tc>
          <w:tcPr>
            <w:tcW w:w="180" w:type="dxa"/>
            <w:vAlign w:val="bottom"/>
            <w:shd w:val="clear" w:color="auto" w:fill="F2F3F2"/>
          </w:tcPr>
          <w:p>
            <w:pPr>
              <w:spacing w:after="0"/>
              <w:rPr>
                <w:sz w:val="15"/>
                <w:szCs w:val="15"/>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consistency with Huron’s</w:t>
            </w:r>
          </w:p>
        </w:tc>
        <w:tc>
          <w:tcPr>
            <w:tcW w:w="260" w:type="dxa"/>
            <w:vAlign w:val="bottom"/>
          </w:tcPr>
          <w:p>
            <w:pPr>
              <w:spacing w:after="0"/>
              <w:rPr>
                <w:sz w:val="15"/>
                <w:szCs w:val="15"/>
                <w:color w:val="auto"/>
              </w:rPr>
            </w:pPr>
          </w:p>
        </w:tc>
        <w:tc>
          <w:tcPr>
            <w:tcW w:w="160" w:type="dxa"/>
            <w:vAlign w:val="bottom"/>
            <w:shd w:val="clear" w:color="auto" w:fill="F2F3F2"/>
          </w:tcPr>
          <w:p>
            <w:pPr>
              <w:spacing w:after="0"/>
              <w:rPr>
                <w:sz w:val="15"/>
                <w:szCs w:val="15"/>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named executive officer</w:t>
            </w:r>
          </w:p>
        </w:tc>
        <w:tc>
          <w:tcPr>
            <w:tcW w:w="280" w:type="dxa"/>
            <w:vAlign w:val="bottom"/>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9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and LTIP targets to</w:t>
            </w:r>
          </w:p>
        </w:tc>
        <w:tc>
          <w:tcPr>
            <w:tcW w:w="280" w:type="dxa"/>
            <w:vAlign w:val="bottom"/>
          </w:tcPr>
          <w:p>
            <w:pPr>
              <w:spacing w:after="0"/>
              <w:rPr>
                <w:sz w:val="15"/>
                <w:szCs w:val="15"/>
                <w:color w:val="auto"/>
              </w:rPr>
            </w:pPr>
          </w:p>
        </w:tc>
        <w:tc>
          <w:tcPr>
            <w:tcW w:w="2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Certify payout of 2025</w:t>
            </w:r>
          </w:p>
        </w:tc>
        <w:tc>
          <w:tcPr>
            <w:tcW w:w="0" w:type="dxa"/>
            <w:vAlign w:val="bottom"/>
          </w:tcPr>
          <w:p>
            <w:pPr>
              <w:spacing w:after="0"/>
              <w:rPr>
                <w:sz w:val="1"/>
                <w:szCs w:val="1"/>
                <w:color w:val="auto"/>
              </w:rPr>
            </w:pPr>
          </w:p>
        </w:tc>
      </w:tr>
      <w:tr>
        <w:trPr>
          <w:trHeight w:val="54"/>
        </w:trPr>
        <w:tc>
          <w:tcPr>
            <w:tcW w:w="180" w:type="dxa"/>
            <w:vAlign w:val="bottom"/>
            <w:shd w:val="clear" w:color="auto" w:fill="F2F3F2"/>
          </w:tcPr>
          <w:p>
            <w:pPr>
              <w:spacing w:after="0"/>
              <w:rPr>
                <w:sz w:val="4"/>
                <w:szCs w:val="4"/>
                <w:color w:val="auto"/>
              </w:rPr>
            </w:pP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size, offerings and market</w:t>
            </w:r>
          </w:p>
        </w:tc>
        <w:tc>
          <w:tcPr>
            <w:tcW w:w="260" w:type="dxa"/>
            <w:vAlign w:val="bottom"/>
          </w:tcPr>
          <w:p>
            <w:pPr>
              <w:spacing w:after="0"/>
              <w:rPr>
                <w:sz w:val="4"/>
                <w:szCs w:val="4"/>
                <w:color w:val="auto"/>
              </w:rPr>
            </w:pPr>
          </w:p>
        </w:tc>
        <w:tc>
          <w:tcPr>
            <w:tcW w:w="160" w:type="dxa"/>
            <w:vAlign w:val="bottom"/>
            <w:shd w:val="clear" w:color="auto" w:fill="F2F3F2"/>
          </w:tcPr>
          <w:p>
            <w:pPr>
              <w:spacing w:after="0"/>
              <w:rPr>
                <w:sz w:val="4"/>
                <w:szCs w:val="4"/>
                <w:color w:val="auto"/>
              </w:rPr>
            </w:pPr>
          </w:p>
        </w:tc>
        <w:tc>
          <w:tcPr>
            <w:tcW w:w="1900" w:type="dxa"/>
            <w:vAlign w:val="bottom"/>
            <w:shd w:val="clear" w:color="auto" w:fill="F2F3F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shd w:val="clear" w:color="auto" w:fill="F2F3F2"/>
          </w:tcPr>
          <w:p>
            <w:pPr>
              <w:spacing w:after="0"/>
              <w:rPr>
                <w:sz w:val="4"/>
                <w:szCs w:val="4"/>
                <w:color w:val="auto"/>
              </w:rPr>
            </w:pPr>
          </w:p>
        </w:tc>
        <w:tc>
          <w:tcPr>
            <w:tcW w:w="196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confirm whether</w:t>
            </w:r>
          </w:p>
        </w:tc>
        <w:tc>
          <w:tcPr>
            <w:tcW w:w="28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80" w:type="dxa"/>
            <w:vAlign w:val="bottom"/>
            <w:shd w:val="clear" w:color="auto" w:fill="F2F3F2"/>
          </w:tcPr>
          <w:p>
            <w:pPr>
              <w:spacing w:after="0"/>
              <w:rPr>
                <w:sz w:val="10"/>
                <w:szCs w:val="10"/>
                <w:color w:val="auto"/>
              </w:rPr>
            </w:pPr>
          </w:p>
        </w:tc>
        <w:tc>
          <w:tcPr>
            <w:tcW w:w="1900" w:type="dxa"/>
            <w:vAlign w:val="bottom"/>
            <w:vMerge w:val="continue"/>
            <w:shd w:val="clear" w:color="auto" w:fill="F2F3F2"/>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vMerge w:val="restart"/>
            <w:shd w:val="clear" w:color="auto" w:fill="F2F3F2"/>
          </w:tcPr>
          <w:p>
            <w:pPr>
              <w:ind w:left="60"/>
              <w:spacing w:after="0"/>
              <w:rPr>
                <w:sz w:val="20"/>
                <w:szCs w:val="20"/>
                <w:color w:val="auto"/>
              </w:rPr>
            </w:pPr>
            <w:r>
              <w:rPr>
                <w:rFonts w:ascii="Arial" w:cs="Arial" w:eastAsia="Arial" w:hAnsi="Arial"/>
                <w:sz w:val="14"/>
                <w:szCs w:val="14"/>
                <w:b w:val="1"/>
                <w:bCs w:val="1"/>
                <w:color w:val="6AAA37"/>
              </w:rPr>
              <w:t>•</w:t>
            </w: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Establish financial and</w:t>
            </w:r>
          </w:p>
        </w:tc>
        <w:tc>
          <w:tcPr>
            <w:tcW w:w="280" w:type="dxa"/>
            <w:vAlign w:val="bottom"/>
          </w:tcPr>
          <w:p>
            <w:pPr>
              <w:spacing w:after="0"/>
              <w:rPr>
                <w:sz w:val="10"/>
                <w:szCs w:val="10"/>
                <w:color w:val="auto"/>
              </w:rPr>
            </w:pPr>
          </w:p>
        </w:tc>
        <w:tc>
          <w:tcPr>
            <w:tcW w:w="100" w:type="dxa"/>
            <w:vAlign w:val="bottom"/>
            <w:shd w:val="clear" w:color="auto" w:fill="F2F3F2"/>
          </w:tcPr>
          <w:p>
            <w:pPr>
              <w:spacing w:after="0"/>
              <w:rPr>
                <w:sz w:val="10"/>
                <w:szCs w:val="10"/>
                <w:color w:val="auto"/>
              </w:rPr>
            </w:pPr>
          </w:p>
        </w:tc>
        <w:tc>
          <w:tcPr>
            <w:tcW w:w="1960" w:type="dxa"/>
            <w:vAlign w:val="bottom"/>
            <w:vMerge w:val="continue"/>
            <w:shd w:val="clear" w:color="auto" w:fill="F2F3F2"/>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vMerge w:val="restart"/>
          </w:tcPr>
          <w:p>
            <w:pPr>
              <w:ind w:left="60"/>
              <w:spacing w:after="0"/>
              <w:rPr>
                <w:sz w:val="20"/>
                <w:szCs w:val="20"/>
                <w:color w:val="auto"/>
              </w:rPr>
            </w:pPr>
            <w:r>
              <w:rPr>
                <w:rFonts w:ascii="Arial" w:cs="Arial" w:eastAsia="Arial" w:hAnsi="Arial"/>
                <w:sz w:val="14"/>
                <w:szCs w:val="14"/>
                <w:color w:val="auto"/>
              </w:rPr>
              <w:t>AIP for each named</w:t>
            </w:r>
          </w:p>
        </w:tc>
        <w:tc>
          <w:tcPr>
            <w:tcW w:w="0" w:type="dxa"/>
            <w:vAlign w:val="bottom"/>
          </w:tcPr>
          <w:p>
            <w:pPr>
              <w:spacing w:after="0"/>
              <w:rPr>
                <w:sz w:val="1"/>
                <w:szCs w:val="1"/>
                <w:color w:val="auto"/>
              </w:rPr>
            </w:pPr>
          </w:p>
        </w:tc>
      </w:tr>
      <w:tr>
        <w:trPr>
          <w:trHeight w:val="54"/>
        </w:trPr>
        <w:tc>
          <w:tcPr>
            <w:tcW w:w="180" w:type="dxa"/>
            <w:vAlign w:val="bottom"/>
            <w:shd w:val="clear" w:color="auto" w:fill="F2F3F2"/>
          </w:tcPr>
          <w:p>
            <w:pPr>
              <w:spacing w:after="0"/>
              <w:rPr>
                <w:sz w:val="4"/>
                <w:szCs w:val="4"/>
                <w:color w:val="auto"/>
              </w:rPr>
            </w:pP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for talent</w:t>
            </w:r>
          </w:p>
        </w:tc>
        <w:tc>
          <w:tcPr>
            <w:tcW w:w="260" w:type="dxa"/>
            <w:vAlign w:val="bottom"/>
          </w:tcPr>
          <w:p>
            <w:pPr>
              <w:spacing w:after="0"/>
              <w:rPr>
                <w:sz w:val="4"/>
                <w:szCs w:val="4"/>
                <w:color w:val="auto"/>
              </w:rPr>
            </w:pPr>
          </w:p>
        </w:tc>
        <w:tc>
          <w:tcPr>
            <w:tcW w:w="160" w:type="dxa"/>
            <w:vAlign w:val="bottom"/>
            <w:vMerge w:val="continue"/>
            <w:shd w:val="clear" w:color="auto" w:fill="F2F3F2"/>
          </w:tcPr>
          <w:p>
            <w:pPr>
              <w:spacing w:after="0"/>
              <w:rPr>
                <w:sz w:val="4"/>
                <w:szCs w:val="4"/>
                <w:color w:val="auto"/>
              </w:rPr>
            </w:pPr>
          </w:p>
        </w:tc>
        <w:tc>
          <w:tcPr>
            <w:tcW w:w="1900" w:type="dxa"/>
            <w:vAlign w:val="bottom"/>
            <w:vMerge w:val="continue"/>
            <w:shd w:val="clear" w:color="auto" w:fill="F2F3F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shd w:val="clear" w:color="auto" w:fill="F2F3F2"/>
          </w:tcPr>
          <w:p>
            <w:pPr>
              <w:spacing w:after="0"/>
              <w:rPr>
                <w:sz w:val="4"/>
                <w:szCs w:val="4"/>
                <w:color w:val="auto"/>
              </w:rPr>
            </w:pPr>
          </w:p>
        </w:tc>
        <w:tc>
          <w:tcPr>
            <w:tcW w:w="196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compensation</w:t>
            </w: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80" w:type="dxa"/>
            <w:vAlign w:val="bottom"/>
            <w:shd w:val="clear" w:color="auto" w:fill="F2F3F2"/>
          </w:tcPr>
          <w:p>
            <w:pPr>
              <w:spacing w:after="0"/>
              <w:rPr>
                <w:sz w:val="10"/>
                <w:szCs w:val="10"/>
                <w:color w:val="auto"/>
              </w:rPr>
            </w:pPr>
          </w:p>
        </w:tc>
        <w:tc>
          <w:tcPr>
            <w:tcW w:w="1900" w:type="dxa"/>
            <w:vAlign w:val="bottom"/>
            <w:vMerge w:val="continue"/>
            <w:shd w:val="clear" w:color="auto" w:fill="F2F3F2"/>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shd w:val="clear" w:color="auto" w:fill="F2F3F2"/>
          </w:tcPr>
          <w:p>
            <w:pPr>
              <w:spacing w:after="0"/>
              <w:rPr>
                <w:sz w:val="10"/>
                <w:szCs w:val="10"/>
                <w:color w:val="auto"/>
              </w:rPr>
            </w:pP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strategic measures for</w:t>
            </w:r>
          </w:p>
        </w:tc>
        <w:tc>
          <w:tcPr>
            <w:tcW w:w="280" w:type="dxa"/>
            <w:vAlign w:val="bottom"/>
          </w:tcPr>
          <w:p>
            <w:pPr>
              <w:spacing w:after="0"/>
              <w:rPr>
                <w:sz w:val="10"/>
                <w:szCs w:val="10"/>
                <w:color w:val="auto"/>
              </w:rPr>
            </w:pPr>
          </w:p>
        </w:tc>
        <w:tc>
          <w:tcPr>
            <w:tcW w:w="100" w:type="dxa"/>
            <w:vAlign w:val="bottom"/>
            <w:shd w:val="clear" w:color="auto" w:fill="F2F3F2"/>
          </w:tcPr>
          <w:p>
            <w:pPr>
              <w:spacing w:after="0"/>
              <w:rPr>
                <w:sz w:val="10"/>
                <w:szCs w:val="10"/>
                <w:color w:val="auto"/>
              </w:rPr>
            </w:pPr>
          </w:p>
        </w:tc>
        <w:tc>
          <w:tcPr>
            <w:tcW w:w="1960" w:type="dxa"/>
            <w:vAlign w:val="bottom"/>
            <w:vMerge w:val="continue"/>
            <w:shd w:val="clear" w:color="auto" w:fill="F2F3F2"/>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vMerge w:val="restart"/>
          </w:tcPr>
          <w:p>
            <w:pPr>
              <w:ind w:left="60"/>
              <w:spacing w:after="0"/>
              <w:rPr>
                <w:sz w:val="20"/>
                <w:szCs w:val="20"/>
                <w:color w:val="auto"/>
              </w:rPr>
            </w:pPr>
            <w:r>
              <w:rPr>
                <w:rFonts w:ascii="Arial" w:cs="Arial" w:eastAsia="Arial" w:hAnsi="Arial"/>
                <w:sz w:val="14"/>
                <w:szCs w:val="14"/>
                <w:color w:val="auto"/>
              </w:rPr>
              <w:t>executive officer based</w:t>
            </w:r>
          </w:p>
        </w:tc>
        <w:tc>
          <w:tcPr>
            <w:tcW w:w="0" w:type="dxa"/>
            <w:vAlign w:val="bottom"/>
          </w:tcPr>
          <w:p>
            <w:pPr>
              <w:spacing w:after="0"/>
              <w:rPr>
                <w:sz w:val="1"/>
                <w:szCs w:val="1"/>
                <w:color w:val="auto"/>
              </w:rPr>
            </w:pPr>
          </w:p>
        </w:tc>
      </w:tr>
      <w:tr>
        <w:trPr>
          <w:trHeight w:val="54"/>
        </w:trPr>
        <w:tc>
          <w:tcPr>
            <w:tcW w:w="180" w:type="dxa"/>
            <w:vAlign w:val="bottom"/>
            <w:shd w:val="clear" w:color="auto" w:fill="F2F3F2"/>
          </w:tcPr>
          <w:p>
            <w:pPr>
              <w:spacing w:after="0"/>
              <w:rPr>
                <w:sz w:val="4"/>
                <w:szCs w:val="4"/>
                <w:color w:val="auto"/>
              </w:rPr>
            </w:pPr>
          </w:p>
        </w:tc>
        <w:tc>
          <w:tcPr>
            <w:tcW w:w="1900" w:type="dxa"/>
            <w:vAlign w:val="bottom"/>
            <w:shd w:val="clear" w:color="auto" w:fill="F2F3F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shd w:val="clear" w:color="auto" w:fill="F2F3F2"/>
          </w:tcPr>
          <w:p>
            <w:pPr>
              <w:spacing w:after="0"/>
              <w:rPr>
                <w:sz w:val="4"/>
                <w:szCs w:val="4"/>
                <w:color w:val="auto"/>
              </w:rPr>
            </w:pPr>
          </w:p>
        </w:tc>
        <w:tc>
          <w:tcPr>
            <w:tcW w:w="1900" w:type="dxa"/>
            <w:vAlign w:val="bottom"/>
            <w:vMerge w:val="continue"/>
            <w:shd w:val="clear" w:color="auto" w:fill="F2F3F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shd w:val="clear" w:color="auto" w:fill="F2F3F2"/>
          </w:tcPr>
          <w:p>
            <w:pPr>
              <w:spacing w:after="0"/>
              <w:rPr>
                <w:sz w:val="4"/>
                <w:szCs w:val="4"/>
                <w:color w:val="auto"/>
              </w:rPr>
            </w:pPr>
          </w:p>
        </w:tc>
        <w:tc>
          <w:tcPr>
            <w:tcW w:w="196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philosophy, principles and</w:t>
            </w: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80" w:type="dxa"/>
            <w:vAlign w:val="bottom"/>
            <w:vMerge w:val="restart"/>
            <w:shd w:val="clear" w:color="auto" w:fill="F2F3F2"/>
          </w:tcPr>
          <w:p>
            <w:pPr>
              <w:ind w:left="60"/>
              <w:spacing w:after="0"/>
              <w:rPr>
                <w:sz w:val="20"/>
                <w:szCs w:val="20"/>
                <w:color w:val="auto"/>
              </w:rPr>
            </w:pPr>
            <w:r>
              <w:rPr>
                <w:rFonts w:ascii="Arial" w:cs="Arial" w:eastAsia="Arial" w:hAnsi="Arial"/>
                <w:sz w:val="14"/>
                <w:szCs w:val="14"/>
                <w:b w:val="1"/>
                <w:bCs w:val="1"/>
                <w:color w:val="6AAA37"/>
              </w:rPr>
              <w:t>•</w:t>
            </w: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Perform annual risk</w:t>
            </w:r>
          </w:p>
        </w:tc>
        <w:tc>
          <w:tcPr>
            <w:tcW w:w="260" w:type="dxa"/>
            <w:vAlign w:val="bottom"/>
          </w:tcPr>
          <w:p>
            <w:pPr>
              <w:spacing w:after="0"/>
              <w:rPr>
                <w:sz w:val="9"/>
                <w:szCs w:val="9"/>
                <w:color w:val="auto"/>
              </w:rPr>
            </w:pPr>
          </w:p>
        </w:tc>
        <w:tc>
          <w:tcPr>
            <w:tcW w:w="160" w:type="dxa"/>
            <w:vAlign w:val="bottom"/>
            <w:shd w:val="clear" w:color="auto" w:fill="F2F3F2"/>
          </w:tcPr>
          <w:p>
            <w:pPr>
              <w:spacing w:after="0"/>
              <w:rPr>
                <w:sz w:val="9"/>
                <w:szCs w:val="9"/>
                <w:color w:val="auto"/>
              </w:rPr>
            </w:pP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2025 AIP and 2025 –</w:t>
            </w:r>
          </w:p>
        </w:tc>
        <w:tc>
          <w:tcPr>
            <w:tcW w:w="280" w:type="dxa"/>
            <w:vAlign w:val="bottom"/>
          </w:tcPr>
          <w:p>
            <w:pPr>
              <w:spacing w:after="0"/>
              <w:rPr>
                <w:sz w:val="9"/>
                <w:szCs w:val="9"/>
                <w:color w:val="auto"/>
              </w:rPr>
            </w:pPr>
          </w:p>
        </w:tc>
        <w:tc>
          <w:tcPr>
            <w:tcW w:w="100" w:type="dxa"/>
            <w:vAlign w:val="bottom"/>
            <w:shd w:val="clear" w:color="auto" w:fill="F2F3F2"/>
          </w:tcPr>
          <w:p>
            <w:pPr>
              <w:spacing w:after="0"/>
              <w:rPr>
                <w:sz w:val="9"/>
                <w:szCs w:val="9"/>
                <w:color w:val="auto"/>
              </w:rPr>
            </w:pPr>
          </w:p>
        </w:tc>
        <w:tc>
          <w:tcPr>
            <w:tcW w:w="1960" w:type="dxa"/>
            <w:vAlign w:val="bottom"/>
            <w:vMerge w:val="continue"/>
            <w:shd w:val="clear" w:color="auto" w:fill="F2F3F2"/>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restart"/>
          </w:tcPr>
          <w:p>
            <w:pPr>
              <w:ind w:left="60"/>
              <w:spacing w:after="0"/>
              <w:rPr>
                <w:sz w:val="20"/>
                <w:szCs w:val="20"/>
                <w:color w:val="auto"/>
              </w:rPr>
            </w:pPr>
            <w:r>
              <w:rPr>
                <w:rFonts w:ascii="Arial" w:cs="Arial" w:eastAsia="Arial" w:hAnsi="Arial"/>
                <w:sz w:val="14"/>
                <w:szCs w:val="14"/>
                <w:color w:val="auto"/>
              </w:rPr>
              <w:t>on actual achievement</w:t>
            </w: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2F3F2"/>
          </w:tcPr>
          <w:p>
            <w:pPr>
              <w:spacing w:after="0"/>
              <w:rPr>
                <w:sz w:val="4"/>
                <w:szCs w:val="4"/>
                <w:color w:val="auto"/>
              </w:rPr>
            </w:pPr>
          </w:p>
        </w:tc>
        <w:tc>
          <w:tcPr>
            <w:tcW w:w="1900" w:type="dxa"/>
            <w:vAlign w:val="bottom"/>
            <w:vMerge w:val="continue"/>
            <w:shd w:val="clear" w:color="auto" w:fill="F2F3F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shd w:val="clear" w:color="auto" w:fill="F2F3F2"/>
          </w:tcPr>
          <w:p>
            <w:pPr>
              <w:spacing w:after="0"/>
              <w:rPr>
                <w:sz w:val="4"/>
                <w:szCs w:val="4"/>
                <w:color w:val="auto"/>
              </w:rPr>
            </w:pPr>
          </w:p>
        </w:tc>
        <w:tc>
          <w:tcPr>
            <w:tcW w:w="1900" w:type="dxa"/>
            <w:vAlign w:val="bottom"/>
            <w:vMerge w:val="continue"/>
            <w:shd w:val="clear" w:color="auto" w:fill="F2F3F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shd w:val="clear" w:color="auto" w:fill="F2F3F2"/>
          </w:tcPr>
          <w:p>
            <w:pPr>
              <w:spacing w:after="0"/>
              <w:rPr>
                <w:sz w:val="4"/>
                <w:szCs w:val="4"/>
                <w:color w:val="auto"/>
              </w:rPr>
            </w:pPr>
          </w:p>
        </w:tc>
        <w:tc>
          <w:tcPr>
            <w:tcW w:w="196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objectives are being met</w:t>
            </w: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80" w:type="dxa"/>
            <w:vAlign w:val="bottom"/>
            <w:shd w:val="clear" w:color="auto" w:fill="F2F3F2"/>
          </w:tcPr>
          <w:p>
            <w:pPr>
              <w:spacing w:after="0"/>
              <w:rPr>
                <w:sz w:val="11"/>
                <w:szCs w:val="11"/>
                <w:color w:val="auto"/>
              </w:rPr>
            </w:pP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assessment of</w:t>
            </w:r>
          </w:p>
        </w:tc>
        <w:tc>
          <w:tcPr>
            <w:tcW w:w="260" w:type="dxa"/>
            <w:vAlign w:val="bottom"/>
          </w:tcPr>
          <w:p>
            <w:pPr>
              <w:spacing w:after="0"/>
              <w:rPr>
                <w:sz w:val="11"/>
                <w:szCs w:val="11"/>
                <w:color w:val="auto"/>
              </w:rPr>
            </w:pPr>
          </w:p>
        </w:tc>
        <w:tc>
          <w:tcPr>
            <w:tcW w:w="160" w:type="dxa"/>
            <w:vAlign w:val="bottom"/>
            <w:shd w:val="clear" w:color="auto" w:fill="F2F3F2"/>
          </w:tcPr>
          <w:p>
            <w:pPr>
              <w:spacing w:after="0"/>
              <w:rPr>
                <w:sz w:val="11"/>
                <w:szCs w:val="11"/>
                <w:color w:val="auto"/>
              </w:rPr>
            </w:pP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2027 LTIP</w:t>
            </w:r>
          </w:p>
        </w:tc>
        <w:tc>
          <w:tcPr>
            <w:tcW w:w="280" w:type="dxa"/>
            <w:vAlign w:val="bottom"/>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1960" w:type="dxa"/>
            <w:vAlign w:val="bottom"/>
            <w:vMerge w:val="continue"/>
            <w:shd w:val="clear" w:color="auto" w:fill="F2F3F2"/>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vMerge w:val="restart"/>
          </w:tcPr>
          <w:p>
            <w:pPr>
              <w:ind w:left="60"/>
              <w:spacing w:after="0"/>
              <w:rPr>
                <w:sz w:val="20"/>
                <w:szCs w:val="20"/>
                <w:color w:val="auto"/>
              </w:rPr>
            </w:pPr>
            <w:r>
              <w:rPr>
                <w:rFonts w:ascii="Arial" w:cs="Arial" w:eastAsia="Arial" w:hAnsi="Arial"/>
                <w:sz w:val="14"/>
                <w:szCs w:val="14"/>
                <w:color w:val="auto"/>
              </w:rPr>
              <w:t>against pre-established</w:t>
            </w:r>
          </w:p>
        </w:tc>
        <w:tc>
          <w:tcPr>
            <w:tcW w:w="0" w:type="dxa"/>
            <w:vAlign w:val="bottom"/>
          </w:tcPr>
          <w:p>
            <w:pPr>
              <w:spacing w:after="0"/>
              <w:rPr>
                <w:sz w:val="1"/>
                <w:szCs w:val="1"/>
                <w:color w:val="auto"/>
              </w:rPr>
            </w:pPr>
          </w:p>
        </w:tc>
      </w:tr>
      <w:tr>
        <w:trPr>
          <w:trHeight w:val="39"/>
        </w:trPr>
        <w:tc>
          <w:tcPr>
            <w:tcW w:w="180" w:type="dxa"/>
            <w:vAlign w:val="bottom"/>
            <w:shd w:val="clear" w:color="auto" w:fill="F2F3F2"/>
          </w:tcPr>
          <w:p>
            <w:pPr>
              <w:spacing w:after="0"/>
              <w:rPr>
                <w:sz w:val="3"/>
                <w:szCs w:val="3"/>
                <w:color w:val="auto"/>
              </w:rPr>
            </w:pPr>
          </w:p>
        </w:tc>
        <w:tc>
          <w:tcPr>
            <w:tcW w:w="1900" w:type="dxa"/>
            <w:vAlign w:val="bottom"/>
            <w:vMerge w:val="continue"/>
            <w:shd w:val="clear" w:color="auto" w:fill="F2F3F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shd w:val="clear" w:color="auto" w:fill="F2F3F2"/>
          </w:tcPr>
          <w:p>
            <w:pPr>
              <w:spacing w:after="0"/>
              <w:rPr>
                <w:sz w:val="3"/>
                <w:szCs w:val="3"/>
                <w:color w:val="auto"/>
              </w:rPr>
            </w:pPr>
          </w:p>
        </w:tc>
        <w:tc>
          <w:tcPr>
            <w:tcW w:w="1900" w:type="dxa"/>
            <w:vAlign w:val="bottom"/>
            <w:vMerge w:val="continue"/>
            <w:shd w:val="clear" w:color="auto" w:fill="F2F3F2"/>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shd w:val="clear" w:color="auto" w:fill="F2F3F2"/>
          </w:tcPr>
          <w:p>
            <w:pPr>
              <w:spacing w:after="0"/>
              <w:rPr>
                <w:sz w:val="3"/>
                <w:szCs w:val="3"/>
                <w:color w:val="auto"/>
              </w:rPr>
            </w:pPr>
          </w:p>
        </w:tc>
        <w:tc>
          <w:tcPr>
            <w:tcW w:w="1960" w:type="dxa"/>
            <w:vAlign w:val="bottom"/>
            <w:shd w:val="clear" w:color="auto" w:fill="F2F3F2"/>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shd w:val="clear" w:color="auto" w:fill="F2F3F2"/>
          </w:tcPr>
          <w:p>
            <w:pPr>
              <w:spacing w:after="0"/>
              <w:rPr>
                <w:sz w:val="15"/>
                <w:szCs w:val="15"/>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compensation programs</w:t>
            </w:r>
          </w:p>
        </w:tc>
        <w:tc>
          <w:tcPr>
            <w:tcW w:w="260" w:type="dxa"/>
            <w:vAlign w:val="bottom"/>
          </w:tcPr>
          <w:p>
            <w:pPr>
              <w:spacing w:after="0"/>
              <w:rPr>
                <w:sz w:val="15"/>
                <w:szCs w:val="15"/>
                <w:color w:val="auto"/>
              </w:rPr>
            </w:pPr>
          </w:p>
        </w:tc>
        <w:tc>
          <w:tcPr>
            <w:tcW w:w="160" w:type="dxa"/>
            <w:vAlign w:val="bottom"/>
            <w:shd w:val="clear" w:color="auto" w:fill="F2F3F2"/>
          </w:tcPr>
          <w:p>
            <w:pPr>
              <w:spacing w:after="0"/>
              <w:rPr>
                <w:sz w:val="15"/>
                <w:szCs w:val="15"/>
                <w:color w:val="auto"/>
              </w:rPr>
            </w:pPr>
          </w:p>
        </w:tc>
        <w:tc>
          <w:tcPr>
            <w:tcW w:w="1900" w:type="dxa"/>
            <w:vAlign w:val="bottom"/>
            <w:shd w:val="clear" w:color="auto" w:fill="F2F3F2"/>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shd w:val="clear" w:color="auto" w:fill="F2F3F2"/>
          </w:tcPr>
          <w:p>
            <w:pPr>
              <w:ind w:left="40"/>
              <w:spacing w:after="0"/>
              <w:rPr>
                <w:sz w:val="20"/>
                <w:szCs w:val="20"/>
                <w:color w:val="auto"/>
              </w:rPr>
            </w:pPr>
            <w:r>
              <w:rPr>
                <w:rFonts w:ascii="Arial" w:cs="Arial" w:eastAsia="Arial" w:hAnsi="Arial"/>
                <w:sz w:val="14"/>
                <w:szCs w:val="14"/>
                <w:b w:val="1"/>
                <w:bCs w:val="1"/>
                <w:color w:val="6AAA37"/>
                <w:w w:val="80"/>
              </w:rPr>
              <w:t>•</w:t>
            </w:r>
          </w:p>
        </w:tc>
        <w:tc>
          <w:tcPr>
            <w:tcW w:w="19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Monitor compliance with</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targets</w:t>
            </w:r>
          </w:p>
        </w:tc>
        <w:tc>
          <w:tcPr>
            <w:tcW w:w="0" w:type="dxa"/>
            <w:vAlign w:val="bottom"/>
          </w:tcPr>
          <w:p>
            <w:pPr>
              <w:spacing w:after="0"/>
              <w:rPr>
                <w:sz w:val="1"/>
                <w:szCs w:val="1"/>
                <w:color w:val="auto"/>
              </w:rPr>
            </w:pPr>
          </w:p>
        </w:tc>
      </w:tr>
      <w:tr>
        <w:trPr>
          <w:trHeight w:val="175"/>
        </w:trPr>
        <w:tc>
          <w:tcPr>
            <w:tcW w:w="180" w:type="dxa"/>
            <w:vAlign w:val="bottom"/>
            <w:vMerge w:val="restart"/>
            <w:shd w:val="clear" w:color="auto" w:fill="F2F3F2"/>
          </w:tcPr>
          <w:p>
            <w:pPr>
              <w:ind w:left="60"/>
              <w:spacing w:after="0"/>
              <w:rPr>
                <w:sz w:val="20"/>
                <w:szCs w:val="20"/>
                <w:color w:val="auto"/>
              </w:rPr>
            </w:pPr>
            <w:r>
              <w:rPr>
                <w:rFonts w:ascii="Arial" w:cs="Arial" w:eastAsia="Arial" w:hAnsi="Arial"/>
                <w:sz w:val="14"/>
                <w:szCs w:val="14"/>
                <w:b w:val="1"/>
                <w:bCs w:val="1"/>
                <w:color w:val="6AAA37"/>
              </w:rPr>
              <w:t>•</w:t>
            </w: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Review peer group,</w:t>
            </w:r>
          </w:p>
        </w:tc>
        <w:tc>
          <w:tcPr>
            <w:tcW w:w="260" w:type="dxa"/>
            <w:vAlign w:val="bottom"/>
          </w:tcPr>
          <w:p>
            <w:pPr>
              <w:spacing w:after="0"/>
              <w:rPr>
                <w:sz w:val="15"/>
                <w:szCs w:val="15"/>
                <w:color w:val="auto"/>
              </w:rPr>
            </w:pPr>
          </w:p>
        </w:tc>
        <w:tc>
          <w:tcPr>
            <w:tcW w:w="160" w:type="dxa"/>
            <w:vAlign w:val="bottom"/>
            <w:shd w:val="clear" w:color="auto" w:fill="F2F3F2"/>
          </w:tcPr>
          <w:p>
            <w:pPr>
              <w:spacing w:after="0"/>
              <w:rPr>
                <w:sz w:val="15"/>
                <w:szCs w:val="15"/>
                <w:color w:val="auto"/>
              </w:rPr>
            </w:pPr>
          </w:p>
        </w:tc>
        <w:tc>
          <w:tcPr>
            <w:tcW w:w="1900" w:type="dxa"/>
            <w:vAlign w:val="bottom"/>
            <w:shd w:val="clear" w:color="auto" w:fill="F2F3F2"/>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9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executive stock</w:t>
            </w:r>
          </w:p>
        </w:tc>
        <w:tc>
          <w:tcPr>
            <w:tcW w:w="28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b w:val="1"/>
                <w:bCs w:val="1"/>
                <w:color w:val="6AAA37"/>
              </w:rPr>
              <w:t>•</w:t>
            </w:r>
          </w:p>
        </w:tc>
        <w:tc>
          <w:tcPr>
            <w:tcW w:w="1920" w:type="dxa"/>
            <w:vAlign w:val="bottom"/>
            <w:vMerge w:val="restart"/>
          </w:tcPr>
          <w:p>
            <w:pPr>
              <w:ind w:left="60"/>
              <w:spacing w:after="0"/>
              <w:rPr>
                <w:sz w:val="20"/>
                <w:szCs w:val="20"/>
                <w:color w:val="auto"/>
              </w:rPr>
            </w:pPr>
            <w:r>
              <w:rPr>
                <w:rFonts w:ascii="Arial" w:cs="Arial" w:eastAsia="Arial" w:hAnsi="Arial"/>
                <w:sz w:val="14"/>
                <w:szCs w:val="14"/>
                <w:color w:val="auto"/>
              </w:rPr>
              <w:t>Certify payout of</w:t>
            </w: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2F3F2"/>
          </w:tcPr>
          <w:p>
            <w:pPr>
              <w:spacing w:after="0"/>
              <w:rPr>
                <w:sz w:val="4"/>
                <w:szCs w:val="4"/>
                <w:color w:val="auto"/>
              </w:rPr>
            </w:pPr>
          </w:p>
        </w:tc>
        <w:tc>
          <w:tcPr>
            <w:tcW w:w="1900" w:type="dxa"/>
            <w:vAlign w:val="bottom"/>
            <w:vMerge w:val="continue"/>
            <w:shd w:val="clear" w:color="auto" w:fill="F2F3F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shd w:val="clear" w:color="auto" w:fill="F2F3F2"/>
          </w:tcPr>
          <w:p>
            <w:pPr>
              <w:spacing w:after="0"/>
              <w:rPr>
                <w:sz w:val="4"/>
                <w:szCs w:val="4"/>
                <w:color w:val="auto"/>
              </w:rPr>
            </w:pPr>
          </w:p>
        </w:tc>
        <w:tc>
          <w:tcPr>
            <w:tcW w:w="1900" w:type="dxa"/>
            <w:vAlign w:val="bottom"/>
            <w:shd w:val="clear" w:color="auto" w:fill="F2F3F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shd w:val="clear" w:color="auto" w:fill="F2F3F2"/>
          </w:tcPr>
          <w:p>
            <w:pPr>
              <w:spacing w:after="0"/>
              <w:rPr>
                <w:sz w:val="4"/>
                <w:szCs w:val="4"/>
                <w:color w:val="auto"/>
              </w:rPr>
            </w:pPr>
          </w:p>
        </w:tc>
        <w:tc>
          <w:tcPr>
            <w:tcW w:w="196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ownership requirements</w:t>
            </w:r>
          </w:p>
        </w:tc>
        <w:tc>
          <w:tcPr>
            <w:tcW w:w="2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80" w:type="dxa"/>
            <w:vAlign w:val="bottom"/>
            <w:shd w:val="clear" w:color="auto" w:fill="F2F3F2"/>
          </w:tcPr>
          <w:p>
            <w:pPr>
              <w:spacing w:after="0"/>
              <w:rPr>
                <w:sz w:val="11"/>
                <w:szCs w:val="11"/>
                <w:color w:val="auto"/>
              </w:rPr>
            </w:pPr>
          </w:p>
        </w:tc>
        <w:tc>
          <w:tcPr>
            <w:tcW w:w="1900" w:type="dxa"/>
            <w:vAlign w:val="bottom"/>
            <w:vMerge w:val="restart"/>
            <w:shd w:val="clear" w:color="auto" w:fill="F2F3F2"/>
          </w:tcPr>
          <w:p>
            <w:pPr>
              <w:ind w:left="60"/>
              <w:spacing w:after="0"/>
              <w:rPr>
                <w:sz w:val="20"/>
                <w:szCs w:val="20"/>
                <w:color w:val="auto"/>
              </w:rPr>
            </w:pPr>
            <w:r>
              <w:rPr>
                <w:rFonts w:ascii="Arial" w:cs="Arial" w:eastAsia="Arial" w:hAnsi="Arial"/>
                <w:sz w:val="14"/>
                <w:szCs w:val="14"/>
                <w:color w:val="auto"/>
              </w:rPr>
              <w:t>external market data and</w:t>
            </w:r>
          </w:p>
        </w:tc>
        <w:tc>
          <w:tcPr>
            <w:tcW w:w="260" w:type="dxa"/>
            <w:vAlign w:val="bottom"/>
          </w:tcPr>
          <w:p>
            <w:pPr>
              <w:spacing w:after="0"/>
              <w:rPr>
                <w:sz w:val="11"/>
                <w:szCs w:val="11"/>
                <w:color w:val="auto"/>
              </w:rPr>
            </w:pPr>
          </w:p>
        </w:tc>
        <w:tc>
          <w:tcPr>
            <w:tcW w:w="160" w:type="dxa"/>
            <w:vAlign w:val="bottom"/>
            <w:shd w:val="clear" w:color="auto" w:fill="F2F3F2"/>
          </w:tcPr>
          <w:p>
            <w:pPr>
              <w:spacing w:after="0"/>
              <w:rPr>
                <w:sz w:val="11"/>
                <w:szCs w:val="11"/>
                <w:color w:val="auto"/>
              </w:rPr>
            </w:pPr>
          </w:p>
        </w:tc>
        <w:tc>
          <w:tcPr>
            <w:tcW w:w="1900" w:type="dxa"/>
            <w:vAlign w:val="bottom"/>
            <w:shd w:val="clear" w:color="auto" w:fill="F2F3F2"/>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1960" w:type="dxa"/>
            <w:vAlign w:val="bottom"/>
            <w:vMerge w:val="continue"/>
            <w:shd w:val="clear" w:color="auto" w:fill="F2F3F2"/>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vMerge w:val="restart"/>
          </w:tcPr>
          <w:p>
            <w:pPr>
              <w:ind w:left="60"/>
              <w:spacing w:after="0"/>
              <w:rPr>
                <w:sz w:val="20"/>
                <w:szCs w:val="20"/>
                <w:color w:val="auto"/>
              </w:rPr>
            </w:pPr>
            <w:r>
              <w:rPr>
                <w:rFonts w:ascii="Arial" w:cs="Arial" w:eastAsia="Arial" w:hAnsi="Arial"/>
                <w:sz w:val="14"/>
                <w:szCs w:val="14"/>
                <w:color w:val="auto"/>
              </w:rPr>
              <w:t>2023-2025 LTIP based</w:t>
            </w:r>
          </w:p>
        </w:tc>
        <w:tc>
          <w:tcPr>
            <w:tcW w:w="0" w:type="dxa"/>
            <w:vAlign w:val="bottom"/>
          </w:tcPr>
          <w:p>
            <w:pPr>
              <w:spacing w:after="0"/>
              <w:rPr>
                <w:sz w:val="1"/>
                <w:szCs w:val="1"/>
                <w:color w:val="auto"/>
              </w:rPr>
            </w:pPr>
          </w:p>
        </w:tc>
      </w:tr>
      <w:tr>
        <w:trPr>
          <w:trHeight w:val="39"/>
        </w:trPr>
        <w:tc>
          <w:tcPr>
            <w:tcW w:w="180" w:type="dxa"/>
            <w:vAlign w:val="bottom"/>
            <w:shd w:val="clear" w:color="auto" w:fill="F2F3F2"/>
          </w:tcPr>
          <w:p>
            <w:pPr>
              <w:spacing w:after="0"/>
              <w:rPr>
                <w:sz w:val="3"/>
                <w:szCs w:val="3"/>
                <w:color w:val="auto"/>
              </w:rPr>
            </w:pPr>
          </w:p>
        </w:tc>
        <w:tc>
          <w:tcPr>
            <w:tcW w:w="1900" w:type="dxa"/>
            <w:vAlign w:val="bottom"/>
            <w:vMerge w:val="continue"/>
            <w:shd w:val="clear" w:color="auto" w:fill="F2F3F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shd w:val="clear" w:color="auto" w:fill="F2F3F2"/>
          </w:tcPr>
          <w:p>
            <w:pPr>
              <w:spacing w:after="0"/>
              <w:rPr>
                <w:sz w:val="3"/>
                <w:szCs w:val="3"/>
                <w:color w:val="auto"/>
              </w:rPr>
            </w:pPr>
          </w:p>
        </w:tc>
        <w:tc>
          <w:tcPr>
            <w:tcW w:w="1900" w:type="dxa"/>
            <w:vAlign w:val="bottom"/>
            <w:shd w:val="clear" w:color="auto" w:fill="F2F3F2"/>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shd w:val="clear" w:color="auto" w:fill="F2F3F2"/>
          </w:tcPr>
          <w:p>
            <w:pPr>
              <w:spacing w:after="0"/>
              <w:rPr>
                <w:sz w:val="3"/>
                <w:szCs w:val="3"/>
                <w:color w:val="auto"/>
              </w:rPr>
            </w:pPr>
          </w:p>
        </w:tc>
        <w:tc>
          <w:tcPr>
            <w:tcW w:w="1960" w:type="dxa"/>
            <w:vAlign w:val="bottom"/>
            <w:shd w:val="clear" w:color="auto" w:fill="F2F3F2"/>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80" w:type="dxa"/>
            <w:vAlign w:val="bottom"/>
            <w:shd w:val="clear" w:color="auto" w:fill="F2F3F2"/>
          </w:tcPr>
          <w:p>
            <w:pPr>
              <w:spacing w:after="0"/>
              <w:rPr>
                <w:sz w:val="14"/>
                <w:szCs w:val="14"/>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stockholder feedback</w:t>
            </w:r>
          </w:p>
        </w:tc>
        <w:tc>
          <w:tcPr>
            <w:tcW w:w="260" w:type="dxa"/>
            <w:vAlign w:val="bottom"/>
          </w:tcPr>
          <w:p>
            <w:pPr>
              <w:spacing w:after="0"/>
              <w:rPr>
                <w:sz w:val="14"/>
                <w:szCs w:val="14"/>
                <w:color w:val="auto"/>
              </w:rPr>
            </w:pPr>
          </w:p>
        </w:tc>
        <w:tc>
          <w:tcPr>
            <w:tcW w:w="160" w:type="dxa"/>
            <w:vAlign w:val="bottom"/>
            <w:shd w:val="clear" w:color="auto" w:fill="F2F3F2"/>
          </w:tcPr>
          <w:p>
            <w:pPr>
              <w:spacing w:after="0"/>
              <w:rPr>
                <w:sz w:val="14"/>
                <w:szCs w:val="14"/>
                <w:color w:val="auto"/>
              </w:rPr>
            </w:pPr>
          </w:p>
        </w:tc>
        <w:tc>
          <w:tcPr>
            <w:tcW w:w="1900" w:type="dxa"/>
            <w:vAlign w:val="bottom"/>
            <w:shd w:val="clear" w:color="auto" w:fill="F2F3F2"/>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shd w:val="clear" w:color="auto" w:fill="F2F3F2"/>
          </w:tcPr>
          <w:p>
            <w:pPr>
              <w:spacing w:after="0"/>
              <w:rPr>
                <w:sz w:val="14"/>
                <w:szCs w:val="14"/>
                <w:color w:val="auto"/>
              </w:rPr>
            </w:pPr>
          </w:p>
        </w:tc>
        <w:tc>
          <w:tcPr>
            <w:tcW w:w="1960" w:type="dxa"/>
            <w:vAlign w:val="bottom"/>
            <w:shd w:val="clear" w:color="auto" w:fill="F2F3F2"/>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on actual achievement</w:t>
            </w:r>
          </w:p>
        </w:tc>
        <w:tc>
          <w:tcPr>
            <w:tcW w:w="0" w:type="dxa"/>
            <w:vAlign w:val="bottom"/>
          </w:tcPr>
          <w:p>
            <w:pPr>
              <w:spacing w:after="0"/>
              <w:rPr>
                <w:sz w:val="1"/>
                <w:szCs w:val="1"/>
                <w:color w:val="auto"/>
              </w:rPr>
            </w:pPr>
          </w:p>
        </w:tc>
      </w:tr>
      <w:tr>
        <w:trPr>
          <w:trHeight w:val="176"/>
        </w:trPr>
        <w:tc>
          <w:tcPr>
            <w:tcW w:w="180" w:type="dxa"/>
            <w:vAlign w:val="bottom"/>
            <w:shd w:val="clear" w:color="auto" w:fill="F2F3F2"/>
          </w:tcPr>
          <w:p>
            <w:pPr>
              <w:spacing w:after="0"/>
              <w:rPr>
                <w:sz w:val="15"/>
                <w:szCs w:val="15"/>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related to our executive</w:t>
            </w:r>
          </w:p>
        </w:tc>
        <w:tc>
          <w:tcPr>
            <w:tcW w:w="260" w:type="dxa"/>
            <w:vAlign w:val="bottom"/>
          </w:tcPr>
          <w:p>
            <w:pPr>
              <w:spacing w:after="0"/>
              <w:rPr>
                <w:sz w:val="15"/>
                <w:szCs w:val="15"/>
                <w:color w:val="auto"/>
              </w:rPr>
            </w:pPr>
          </w:p>
        </w:tc>
        <w:tc>
          <w:tcPr>
            <w:tcW w:w="160" w:type="dxa"/>
            <w:vAlign w:val="bottom"/>
            <w:shd w:val="clear" w:color="auto" w:fill="F2F3F2"/>
          </w:tcPr>
          <w:p>
            <w:pPr>
              <w:spacing w:after="0"/>
              <w:rPr>
                <w:sz w:val="15"/>
                <w:szCs w:val="15"/>
                <w:color w:val="auto"/>
              </w:rPr>
            </w:pPr>
          </w:p>
        </w:tc>
        <w:tc>
          <w:tcPr>
            <w:tcW w:w="1900" w:type="dxa"/>
            <w:vAlign w:val="bottom"/>
            <w:shd w:val="clear" w:color="auto" w:fill="F2F3F2"/>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960" w:type="dxa"/>
            <w:vAlign w:val="bottom"/>
            <w:shd w:val="clear" w:color="auto" w:fill="F2F3F2"/>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against pre-established</w:t>
            </w:r>
          </w:p>
        </w:tc>
        <w:tc>
          <w:tcPr>
            <w:tcW w:w="0" w:type="dxa"/>
            <w:vAlign w:val="bottom"/>
          </w:tcPr>
          <w:p>
            <w:pPr>
              <w:spacing w:after="0"/>
              <w:rPr>
                <w:sz w:val="1"/>
                <w:szCs w:val="1"/>
                <w:color w:val="auto"/>
              </w:rPr>
            </w:pPr>
          </w:p>
        </w:tc>
      </w:tr>
      <w:tr>
        <w:trPr>
          <w:trHeight w:val="190"/>
        </w:trPr>
        <w:tc>
          <w:tcPr>
            <w:tcW w:w="180" w:type="dxa"/>
            <w:vAlign w:val="bottom"/>
            <w:shd w:val="clear" w:color="auto" w:fill="F2F3F2"/>
          </w:tcPr>
          <w:p>
            <w:pPr>
              <w:spacing w:after="0"/>
              <w:rPr>
                <w:sz w:val="16"/>
                <w:szCs w:val="16"/>
                <w:color w:val="auto"/>
              </w:rPr>
            </w:pPr>
          </w:p>
        </w:tc>
        <w:tc>
          <w:tcPr>
            <w:tcW w:w="1900" w:type="dxa"/>
            <w:vAlign w:val="bottom"/>
            <w:shd w:val="clear" w:color="auto" w:fill="F2F3F2"/>
          </w:tcPr>
          <w:p>
            <w:pPr>
              <w:ind w:left="60"/>
              <w:spacing w:after="0"/>
              <w:rPr>
                <w:sz w:val="20"/>
                <w:szCs w:val="20"/>
                <w:color w:val="auto"/>
              </w:rPr>
            </w:pPr>
            <w:r>
              <w:rPr>
                <w:rFonts w:ascii="Arial" w:cs="Arial" w:eastAsia="Arial" w:hAnsi="Arial"/>
                <w:sz w:val="14"/>
                <w:szCs w:val="14"/>
                <w:color w:val="auto"/>
              </w:rPr>
              <w:t>compensation program</w:t>
            </w:r>
          </w:p>
        </w:tc>
        <w:tc>
          <w:tcPr>
            <w:tcW w:w="260" w:type="dxa"/>
            <w:vAlign w:val="bottom"/>
          </w:tcPr>
          <w:p>
            <w:pPr>
              <w:spacing w:after="0"/>
              <w:rPr>
                <w:sz w:val="16"/>
                <w:szCs w:val="16"/>
                <w:color w:val="auto"/>
              </w:rPr>
            </w:pPr>
          </w:p>
        </w:tc>
        <w:tc>
          <w:tcPr>
            <w:tcW w:w="160" w:type="dxa"/>
            <w:vAlign w:val="bottom"/>
            <w:shd w:val="clear" w:color="auto" w:fill="F2F3F2"/>
          </w:tcPr>
          <w:p>
            <w:pPr>
              <w:spacing w:after="0"/>
              <w:rPr>
                <w:sz w:val="16"/>
                <w:szCs w:val="16"/>
                <w:color w:val="auto"/>
              </w:rPr>
            </w:pPr>
          </w:p>
        </w:tc>
        <w:tc>
          <w:tcPr>
            <w:tcW w:w="1900" w:type="dxa"/>
            <w:vAlign w:val="bottom"/>
            <w:shd w:val="clear" w:color="auto" w:fill="F2F3F2"/>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shd w:val="clear" w:color="auto" w:fill="F2F3F2"/>
          </w:tcPr>
          <w:p>
            <w:pPr>
              <w:spacing w:after="0"/>
              <w:rPr>
                <w:sz w:val="16"/>
                <w:szCs w:val="16"/>
                <w:color w:val="auto"/>
              </w:rPr>
            </w:pPr>
          </w:p>
        </w:tc>
        <w:tc>
          <w:tcPr>
            <w:tcW w:w="1960" w:type="dxa"/>
            <w:vAlign w:val="bottom"/>
            <w:shd w:val="clear" w:color="auto" w:fill="F2F3F2"/>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targets</w:t>
            </w:r>
          </w:p>
        </w:tc>
        <w:tc>
          <w:tcPr>
            <w:tcW w:w="0" w:type="dxa"/>
            <w:vAlign w:val="bottom"/>
          </w:tcPr>
          <w:p>
            <w:pPr>
              <w:spacing w:after="0"/>
              <w:rPr>
                <w:sz w:val="1"/>
                <w:szCs w:val="1"/>
                <w:color w:val="auto"/>
              </w:rPr>
            </w:pPr>
          </w:p>
        </w:tc>
      </w:tr>
      <w:tr>
        <w:trPr>
          <w:trHeight w:val="413"/>
        </w:trPr>
        <w:tc>
          <w:tcPr>
            <w:tcW w:w="2080" w:type="dxa"/>
            <w:vAlign w:val="bottom"/>
            <w:gridSpan w:val="2"/>
            <w:shd w:val="clear" w:color="auto" w:fill="F2F3F2"/>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2"/>
            <w:shd w:val="clear" w:color="auto" w:fill="F2F3F2"/>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1960" w:type="dxa"/>
            <w:vAlign w:val="bottom"/>
            <w:shd w:val="clear" w:color="auto" w:fill="F2F3F2"/>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400" w:type="dxa"/>
            <w:vAlign w:val="bottom"/>
            <w:gridSpan w:val="5"/>
          </w:tcPr>
          <w:p>
            <w:pPr>
              <w:ind w:left="20"/>
              <w:spacing w:after="0"/>
              <w:rPr>
                <w:sz w:val="20"/>
                <w:szCs w:val="20"/>
                <w:color w:val="auto"/>
              </w:rPr>
            </w:pPr>
            <w:r>
              <w:rPr>
                <w:rFonts w:ascii="Arial" w:cs="Arial" w:eastAsia="Arial" w:hAnsi="Arial"/>
                <w:sz w:val="14"/>
                <w:szCs w:val="14"/>
                <w:b w:val="1"/>
                <w:bCs w:val="1"/>
                <w:color w:val="FFFFFF"/>
              </w:rPr>
              <w:t>July - November 2024   December 2024 - February 2025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jc w:val="center"/>
              <w:ind w:right="46"/>
              <w:spacing w:after="0"/>
              <w:rPr>
                <w:sz w:val="20"/>
                <w:szCs w:val="20"/>
                <w:color w:val="auto"/>
              </w:rPr>
            </w:pPr>
            <w:r>
              <w:rPr>
                <w:rFonts w:ascii="Arial" w:cs="Arial" w:eastAsia="Arial" w:hAnsi="Arial"/>
                <w:sz w:val="14"/>
                <w:szCs w:val="14"/>
                <w:b w:val="1"/>
                <w:bCs w:val="1"/>
                <w:color w:val="FFFFFF"/>
              </w:rPr>
              <w:t>February - December 2025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4"/>
                <w:szCs w:val="14"/>
                <w:b w:val="1"/>
                <w:bCs w:val="1"/>
                <w:color w:val="FFFFFF"/>
              </w:rPr>
              <w:t>February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24" w:orient="portrait"/>
          <w:cols w:equalWidth="0" w:num="1">
            <w:col w:w="9080"/>
          </w:cols>
          <w:pgMar w:left="1400" w:top="118" w:right="1419" w:bottom="0" w:gutter="0" w:footer="0" w:header="0"/>
        </w:sectPr>
      </w:pPr>
    </w:p>
    <w:p>
      <w:pPr>
        <w:spacing w:after="0" w:line="200" w:lineRule="exact"/>
        <w:rPr>
          <w:sz w:val="20"/>
          <w:szCs w:val="20"/>
          <w:color w:val="auto"/>
        </w:rPr>
      </w:pPr>
    </w:p>
    <w:p>
      <w:pPr>
        <w:spacing w:after="0" w:line="300"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Below is additional detail on the roles and responsibilities of the parties involved in the design, implementation, and oversight of our executive compensation program.</w:t>
      </w:r>
    </w:p>
    <w:p>
      <w:pPr>
        <w:sectPr>
          <w:pgSz w:w="11900" w:h="16924" w:orient="portrait"/>
          <w:cols w:equalWidth="0" w:num="1">
            <w:col w:w="9080"/>
          </w:cols>
          <w:pgMar w:left="1400" w:top="118" w:right="1419" w:bottom="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738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3773805"/>
                    </a:xfrm>
                    <a:prstGeom prst="rect">
                      <a:avLst/>
                    </a:prstGeom>
                    <a:noFill/>
                  </pic:spPr>
                </pic:pic>
              </a:graphicData>
            </a:graphic>
          </wp:anchor>
        </w:drawing>
        <w:t>Role of Compensation Committee</w:t>
      </w:r>
    </w:p>
    <w:p>
      <w:pPr>
        <w:spacing w:after="0" w:line="95"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auto"/>
        </w:rPr>
        <w:t>The Compensation Committee, which is comprised entirely of independent directors, is primarily responsible for administering our executive compensation program in a manner consistent with our compensation philosophy and objectives. The principal functions of the Compensation Committee are to:</w:t>
      </w:r>
    </w:p>
    <w:p>
      <w:pPr>
        <w:spacing w:after="0" w:line="43" w:lineRule="exact"/>
        <w:rPr>
          <w:sz w:val="20"/>
          <w:szCs w:val="20"/>
          <w:color w:val="auto"/>
        </w:rPr>
      </w:pPr>
    </w:p>
    <w:p>
      <w:pPr>
        <w:ind w:left="180" w:right="80" w:hanging="172"/>
        <w:spacing w:after="0" w:line="321" w:lineRule="auto"/>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set salaries and annual and long-term incentive levels for the CEO and other named executive officers, so that the program is promoting stockholder value;</w:t>
      </w:r>
    </w:p>
    <w:p>
      <w:pPr>
        <w:spacing w:after="0" w:line="34" w:lineRule="exact"/>
        <w:rPr>
          <w:rFonts w:ascii="Arial" w:cs="Arial" w:eastAsia="Arial" w:hAnsi="Arial"/>
          <w:sz w:val="16"/>
          <w:szCs w:val="16"/>
          <w:b w:val="1"/>
          <w:bCs w:val="1"/>
          <w:color w:val="6AAA37"/>
        </w:rPr>
      </w:pPr>
    </w:p>
    <w:p>
      <w:pPr>
        <w:ind w:left="180" w:hanging="172"/>
        <w:spacing w:after="0" w:line="321" w:lineRule="auto"/>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evaluate the performance of the CEO (in coordination with the full board) and review the CEO evaluation of the other named executive officers annually;</w:t>
      </w:r>
    </w:p>
    <w:p>
      <w:pPr>
        <w:spacing w:after="0" w:line="34" w:lineRule="exact"/>
        <w:rPr>
          <w:rFonts w:ascii="Arial" w:cs="Arial" w:eastAsia="Arial" w:hAnsi="Arial"/>
          <w:sz w:val="16"/>
          <w:szCs w:val="16"/>
          <w:b w:val="1"/>
          <w:bCs w:val="1"/>
          <w:color w:val="6AAA37"/>
        </w:rPr>
      </w:pPr>
    </w:p>
    <w:p>
      <w:pPr>
        <w:ind w:left="180" w:right="840" w:hanging="172"/>
        <w:spacing w:after="0" w:line="321" w:lineRule="auto"/>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review and approve the design and competitiveness of our executive compensation plans, including benefits and perquisites;</w:t>
      </w:r>
    </w:p>
    <w:p>
      <w:pPr>
        <w:spacing w:after="0" w:line="34" w:lineRule="exact"/>
        <w:rPr>
          <w:rFonts w:ascii="Arial" w:cs="Arial" w:eastAsia="Arial" w:hAnsi="Arial"/>
          <w:sz w:val="16"/>
          <w:szCs w:val="16"/>
          <w:b w:val="1"/>
          <w:bCs w:val="1"/>
          <w:color w:val="6AAA37"/>
        </w:rPr>
      </w:pPr>
    </w:p>
    <w:p>
      <w:pPr>
        <w:ind w:left="180" w:right="180" w:hanging="172"/>
        <w:spacing w:after="0" w:line="321" w:lineRule="auto"/>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spacing w:after="0" w:line="3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review and approve the total compensation package for Section 16 officers and high-earning Company employees;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review the design, competitiveness and pay equity of our Company-wide compensation plans, including benefits;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review director compensation and make recommendations to the board;</w:t>
      </w:r>
    </w:p>
    <w:p>
      <w:pPr>
        <w:spacing w:after="0" w:line="11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review and approve goals used for the annual and long-term incentive plans;</w:t>
      </w:r>
    </w:p>
    <w:p>
      <w:pPr>
        <w:spacing w:after="0" w:line="126" w:lineRule="exact"/>
        <w:rPr>
          <w:rFonts w:ascii="Arial" w:cs="Arial" w:eastAsia="Arial" w:hAnsi="Arial"/>
          <w:sz w:val="16"/>
          <w:szCs w:val="16"/>
          <w:b w:val="1"/>
          <w:bCs w:val="1"/>
          <w:color w:val="6AAA37"/>
        </w:rPr>
      </w:pPr>
    </w:p>
    <w:p>
      <w:pPr>
        <w:ind w:left="180" w:right="560" w:hanging="172"/>
        <w:spacing w:after="0" w:line="339" w:lineRule="auto"/>
        <w:tabs>
          <w:tab w:leader="none" w:pos="180" w:val="left"/>
        </w:tabs>
        <w:numPr>
          <w:ilvl w:val="0"/>
          <w:numId w:val="53"/>
        </w:numPr>
        <w:rPr>
          <w:rFonts w:ascii="Arial" w:cs="Arial" w:eastAsia="Arial" w:hAnsi="Arial"/>
          <w:sz w:val="16"/>
          <w:szCs w:val="16"/>
          <w:b w:val="1"/>
          <w:bCs w:val="1"/>
          <w:color w:val="6AAA37"/>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273"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39</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6659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6659880"/>
                    </a:xfrm>
                    <a:prstGeom prst="rect">
                      <a:avLst/>
                    </a:prstGeom>
                    <a:noFill/>
                  </pic:spPr>
                </pic:pic>
              </a:graphicData>
            </a:graphic>
          </wp:anchor>
        </w:drawing>
      </w:r>
    </w:p>
    <w:p>
      <w:pPr>
        <w:sectPr>
          <w:pgSz w:w="11900" w:h="16838" w:orient="portrait"/>
          <w:cols w:equalWidth="0" w:num="1">
            <w:col w:w="9060"/>
          </w:cols>
          <w:pgMar w:left="1400" w:top="215"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4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00" w:lineRule="exact"/>
        <w:rPr>
          <w:sz w:val="20"/>
          <w:szCs w:val="20"/>
          <w:color w:val="auto"/>
        </w:rPr>
      </w:pPr>
    </w:p>
    <w:p>
      <w:pPr>
        <w:sectPr>
          <w:pgSz w:w="11900" w:h="16838" w:orient="portrait"/>
          <w:cols w:equalWidth="0" w:num="3">
            <w:col w:w="1600" w:space="300"/>
            <w:col w:w="2700" w:space="320"/>
            <w:col w:w="4140"/>
          </w:cols>
          <w:pgMar w:left="1400" w:top="215" w:right="1439" w:bottom="0" w:gutter="0" w:footer="0" w:header="0"/>
          <w:type w:val="continuous"/>
        </w:sectPr>
      </w:pPr>
    </w:p>
    <w:p>
      <w:pPr>
        <w:spacing w:after="0" w:line="97"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6"/>
          <w:szCs w:val="16"/>
          <w:b w:val="1"/>
          <w:bCs w:val="1"/>
          <w:color w:val="6AAA37"/>
        </w:rPr>
      </w:pPr>
      <w:r>
        <w:rPr>
          <w:rFonts w:ascii="Arial" w:cs="Arial" w:eastAsia="Arial" w:hAnsi="Arial"/>
          <w:sz w:val="16"/>
          <w:szCs w:val="16"/>
          <w:color w:val="auto"/>
        </w:rPr>
        <w:t>review and evaluate compensation arrangements to assess whether they could encourage undue risk-taking; and</w:t>
      </w:r>
    </w:p>
    <w:p>
      <w:pPr>
        <w:spacing w:after="0" w:line="11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4"/>
        </w:numPr>
        <w:rPr>
          <w:rFonts w:ascii="Arial" w:cs="Arial" w:eastAsia="Arial" w:hAnsi="Arial"/>
          <w:sz w:val="16"/>
          <w:szCs w:val="16"/>
          <w:b w:val="1"/>
          <w:bCs w:val="1"/>
          <w:color w:val="6AAA37"/>
        </w:rPr>
      </w:pPr>
      <w:r>
        <w:rPr>
          <w:rFonts w:ascii="Arial" w:cs="Arial" w:eastAsia="Arial" w:hAnsi="Arial"/>
          <w:sz w:val="16"/>
          <w:szCs w:val="16"/>
          <w:color w:val="auto"/>
        </w:rPr>
        <w:t>create a Compensation Committee report on executive compensation for inclusion in the Proxy Statement.</w:t>
      </w:r>
    </w:p>
    <w:p>
      <w:pPr>
        <w:spacing w:after="0" w:line="181"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Compensation Committee exercises its judgment on an independent basis and works closely with our board and the management team in making many of its decisions. Additionally, the Compensation Committee has retained the services of an independent compensation consultant. The Compensation Committee has the sole authority to amend or terminate the services of its independent consultant.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w:t>
      </w:r>
    </w:p>
    <w:p>
      <w:pPr>
        <w:spacing w:after="0" w:line="9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CEO, along with other members of senior leadership, supports the Compensation Committee's design, review and evaluation of the executive compensation program. The executive officers provide recommendations for the financial and strategic measures within the annual incentive and long-term incentive programs, which are grounded in Huron's long-term growth strategy and market data. Additionally, our CEO provides a review of each named executive officer's annual performance but does not participate in the decisions related to his own compensation. The Compensation Committee carefully reviews and deliberates on all recommendations provided by management.</w:t>
      </w:r>
    </w:p>
    <w:p>
      <w:pPr>
        <w:spacing w:after="0" w:line="110"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Additionally, to support the Compensation Committee's review and approval of the total cash and stock bonus pools available for the organization, and to help confirm whether Company-wide compensation programs appropriately balance stockholder returns and employee retention, the executive officers regularly review Company, industry and capability performance with the Compensation Committee.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Independent Compensation Advisor</w:t>
      </w:r>
    </w:p>
    <w:p>
      <w:pPr>
        <w:spacing w:after="0" w:line="95"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The Compensation Committee retains an independent compensation advisor to assist in the ongoing assessment of the executive compensation strategy and program. The Compensation Committee's independent compensation advisor reports directly to the Compensation Committee and serves at its sole discretion and does not perform any services for the Company other than those in connection with its work for the Compensation Committee.</w:t>
      </w:r>
    </w:p>
    <w:p>
      <w:pPr>
        <w:spacing w:after="0" w:line="106"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Pay Governance served as the Compensation Committee’s independent compensation advisor through April 2025, at which time the Compensation Committee retained Mercer (US) LLC to serve as its independent compensation advisor.</w:t>
      </w:r>
    </w:p>
    <w:p>
      <w:pPr>
        <w:spacing w:after="0" w:line="88"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Compensation Committee annually assesses whether the independent advisor's work has raised any conflict of interest. The Compensation Committee has determined, based on its analysis of Nasdaq requirements, that the work of Mercer and the individual compensation advisors employed by Mercer as compensation consultants to the Company has not created any conflict of interest.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Peer Group</w:t>
      </w:r>
    </w:p>
    <w:p>
      <w:pPr>
        <w:spacing w:after="0" w:line="1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Compensation Committee reviews external market data to inform its decisions about executive compensation, specifically to determine a range of pay, inclusive of salary, target annual incentives, and target long-term incentive awards. Total direct compensation, as well as the components thereof, are compared to similar roles and responsibilities for those of the Compensation Committee-approved peer group described below. Individual target pay is benchmarked against these external market sources, but can and does vary based on several factors including each individual executive officer's experience, qualifications and performance. We note that the Compensation Committee does not target NEOs’ pay to a specified percentile relative to the below Compensation Peer Group, but rather reviews peer group compensation data for each element</w:t>
      </w:r>
    </w:p>
    <w:p>
      <w:pPr>
        <w:sectPr>
          <w:pgSz w:w="11900" w:h="16838" w:orient="portrait"/>
          <w:cols w:equalWidth="0" w:num="1">
            <w:col w:w="9060"/>
          </w:cols>
          <w:pgMar w:left="1400" w:top="215" w:right="1439" w:bottom="0" w:gutter="0" w:footer="0" w:header="0"/>
          <w:type w:val="continuous"/>
        </w:sectPr>
      </w:pPr>
    </w:p>
    <w:bookmarkStart w:id="44" w:name="page45"/>
    <w:bookmarkEnd w:id="44"/>
    <w:p>
      <w:pPr>
        <w:ind w:right="420"/>
        <w:spacing w:after="0" w:line="182" w:lineRule="auto"/>
        <w:rPr>
          <w:sz w:val="20"/>
          <w:szCs w:val="20"/>
          <w:color w:val="auto"/>
        </w:rPr>
      </w:pPr>
      <w:r>
        <w:rPr>
          <w:rFonts w:ascii="Arial" w:cs="Arial" w:eastAsia="Arial" w:hAnsi="Arial"/>
          <w:sz w:val="16"/>
          <w:szCs w:val="16"/>
          <w:color w:val="auto"/>
        </w:rPr>
        <w:t>of compensation, including base salary, cash annual incentive, long-term incentive targets, and target total compensation (target total cash plus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-160020</wp:posOffset>
            </wp:positionV>
            <wp:extent cx="6810375" cy="2196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2196465"/>
                    </a:xfrm>
                    <a:prstGeom prst="rect">
                      <a:avLst/>
                    </a:prstGeom>
                    <a:noFill/>
                  </pic:spPr>
                </pic:pic>
              </a:graphicData>
            </a:graphic>
          </wp:anchor>
        </w:drawing>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peer group is comprised of U.S.-based companies who are business-to-business service providers in the Research and Consulting Services, Health Care Technology, Health Care Services, Managed Health Care, IT Consulting and Other Services, Data Processing &amp; Outsourced Service, Education Services, Financial Exchanges &amp; Data, and Diversified Financial Services sectors, with revenues within 0.4x to 2.5x of Huron’s revenues, and with market capitalization within 0.1x to 10x of Huron’s market capitalization as of the review date. Annually, the Compensation Committee reviews the composition of the peer group to determine whether any changes should be made. For 2025 executive compensation decisions, the Compensation Committee approved the addition of one new peer, Blackbaud, Inc., as well as the removal of NextGen Healthcare, Inc. on the basis of the foregoing criteria. Below is the approved list of fifteen (15) companies that comprised our peer group for 2025</w:t>
      </w:r>
    </w:p>
    <w:p>
      <w:pPr>
        <w:spacing w:after="0" w:line="200" w:lineRule="exact"/>
        <w:rPr>
          <w:sz w:val="20"/>
          <w:szCs w:val="20"/>
          <w:color w:val="auto"/>
        </w:rPr>
      </w:pPr>
    </w:p>
    <w:p>
      <w:pPr>
        <w:spacing w:after="0" w:line="40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40</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2372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8237220"/>
                    </a:xfrm>
                    <a:prstGeom prst="rect">
                      <a:avLst/>
                    </a:prstGeom>
                    <a:noFill/>
                  </pic:spPr>
                </pic:pic>
              </a:graphicData>
            </a:graphic>
          </wp:anchor>
        </w:drawing>
      </w:r>
    </w:p>
    <w:p>
      <w:pPr>
        <w:sectPr>
          <w:pgSz w:w="11900" w:h="16838" w:orient="portrait"/>
          <w:cols w:equalWidth="0" w:num="1">
            <w:col w:w="9080"/>
          </w:cols>
          <w:pgMar w:left="1400" w:top="114" w:right="1419" w:bottom="4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Proposal Stockholder Other Governance Two </w:t>
      </w:r>
      <w:r>
        <w:rPr>
          <w:rFonts w:ascii="Arial" w:cs="Arial" w:eastAsia="Arial" w:hAnsi="Arial"/>
          <w:sz w:val="13"/>
          <w:szCs w:val="13"/>
          <w:b w:val="1"/>
          <w:bCs w:val="1"/>
          <w:color w:val="6AAA37"/>
        </w:rPr>
        <w:t>Compensation</w:t>
      </w:r>
      <w:r>
        <w:rPr>
          <w:rFonts w:ascii="Arial" w:cs="Arial" w:eastAsia="Arial" w:hAnsi="Arial"/>
          <w:sz w:val="13"/>
          <w:szCs w:val="13"/>
          <w:b w:val="1"/>
          <w:bCs w:val="1"/>
          <w:color w:val="B2B3B6"/>
        </w:rPr>
        <w:t xml:space="preserve"> Three Proposals Matters</w:t>
      </w:r>
    </w:p>
    <w:p>
      <w:pPr>
        <w:spacing w:after="0" w:line="200" w:lineRule="exact"/>
        <w:rPr>
          <w:sz w:val="20"/>
          <w:szCs w:val="20"/>
          <w:color w:val="auto"/>
        </w:rPr>
      </w:pPr>
    </w:p>
    <w:p>
      <w:pPr>
        <w:sectPr>
          <w:pgSz w:w="11900" w:h="16838" w:orient="portrait"/>
          <w:cols w:equalWidth="0" w:num="2">
            <w:col w:w="1600" w:space="300"/>
            <w:col w:w="7180"/>
          </w:cols>
          <w:pgMar w:left="1400" w:top="114" w:right="1419" w:bottom="425" w:gutter="0" w:footer="0" w:header="0"/>
          <w:type w:val="continuous"/>
        </w:sectPr>
      </w:pPr>
    </w:p>
    <w:p>
      <w:pPr>
        <w:spacing w:after="0" w:line="97"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compensation as well as Huron's relative positioning of revenue and market capitalization to the selected peer group effective as of July 2024 when the peer group was approved.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Below is the list of 15 companies that comprised our peer group for 2025 compensation.</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2025 Peer Group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040" w:type="dxa"/>
            <w:vAlign w:val="bottom"/>
          </w:tcPr>
          <w:p>
            <w:pPr>
              <w:spacing w:after="0"/>
              <w:rPr>
                <w:sz w:val="7"/>
                <w:szCs w:val="7"/>
                <w:color w:val="auto"/>
              </w:rPr>
            </w:pPr>
          </w:p>
        </w:tc>
        <w:tc>
          <w:tcPr>
            <w:tcW w:w="2860" w:type="dxa"/>
            <w:vAlign w:val="bottom"/>
            <w:shd w:val="clear" w:color="auto" w:fill="00558C"/>
          </w:tcPr>
          <w:p>
            <w:pPr>
              <w:spacing w:after="0"/>
              <w:rPr>
                <w:sz w:val="7"/>
                <w:szCs w:val="7"/>
                <w:color w:val="auto"/>
              </w:rPr>
            </w:pPr>
          </w:p>
        </w:tc>
        <w:tc>
          <w:tcPr>
            <w:tcW w:w="3180" w:type="dxa"/>
            <w:vAlign w:val="bottom"/>
            <w:shd w:val="clear" w:color="auto" w:fill="00558C"/>
          </w:tcPr>
          <w:p>
            <w:pPr>
              <w:spacing w:after="0"/>
              <w:rPr>
                <w:sz w:val="7"/>
                <w:szCs w:val="7"/>
                <w:color w:val="auto"/>
              </w:rPr>
            </w:pPr>
          </w:p>
        </w:tc>
      </w:tr>
      <w:tr>
        <w:trPr>
          <w:trHeight w:val="289"/>
        </w:trPr>
        <w:tc>
          <w:tcPr>
            <w:tcW w:w="30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Blackbaud, Inc.</w:t>
            </w:r>
          </w:p>
        </w:tc>
        <w:tc>
          <w:tcPr>
            <w:tcW w:w="28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Exponent, Inc.</w:t>
            </w:r>
          </w:p>
        </w:tc>
        <w:tc>
          <w:tcPr>
            <w:tcW w:w="3180" w:type="dxa"/>
            <w:vAlign w:val="bottom"/>
            <w:shd w:val="clear" w:color="auto" w:fill="F2F3F2"/>
          </w:tcPr>
          <w:p>
            <w:pPr>
              <w:ind w:left="280"/>
              <w:spacing w:after="0"/>
              <w:rPr>
                <w:sz w:val="20"/>
                <w:szCs w:val="20"/>
                <w:color w:val="auto"/>
              </w:rPr>
            </w:pPr>
            <w:r>
              <w:rPr>
                <w:rFonts w:ascii="Arial" w:cs="Arial" w:eastAsia="Arial" w:hAnsi="Arial"/>
                <w:sz w:val="14"/>
                <w:szCs w:val="14"/>
                <w:color w:val="auto"/>
              </w:rPr>
              <w:t>LiveRamp Holdings, Inc.</w:t>
            </w:r>
          </w:p>
        </w:tc>
      </w:tr>
      <w:tr>
        <w:trPr>
          <w:trHeight w:val="76"/>
        </w:trPr>
        <w:tc>
          <w:tcPr>
            <w:tcW w:w="3040" w:type="dxa"/>
            <w:vAlign w:val="bottom"/>
            <w:shd w:val="clear" w:color="auto" w:fill="F2F3F2"/>
          </w:tcPr>
          <w:p>
            <w:pPr>
              <w:spacing w:after="0"/>
              <w:rPr>
                <w:sz w:val="6"/>
                <w:szCs w:val="6"/>
                <w:color w:val="auto"/>
              </w:rPr>
            </w:pPr>
          </w:p>
        </w:tc>
        <w:tc>
          <w:tcPr>
            <w:tcW w:w="2860" w:type="dxa"/>
            <w:vAlign w:val="bottom"/>
            <w:shd w:val="clear" w:color="auto" w:fill="F2F3F2"/>
          </w:tcPr>
          <w:p>
            <w:pPr>
              <w:spacing w:after="0"/>
              <w:rPr>
                <w:sz w:val="6"/>
                <w:szCs w:val="6"/>
                <w:color w:val="auto"/>
              </w:rPr>
            </w:pPr>
          </w:p>
        </w:tc>
        <w:tc>
          <w:tcPr>
            <w:tcW w:w="3180" w:type="dxa"/>
            <w:vAlign w:val="bottom"/>
            <w:shd w:val="clear" w:color="auto" w:fill="F2F3F2"/>
          </w:tcPr>
          <w:p>
            <w:pPr>
              <w:spacing w:after="0"/>
              <w:rPr>
                <w:sz w:val="6"/>
                <w:szCs w:val="6"/>
                <w:color w:val="auto"/>
              </w:rPr>
            </w:pPr>
          </w:p>
        </w:tc>
      </w:tr>
      <w:tr>
        <w:trPr>
          <w:trHeight w:val="289"/>
        </w:trPr>
        <w:tc>
          <w:tcPr>
            <w:tcW w:w="3040" w:type="dxa"/>
            <w:vAlign w:val="bottom"/>
          </w:tcPr>
          <w:p>
            <w:pPr>
              <w:ind w:left="140"/>
              <w:spacing w:after="0"/>
              <w:rPr>
                <w:sz w:val="20"/>
                <w:szCs w:val="20"/>
                <w:color w:val="auto"/>
              </w:rPr>
            </w:pPr>
            <w:r>
              <w:rPr>
                <w:rFonts w:ascii="Arial" w:cs="Arial" w:eastAsia="Arial" w:hAnsi="Arial"/>
                <w:sz w:val="14"/>
                <w:szCs w:val="14"/>
                <w:color w:val="auto"/>
              </w:rPr>
              <w:t>CBIZ, Inc.</w:t>
            </w:r>
          </w:p>
        </w:tc>
        <w:tc>
          <w:tcPr>
            <w:tcW w:w="2860" w:type="dxa"/>
            <w:vAlign w:val="bottom"/>
          </w:tcPr>
          <w:p>
            <w:pPr>
              <w:ind w:left="120"/>
              <w:spacing w:after="0"/>
              <w:rPr>
                <w:sz w:val="20"/>
                <w:szCs w:val="20"/>
                <w:color w:val="auto"/>
              </w:rPr>
            </w:pPr>
            <w:r>
              <w:rPr>
                <w:rFonts w:ascii="Arial" w:cs="Arial" w:eastAsia="Arial" w:hAnsi="Arial"/>
                <w:sz w:val="14"/>
                <w:szCs w:val="14"/>
                <w:color w:val="auto"/>
              </w:rPr>
              <w:t>FTI Consulting Inc.</w:t>
            </w:r>
          </w:p>
        </w:tc>
        <w:tc>
          <w:tcPr>
            <w:tcW w:w="3180" w:type="dxa"/>
            <w:vAlign w:val="bottom"/>
          </w:tcPr>
          <w:p>
            <w:pPr>
              <w:ind w:left="280"/>
              <w:spacing w:after="0"/>
              <w:rPr>
                <w:sz w:val="20"/>
                <w:szCs w:val="20"/>
                <w:color w:val="auto"/>
              </w:rPr>
            </w:pPr>
            <w:r>
              <w:rPr>
                <w:rFonts w:ascii="Arial" w:cs="Arial" w:eastAsia="Arial" w:hAnsi="Arial"/>
                <w:sz w:val="14"/>
                <w:szCs w:val="14"/>
                <w:color w:val="auto"/>
              </w:rPr>
              <w:t>Premier, Inc.</w:t>
            </w:r>
          </w:p>
        </w:tc>
      </w:tr>
      <w:tr>
        <w:trPr>
          <w:trHeight w:val="76"/>
        </w:trPr>
        <w:tc>
          <w:tcPr>
            <w:tcW w:w="30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180" w:type="dxa"/>
            <w:vAlign w:val="bottom"/>
          </w:tcPr>
          <w:p>
            <w:pPr>
              <w:spacing w:after="0"/>
              <w:rPr>
                <w:sz w:val="6"/>
                <w:szCs w:val="6"/>
                <w:color w:val="auto"/>
              </w:rPr>
            </w:pPr>
          </w:p>
        </w:tc>
      </w:tr>
      <w:tr>
        <w:trPr>
          <w:trHeight w:val="289"/>
        </w:trPr>
        <w:tc>
          <w:tcPr>
            <w:tcW w:w="30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CRA International, Inc.</w:t>
            </w:r>
          </w:p>
        </w:tc>
        <w:tc>
          <w:tcPr>
            <w:tcW w:w="28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Heidrick &amp; Struggles International, Inc.</w:t>
            </w:r>
          </w:p>
        </w:tc>
        <w:tc>
          <w:tcPr>
            <w:tcW w:w="3180" w:type="dxa"/>
            <w:vAlign w:val="bottom"/>
            <w:shd w:val="clear" w:color="auto" w:fill="F2F3F2"/>
          </w:tcPr>
          <w:p>
            <w:pPr>
              <w:ind w:left="280"/>
              <w:spacing w:after="0"/>
              <w:rPr>
                <w:sz w:val="20"/>
                <w:szCs w:val="20"/>
                <w:color w:val="auto"/>
              </w:rPr>
            </w:pPr>
            <w:r>
              <w:rPr>
                <w:rFonts w:ascii="Arial" w:cs="Arial" w:eastAsia="Arial" w:hAnsi="Arial"/>
                <w:sz w:val="14"/>
                <w:szCs w:val="14"/>
                <w:color w:val="auto"/>
              </w:rPr>
              <w:t>Perficient, Inc.</w:t>
            </w:r>
          </w:p>
        </w:tc>
      </w:tr>
      <w:tr>
        <w:trPr>
          <w:trHeight w:val="76"/>
        </w:trPr>
        <w:tc>
          <w:tcPr>
            <w:tcW w:w="3040" w:type="dxa"/>
            <w:vAlign w:val="bottom"/>
            <w:shd w:val="clear" w:color="auto" w:fill="F2F3F2"/>
          </w:tcPr>
          <w:p>
            <w:pPr>
              <w:spacing w:after="0"/>
              <w:rPr>
                <w:sz w:val="6"/>
                <w:szCs w:val="6"/>
                <w:color w:val="auto"/>
              </w:rPr>
            </w:pPr>
          </w:p>
        </w:tc>
        <w:tc>
          <w:tcPr>
            <w:tcW w:w="2860" w:type="dxa"/>
            <w:vAlign w:val="bottom"/>
            <w:shd w:val="clear" w:color="auto" w:fill="F2F3F2"/>
          </w:tcPr>
          <w:p>
            <w:pPr>
              <w:spacing w:after="0"/>
              <w:rPr>
                <w:sz w:val="6"/>
                <w:szCs w:val="6"/>
                <w:color w:val="auto"/>
              </w:rPr>
            </w:pPr>
          </w:p>
        </w:tc>
        <w:tc>
          <w:tcPr>
            <w:tcW w:w="3180" w:type="dxa"/>
            <w:vAlign w:val="bottom"/>
            <w:shd w:val="clear" w:color="auto" w:fill="F2F3F2"/>
          </w:tcPr>
          <w:p>
            <w:pPr>
              <w:spacing w:after="0"/>
              <w:rPr>
                <w:sz w:val="6"/>
                <w:szCs w:val="6"/>
                <w:color w:val="auto"/>
              </w:rPr>
            </w:pPr>
          </w:p>
        </w:tc>
      </w:tr>
      <w:tr>
        <w:trPr>
          <w:trHeight w:val="289"/>
        </w:trPr>
        <w:tc>
          <w:tcPr>
            <w:tcW w:w="3040" w:type="dxa"/>
            <w:vAlign w:val="bottom"/>
          </w:tcPr>
          <w:p>
            <w:pPr>
              <w:ind w:left="140"/>
              <w:spacing w:after="0"/>
              <w:rPr>
                <w:sz w:val="20"/>
                <w:szCs w:val="20"/>
                <w:color w:val="auto"/>
              </w:rPr>
            </w:pPr>
            <w:r>
              <w:rPr>
                <w:rFonts w:ascii="Arial" w:cs="Arial" w:eastAsia="Arial" w:hAnsi="Arial"/>
                <w:sz w:val="14"/>
                <w:szCs w:val="14"/>
                <w:color w:val="auto"/>
              </w:rPr>
              <w:t>Dun &amp; Bradstreet Holdings, Inc.</w:t>
            </w:r>
          </w:p>
        </w:tc>
        <w:tc>
          <w:tcPr>
            <w:tcW w:w="2860" w:type="dxa"/>
            <w:vAlign w:val="bottom"/>
          </w:tcPr>
          <w:p>
            <w:pPr>
              <w:ind w:left="120"/>
              <w:spacing w:after="0"/>
              <w:rPr>
                <w:sz w:val="20"/>
                <w:szCs w:val="20"/>
                <w:color w:val="auto"/>
              </w:rPr>
            </w:pPr>
            <w:r>
              <w:rPr>
                <w:rFonts w:ascii="Arial" w:cs="Arial" w:eastAsia="Arial" w:hAnsi="Arial"/>
                <w:sz w:val="14"/>
                <w:szCs w:val="14"/>
                <w:color w:val="auto"/>
              </w:rPr>
              <w:t>ICF International, Inc.</w:t>
            </w:r>
          </w:p>
        </w:tc>
        <w:tc>
          <w:tcPr>
            <w:tcW w:w="3180" w:type="dxa"/>
            <w:vAlign w:val="bottom"/>
          </w:tcPr>
          <w:p>
            <w:pPr>
              <w:ind w:left="280"/>
              <w:spacing w:after="0"/>
              <w:rPr>
                <w:sz w:val="20"/>
                <w:szCs w:val="20"/>
                <w:color w:val="auto"/>
              </w:rPr>
            </w:pPr>
            <w:r>
              <w:rPr>
                <w:rFonts w:ascii="Arial" w:cs="Arial" w:eastAsia="Arial" w:hAnsi="Arial"/>
                <w:sz w:val="14"/>
                <w:szCs w:val="14"/>
                <w:color w:val="auto"/>
              </w:rPr>
              <w:t>R1 RCM, Inc.</w:t>
            </w:r>
          </w:p>
        </w:tc>
      </w:tr>
      <w:tr>
        <w:trPr>
          <w:trHeight w:val="75"/>
        </w:trPr>
        <w:tc>
          <w:tcPr>
            <w:tcW w:w="30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180" w:type="dxa"/>
            <w:vAlign w:val="bottom"/>
          </w:tcPr>
          <w:p>
            <w:pPr>
              <w:spacing w:after="0"/>
              <w:rPr>
                <w:sz w:val="6"/>
                <w:szCs w:val="6"/>
                <w:color w:val="auto"/>
              </w:rPr>
            </w:pPr>
          </w:p>
        </w:tc>
      </w:tr>
      <w:tr>
        <w:trPr>
          <w:trHeight w:val="289"/>
        </w:trPr>
        <w:tc>
          <w:tcPr>
            <w:tcW w:w="30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Evolent Health, Inc.</w:t>
            </w:r>
          </w:p>
        </w:tc>
        <w:tc>
          <w:tcPr>
            <w:tcW w:w="28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Korn Ferry</w:t>
            </w:r>
          </w:p>
        </w:tc>
        <w:tc>
          <w:tcPr>
            <w:tcW w:w="3180" w:type="dxa"/>
            <w:vAlign w:val="bottom"/>
            <w:shd w:val="clear" w:color="auto" w:fill="F2F3F2"/>
          </w:tcPr>
          <w:p>
            <w:pPr>
              <w:ind w:left="280"/>
              <w:spacing w:after="0"/>
              <w:rPr>
                <w:sz w:val="20"/>
                <w:szCs w:val="20"/>
                <w:color w:val="auto"/>
              </w:rPr>
            </w:pPr>
            <w:r>
              <w:rPr>
                <w:rFonts w:ascii="Arial" w:cs="Arial" w:eastAsia="Arial" w:hAnsi="Arial"/>
                <w:sz w:val="14"/>
                <w:szCs w:val="14"/>
                <w:color w:val="auto"/>
              </w:rPr>
              <w:t>Resources Connection, Inc.</w:t>
            </w:r>
          </w:p>
        </w:tc>
      </w:tr>
      <w:tr>
        <w:trPr>
          <w:trHeight w:val="76"/>
        </w:trPr>
        <w:tc>
          <w:tcPr>
            <w:tcW w:w="3040" w:type="dxa"/>
            <w:vAlign w:val="bottom"/>
            <w:tcBorders>
              <w:bottom w:val="single" w:sz="8" w:color="B6B6B6"/>
            </w:tcBorders>
            <w:shd w:val="clear" w:color="auto" w:fill="F2F3F2"/>
          </w:tcPr>
          <w:p>
            <w:pPr>
              <w:spacing w:after="0"/>
              <w:rPr>
                <w:sz w:val="6"/>
                <w:szCs w:val="6"/>
                <w:color w:val="auto"/>
              </w:rPr>
            </w:pPr>
          </w:p>
        </w:tc>
        <w:tc>
          <w:tcPr>
            <w:tcW w:w="2860" w:type="dxa"/>
            <w:vAlign w:val="bottom"/>
            <w:tcBorders>
              <w:bottom w:val="single" w:sz="8" w:color="B6B6B6"/>
            </w:tcBorders>
            <w:shd w:val="clear" w:color="auto" w:fill="F2F3F2"/>
          </w:tcPr>
          <w:p>
            <w:pPr>
              <w:spacing w:after="0"/>
              <w:rPr>
                <w:sz w:val="6"/>
                <w:szCs w:val="6"/>
                <w:color w:val="auto"/>
              </w:rPr>
            </w:pPr>
          </w:p>
        </w:tc>
        <w:tc>
          <w:tcPr>
            <w:tcW w:w="3180" w:type="dxa"/>
            <w:vAlign w:val="bottom"/>
            <w:tcBorders>
              <w:bottom w:val="single" w:sz="8" w:color="B6B6B6"/>
            </w:tcBorders>
            <w:shd w:val="clear" w:color="auto" w:fill="F2F3F2"/>
          </w:tcPr>
          <w:p>
            <w:pPr>
              <w:spacing w:after="0"/>
              <w:rPr>
                <w:sz w:val="6"/>
                <w:szCs w:val="6"/>
                <w:color w:val="auto"/>
              </w:rPr>
            </w:pPr>
          </w:p>
        </w:tc>
      </w:tr>
    </w:tbl>
    <w:p>
      <w:pPr>
        <w:spacing w:after="0" w:line="229"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Huron's relative positioning of revenue and market capitalization to the selected peer group as of July 2024 when the peer group was approved:</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3"/>
                <w:szCs w:val="13"/>
                <w:b w:val="1"/>
                <w:bCs w:val="1"/>
                <w:color w:val="6AAA37"/>
                <w:w w:val="98"/>
              </w:rPr>
              <w:t>Revenues (Percentile)</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6AAA37"/>
              </w:rPr>
              <w:t>Market Capitalization (Percentile)</w:t>
            </w:r>
          </w:p>
        </w:tc>
        <w:tc>
          <w:tcPr>
            <w:tcW w:w="560" w:type="dxa"/>
            <w:vAlign w:val="bottom"/>
          </w:tcPr>
          <w:p>
            <w:pPr>
              <w:spacing w:after="0"/>
              <w:rPr>
                <w:sz w:val="14"/>
                <w:szCs w:val="14"/>
                <w:color w:val="auto"/>
              </w:rPr>
            </w:pPr>
          </w:p>
        </w:tc>
      </w:tr>
      <w:tr>
        <w:trPr>
          <w:trHeight w:val="297"/>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6AAA37"/>
              </w:rPr>
              <w:t>52nd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color w:val="6AAA37"/>
              </w:rPr>
              <w:t>20th</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2"/>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6AAA37"/>
              </w:rPr>
              <w:t>q</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660"/>
              <w:spacing w:after="0"/>
              <w:rPr>
                <w:sz w:val="20"/>
                <w:szCs w:val="20"/>
                <w:color w:val="auto"/>
              </w:rPr>
            </w:pPr>
            <w:r>
              <w:rPr>
                <w:rFonts w:ascii="Arial" w:cs="Arial" w:eastAsia="Arial" w:hAnsi="Arial"/>
                <w:sz w:val="22"/>
                <w:szCs w:val="22"/>
                <w:color w:val="6AAA37"/>
              </w:rPr>
              <w:t>q</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5"/>
        </w:trPr>
        <w:tc>
          <w:tcPr>
            <w:tcW w:w="440" w:type="dxa"/>
            <w:vAlign w:val="bottom"/>
            <w:shd w:val="clear" w:color="auto" w:fill="00558C"/>
          </w:tcPr>
          <w:p>
            <w:pPr>
              <w:spacing w:after="0"/>
              <w:rPr>
                <w:sz w:val="15"/>
                <w:szCs w:val="15"/>
                <w:color w:val="auto"/>
              </w:rPr>
            </w:pPr>
          </w:p>
        </w:tc>
        <w:tc>
          <w:tcPr>
            <w:tcW w:w="460" w:type="dxa"/>
            <w:vAlign w:val="bottom"/>
            <w:tcBorders>
              <w:right w:val="single" w:sz="8" w:color="00558C"/>
            </w:tcBorders>
            <w:shd w:val="clear" w:color="auto" w:fill="00558C"/>
          </w:tcPr>
          <w:p>
            <w:pPr>
              <w:spacing w:after="0"/>
              <w:rPr>
                <w:sz w:val="15"/>
                <w:szCs w:val="15"/>
                <w:color w:val="auto"/>
              </w:rPr>
            </w:pPr>
          </w:p>
        </w:tc>
        <w:tc>
          <w:tcPr>
            <w:tcW w:w="120" w:type="dxa"/>
            <w:vAlign w:val="bottom"/>
            <w:shd w:val="clear" w:color="auto" w:fill="00558C"/>
          </w:tcPr>
          <w:p>
            <w:pPr>
              <w:spacing w:after="0"/>
              <w:rPr>
                <w:sz w:val="15"/>
                <w:szCs w:val="15"/>
                <w:color w:val="auto"/>
              </w:rPr>
            </w:pPr>
          </w:p>
        </w:tc>
        <w:tc>
          <w:tcPr>
            <w:tcW w:w="780" w:type="dxa"/>
            <w:vAlign w:val="bottom"/>
            <w:tcBorders>
              <w:right w:val="single" w:sz="8" w:color="00558C"/>
            </w:tcBorders>
            <w:shd w:val="clear" w:color="auto" w:fill="00558C"/>
          </w:tcPr>
          <w:p>
            <w:pPr>
              <w:spacing w:after="0"/>
              <w:rPr>
                <w:sz w:val="15"/>
                <w:szCs w:val="15"/>
                <w:color w:val="auto"/>
              </w:rPr>
            </w:pPr>
          </w:p>
        </w:tc>
        <w:tc>
          <w:tcPr>
            <w:tcW w:w="680" w:type="dxa"/>
            <w:vAlign w:val="bottom"/>
            <w:shd w:val="clear" w:color="auto" w:fill="00558C"/>
          </w:tcPr>
          <w:p>
            <w:pPr>
              <w:spacing w:after="0"/>
              <w:rPr>
                <w:sz w:val="15"/>
                <w:szCs w:val="15"/>
                <w:color w:val="auto"/>
              </w:rPr>
            </w:pPr>
          </w:p>
        </w:tc>
        <w:tc>
          <w:tcPr>
            <w:tcW w:w="200" w:type="dxa"/>
            <w:vAlign w:val="bottom"/>
            <w:tcBorders>
              <w:right w:val="single" w:sz="8" w:color="00558C"/>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shd w:val="clear" w:color="auto" w:fill="00558C"/>
          </w:tcPr>
          <w:p>
            <w:pPr>
              <w:spacing w:after="0"/>
              <w:rPr>
                <w:sz w:val="15"/>
                <w:szCs w:val="15"/>
                <w:color w:val="auto"/>
              </w:rPr>
            </w:pPr>
          </w:p>
        </w:tc>
        <w:tc>
          <w:tcPr>
            <w:tcW w:w="460" w:type="dxa"/>
            <w:vAlign w:val="bottom"/>
            <w:tcBorders>
              <w:right w:val="single" w:sz="8" w:color="00558C"/>
            </w:tcBorders>
            <w:shd w:val="clear" w:color="auto" w:fill="00558C"/>
          </w:tcPr>
          <w:p>
            <w:pPr>
              <w:spacing w:after="0"/>
              <w:rPr>
                <w:sz w:val="15"/>
                <w:szCs w:val="15"/>
                <w:color w:val="auto"/>
              </w:rPr>
            </w:pPr>
          </w:p>
        </w:tc>
        <w:tc>
          <w:tcPr>
            <w:tcW w:w="440" w:type="dxa"/>
            <w:vAlign w:val="bottom"/>
            <w:shd w:val="clear" w:color="auto" w:fill="00558C"/>
          </w:tcPr>
          <w:p>
            <w:pPr>
              <w:spacing w:after="0"/>
              <w:rPr>
                <w:sz w:val="15"/>
                <w:szCs w:val="15"/>
                <w:color w:val="auto"/>
              </w:rPr>
            </w:pPr>
          </w:p>
        </w:tc>
        <w:tc>
          <w:tcPr>
            <w:tcW w:w="460" w:type="dxa"/>
            <w:vAlign w:val="bottom"/>
            <w:tcBorders>
              <w:right w:val="single" w:sz="8" w:color="00558C"/>
            </w:tcBorders>
            <w:shd w:val="clear" w:color="auto" w:fill="00558C"/>
          </w:tcPr>
          <w:p>
            <w:pPr>
              <w:spacing w:after="0"/>
              <w:rPr>
                <w:sz w:val="15"/>
                <w:szCs w:val="15"/>
                <w:color w:val="auto"/>
              </w:rPr>
            </w:pPr>
          </w:p>
        </w:tc>
        <w:tc>
          <w:tcPr>
            <w:tcW w:w="420" w:type="dxa"/>
            <w:vAlign w:val="bottom"/>
            <w:shd w:val="clear" w:color="auto" w:fill="00558C"/>
          </w:tcPr>
          <w:p>
            <w:pPr>
              <w:spacing w:after="0"/>
              <w:rPr>
                <w:sz w:val="15"/>
                <w:szCs w:val="15"/>
                <w:color w:val="auto"/>
              </w:rPr>
            </w:pPr>
          </w:p>
        </w:tc>
        <w:tc>
          <w:tcPr>
            <w:tcW w:w="460" w:type="dxa"/>
            <w:vAlign w:val="bottom"/>
            <w:tcBorders>
              <w:right w:val="single" w:sz="8" w:color="00558C"/>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r>
      <w:tr>
        <w:trPr>
          <w:trHeight w:val="175"/>
        </w:trPr>
        <w:tc>
          <w:tcPr>
            <w:tcW w:w="440" w:type="dxa"/>
            <w:vAlign w:val="bottom"/>
            <w:shd w:val="clear" w:color="auto" w:fill="00558C"/>
          </w:tcPr>
          <w:p>
            <w:pPr>
              <w:spacing w:after="0"/>
              <w:rPr>
                <w:sz w:val="15"/>
                <w:szCs w:val="15"/>
                <w:color w:val="auto"/>
              </w:rPr>
            </w:pPr>
          </w:p>
        </w:tc>
        <w:tc>
          <w:tcPr>
            <w:tcW w:w="460" w:type="dxa"/>
            <w:vAlign w:val="bottom"/>
            <w:tcBorders>
              <w:right w:val="single" w:sz="8" w:color="B2B3B6"/>
            </w:tcBorders>
            <w:shd w:val="clear" w:color="auto" w:fill="00558C"/>
          </w:tcPr>
          <w:p>
            <w:pPr>
              <w:spacing w:after="0"/>
              <w:rPr>
                <w:sz w:val="15"/>
                <w:szCs w:val="15"/>
                <w:color w:val="auto"/>
              </w:rPr>
            </w:pPr>
          </w:p>
        </w:tc>
        <w:tc>
          <w:tcPr>
            <w:tcW w:w="120" w:type="dxa"/>
            <w:vAlign w:val="bottom"/>
            <w:shd w:val="clear" w:color="auto" w:fill="00558C"/>
          </w:tcPr>
          <w:p>
            <w:pPr>
              <w:spacing w:after="0"/>
              <w:rPr>
                <w:sz w:val="15"/>
                <w:szCs w:val="15"/>
                <w:color w:val="auto"/>
              </w:rPr>
            </w:pPr>
          </w:p>
        </w:tc>
        <w:tc>
          <w:tcPr>
            <w:tcW w:w="780" w:type="dxa"/>
            <w:vAlign w:val="bottom"/>
            <w:tcBorders>
              <w:right w:val="single" w:sz="8" w:color="B2B3B6"/>
            </w:tcBorders>
            <w:shd w:val="clear" w:color="auto" w:fill="00558C"/>
          </w:tcPr>
          <w:p>
            <w:pPr>
              <w:spacing w:after="0"/>
              <w:rPr>
                <w:sz w:val="15"/>
                <w:szCs w:val="15"/>
                <w:color w:val="auto"/>
              </w:rPr>
            </w:pPr>
          </w:p>
        </w:tc>
        <w:tc>
          <w:tcPr>
            <w:tcW w:w="680" w:type="dxa"/>
            <w:vAlign w:val="bottom"/>
            <w:shd w:val="clear" w:color="auto" w:fill="00558C"/>
          </w:tcPr>
          <w:p>
            <w:pPr>
              <w:spacing w:after="0"/>
              <w:rPr>
                <w:sz w:val="15"/>
                <w:szCs w:val="15"/>
                <w:color w:val="auto"/>
              </w:rPr>
            </w:pPr>
          </w:p>
        </w:tc>
        <w:tc>
          <w:tcPr>
            <w:tcW w:w="200" w:type="dxa"/>
            <w:vAlign w:val="bottom"/>
            <w:tcBorders>
              <w:right w:val="single" w:sz="8" w:color="B2B3B6"/>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shd w:val="clear" w:color="auto" w:fill="00558C"/>
          </w:tcPr>
          <w:p>
            <w:pPr>
              <w:spacing w:after="0"/>
              <w:rPr>
                <w:sz w:val="15"/>
                <w:szCs w:val="15"/>
                <w:color w:val="auto"/>
              </w:rPr>
            </w:pPr>
          </w:p>
        </w:tc>
        <w:tc>
          <w:tcPr>
            <w:tcW w:w="460" w:type="dxa"/>
            <w:vAlign w:val="bottom"/>
            <w:tcBorders>
              <w:right w:val="single" w:sz="8" w:color="B2B3B6"/>
            </w:tcBorders>
            <w:shd w:val="clear" w:color="auto" w:fill="00558C"/>
          </w:tcPr>
          <w:p>
            <w:pPr>
              <w:spacing w:after="0"/>
              <w:rPr>
                <w:sz w:val="15"/>
                <w:szCs w:val="15"/>
                <w:color w:val="auto"/>
              </w:rPr>
            </w:pPr>
          </w:p>
        </w:tc>
        <w:tc>
          <w:tcPr>
            <w:tcW w:w="440" w:type="dxa"/>
            <w:vAlign w:val="bottom"/>
            <w:shd w:val="clear" w:color="auto" w:fill="00558C"/>
          </w:tcPr>
          <w:p>
            <w:pPr>
              <w:spacing w:after="0"/>
              <w:rPr>
                <w:sz w:val="15"/>
                <w:szCs w:val="15"/>
                <w:color w:val="auto"/>
              </w:rPr>
            </w:pPr>
          </w:p>
        </w:tc>
        <w:tc>
          <w:tcPr>
            <w:tcW w:w="460" w:type="dxa"/>
            <w:vAlign w:val="bottom"/>
            <w:tcBorders>
              <w:right w:val="single" w:sz="8" w:color="B2B3B6"/>
            </w:tcBorders>
            <w:shd w:val="clear" w:color="auto" w:fill="00558C"/>
          </w:tcPr>
          <w:p>
            <w:pPr>
              <w:spacing w:after="0"/>
              <w:rPr>
                <w:sz w:val="15"/>
                <w:szCs w:val="15"/>
                <w:color w:val="auto"/>
              </w:rPr>
            </w:pPr>
          </w:p>
        </w:tc>
        <w:tc>
          <w:tcPr>
            <w:tcW w:w="420" w:type="dxa"/>
            <w:vAlign w:val="bottom"/>
            <w:shd w:val="clear" w:color="auto" w:fill="00558C"/>
          </w:tcPr>
          <w:p>
            <w:pPr>
              <w:spacing w:after="0"/>
              <w:rPr>
                <w:sz w:val="15"/>
                <w:szCs w:val="15"/>
                <w:color w:val="auto"/>
              </w:rPr>
            </w:pPr>
          </w:p>
        </w:tc>
        <w:tc>
          <w:tcPr>
            <w:tcW w:w="460" w:type="dxa"/>
            <w:vAlign w:val="bottom"/>
            <w:tcBorders>
              <w:right w:val="single" w:sz="8" w:color="B2B3B6"/>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r>
      <w:tr>
        <w:trPr>
          <w:trHeight w:val="175"/>
        </w:trPr>
        <w:tc>
          <w:tcPr>
            <w:tcW w:w="440" w:type="dxa"/>
            <w:vAlign w:val="bottom"/>
          </w:tcPr>
          <w:p>
            <w:pPr>
              <w:spacing w:after="0"/>
              <w:rPr>
                <w:sz w:val="15"/>
                <w:szCs w:val="15"/>
                <w:color w:val="auto"/>
              </w:rPr>
            </w:pPr>
          </w:p>
        </w:tc>
        <w:tc>
          <w:tcPr>
            <w:tcW w:w="460" w:type="dxa"/>
            <w:vAlign w:val="bottom"/>
            <w:tcBorders>
              <w:right w:val="single" w:sz="8" w:color="B2B3B6"/>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right w:val="single" w:sz="8" w:color="B2B3B6"/>
            </w:tcBorders>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B2B3B6"/>
            </w:tcBorders>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right w:val="single" w:sz="8" w:color="B2B3B6"/>
            </w:tcBorders>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right w:val="single" w:sz="8" w:color="B2B3B6"/>
            </w:tcBorders>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Borders>
              <w:right w:val="single" w:sz="8" w:color="B2B3B6"/>
            </w:tcBorders>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8"/>
        </w:trPr>
        <w:tc>
          <w:tcPr>
            <w:tcW w:w="44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1460" w:type="dxa"/>
            <w:vAlign w:val="bottom"/>
            <w:gridSpan w:val="2"/>
          </w:tcPr>
          <w:p>
            <w:pPr>
              <w:jc w:val="right"/>
              <w:ind w:right="530"/>
              <w:spacing w:after="0"/>
              <w:rPr>
                <w:sz w:val="20"/>
                <w:szCs w:val="20"/>
                <w:color w:val="auto"/>
              </w:rPr>
            </w:pPr>
            <w:r>
              <w:rPr>
                <w:rFonts w:ascii="Arial" w:cs="Arial" w:eastAsia="Arial" w:hAnsi="Arial"/>
                <w:sz w:val="14"/>
                <w:szCs w:val="14"/>
                <w:color w:val="auto"/>
              </w:rPr>
              <w:t>50</w:t>
            </w: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75</w:t>
            </w: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0</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25</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50</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75</w:t>
            </w: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Outreach</w:t>
      </w:r>
    </w:p>
    <w:p>
      <w:pPr>
        <w:spacing w:after="0" w:line="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At the 2025 Annual Meeting, 98% of votes were in support of our named executive officers' compensation ("say-on-pay"). We view these results as overwhelming support of our executive compensation practices, including their strong alignment between our executives' pay and stockholder value. Additionally, at the 2023 annual meeting, a significant majority of votes cast were in support of an annual advisory vote on executive officer compensation ("say-on-pay frequency"), and the board agreed that we will continue to listen carefully to our stockholders and hold our say-on-pay vote annually.</w:t>
      </w:r>
    </w:p>
    <w:p>
      <w:pPr>
        <w:spacing w:after="0" w:line="107"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to our annual say-on-pay vote, we maintain an ongoing dialogue with our stockholders regarding our growth strategy, competitive positioning, financial performance, and executive compensation philosophy and program, including offering one-on-one meetings to our top 25 stockholders. We engage in consistent, proactive outreach efforts with our stockholders and their governance teams, as well as potential investors, on a regular basis throughout the year. Our non-executive chairman and management team engage with our stockholders to seek their input, to remain well-informed of their perspectives, and to help increase their understanding of our business, our growth strategy, our executive compensation philosophy and program, and our commitment to corporate governance and corporate social responsibility issues, among other priorities.</w:t>
      </w:r>
    </w:p>
    <w:p>
      <w:pPr>
        <w:spacing w:after="0" w:line="11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Throughout 2025, those stockholders who accepted our offer to meet during our investor outreach cycles represented approximately 45% of our outstanding shares held by institutional investors as of December 31, 2025, including 16 of our top 25 stockholders. These conversations primarily focused on Huron’s refreshed growth strategy; our executive compensation program and company-wide compensation philosophy, including our use of equity; ongoing refreshment process for the board; and corporate social responsibility and governance topics. We heard no concerns regarding our NEO pay programs. The feedback received through our stockholder outreach efforts is communicated to and considered by the board and helps inform our decisions and strategy. We will continue to listen carefully to our stockholders and incorporate their feedback into our decisions about executive compensation.</w:t>
      </w:r>
    </w:p>
    <w:p>
      <w:pPr>
        <w:sectPr>
          <w:pgSz w:w="11900" w:h="16838" w:orient="portrait"/>
          <w:cols w:equalWidth="0" w:num="1">
            <w:col w:w="9080"/>
          </w:cols>
          <w:pgMar w:left="1400" w:top="114" w:right="1419" w:bottom="425" w:gutter="0" w:footer="0" w:header="0"/>
          <w:type w:val="continuous"/>
        </w:sectPr>
      </w:pPr>
    </w:p>
    <w:bookmarkStart w:id="45" w:name="page46"/>
    <w:bookmarkEnd w:id="45"/>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19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619125"/>
                    </a:xfrm>
                    <a:prstGeom prst="rect">
                      <a:avLst/>
                    </a:prstGeom>
                    <a:noFill/>
                  </pic:spPr>
                </pic:pic>
              </a:graphicData>
            </a:graphic>
          </wp:anchor>
        </w:drawing>
        <w:t>Huron Consulting Group Inc.</w:t>
      </w:r>
      <w:r>
        <w:rPr>
          <w:sz w:val="20"/>
          <w:szCs w:val="20"/>
          <w:color w:val="auto"/>
        </w:rPr>
        <w:tab/>
      </w:r>
      <w:r>
        <w:rPr>
          <w:rFonts w:ascii="Arial" w:cs="Arial" w:eastAsia="Arial" w:hAnsi="Arial"/>
          <w:sz w:val="25"/>
          <w:szCs w:val="25"/>
          <w:b w:val="1"/>
          <w:bCs w:val="1"/>
          <w:color w:val="00558C"/>
          <w:vertAlign w:val="superscript"/>
        </w:rPr>
        <w:t>41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67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2025 Executive Compensation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Target Compensation Opportunity</w:t>
      </w:r>
    </w:p>
    <w:p>
      <w:pPr>
        <w:spacing w:after="0" w:line="10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December 2024, the Compensation Committee approved the following 2025 target compensation opportunities for our named executive officers after considering comparability and competitiveness to external market data and alignment with each executive's individual experience, qualifications and performance.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shd w:val="clear" w:color="auto" w:fill="00558C"/>
          </w:tcPr>
          <w:p>
            <w:pPr>
              <w:spacing w:after="0"/>
              <w:rPr>
                <w:sz w:val="20"/>
                <w:szCs w:val="20"/>
                <w:color w:val="auto"/>
              </w:rPr>
            </w:pPr>
          </w:p>
        </w:tc>
        <w:tc>
          <w:tcPr>
            <w:tcW w:w="1780" w:type="dxa"/>
            <w:vAlign w:val="bottom"/>
            <w:shd w:val="clear" w:color="auto" w:fill="00558C"/>
          </w:tcPr>
          <w:p>
            <w:pPr>
              <w:spacing w:after="0"/>
              <w:rPr>
                <w:sz w:val="20"/>
                <w:szCs w:val="20"/>
                <w:color w:val="auto"/>
              </w:rPr>
            </w:pPr>
          </w:p>
        </w:tc>
        <w:tc>
          <w:tcPr>
            <w:tcW w:w="2540" w:type="dxa"/>
            <w:vAlign w:val="bottom"/>
            <w:shd w:val="clear" w:color="auto" w:fill="00558C"/>
          </w:tcPr>
          <w:p>
            <w:pPr>
              <w:jc w:val="center"/>
              <w:spacing w:after="0"/>
              <w:rPr>
                <w:sz w:val="20"/>
                <w:szCs w:val="20"/>
                <w:color w:val="auto"/>
              </w:rPr>
            </w:pPr>
            <w:r>
              <w:rPr>
                <w:rFonts w:ascii="Arial" w:cs="Arial" w:eastAsia="Arial" w:hAnsi="Arial"/>
                <w:sz w:val="14"/>
                <w:szCs w:val="14"/>
                <w:b w:val="1"/>
                <w:bCs w:val="1"/>
                <w:color w:val="FFFFFF"/>
              </w:rPr>
              <w:t>Target Annual Incentive</w:t>
            </w:r>
          </w:p>
        </w:tc>
        <w:tc>
          <w:tcPr>
            <w:tcW w:w="2720" w:type="dxa"/>
            <w:vAlign w:val="bottom"/>
            <w:shd w:val="clear" w:color="auto" w:fill="00558C"/>
          </w:tcPr>
          <w:p>
            <w:pPr>
              <w:jc w:val="right"/>
              <w:ind w:right="408"/>
              <w:spacing w:after="0"/>
              <w:rPr>
                <w:sz w:val="20"/>
                <w:szCs w:val="20"/>
                <w:color w:val="auto"/>
              </w:rPr>
            </w:pPr>
            <w:r>
              <w:rPr>
                <w:rFonts w:ascii="Arial" w:cs="Arial" w:eastAsia="Arial" w:hAnsi="Arial"/>
                <w:sz w:val="14"/>
                <w:szCs w:val="14"/>
                <w:b w:val="1"/>
                <w:bCs w:val="1"/>
                <w:color w:val="FFFFFF"/>
              </w:rPr>
              <w:t>Target Long-Term Incentive</w:t>
            </w:r>
          </w:p>
        </w:tc>
      </w:tr>
      <w:tr>
        <w:trPr>
          <w:trHeight w:val="196"/>
        </w:trPr>
        <w:tc>
          <w:tcPr>
            <w:tcW w:w="20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00558C"/>
          </w:tcPr>
          <w:p>
            <w:pPr>
              <w:ind w:left="520"/>
              <w:spacing w:after="0"/>
              <w:rPr>
                <w:sz w:val="20"/>
                <w:szCs w:val="20"/>
                <w:color w:val="auto"/>
              </w:rPr>
            </w:pPr>
            <w:r>
              <w:rPr>
                <w:rFonts w:ascii="Arial" w:cs="Arial" w:eastAsia="Arial" w:hAnsi="Arial"/>
                <w:sz w:val="14"/>
                <w:szCs w:val="14"/>
                <w:b w:val="1"/>
                <w:bCs w:val="1"/>
                <w:color w:val="FFFFFF"/>
              </w:rPr>
              <w:t>Base Salary</w:t>
            </w:r>
          </w:p>
        </w:tc>
        <w:tc>
          <w:tcPr>
            <w:tcW w:w="254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FFFFFF"/>
              </w:rPr>
              <w:t>Opportunity (% of Salary)</w:t>
            </w:r>
          </w:p>
        </w:tc>
        <w:tc>
          <w:tcPr>
            <w:tcW w:w="2720" w:type="dxa"/>
            <w:vAlign w:val="bottom"/>
            <w:shd w:val="clear" w:color="auto" w:fill="00558C"/>
          </w:tcPr>
          <w:p>
            <w:pPr>
              <w:jc w:val="right"/>
              <w:ind w:right="428"/>
              <w:spacing w:after="0"/>
              <w:rPr>
                <w:sz w:val="20"/>
                <w:szCs w:val="20"/>
                <w:color w:val="auto"/>
              </w:rPr>
            </w:pPr>
            <w:r>
              <w:rPr>
                <w:rFonts w:ascii="Arial" w:cs="Arial" w:eastAsia="Arial" w:hAnsi="Arial"/>
                <w:sz w:val="14"/>
                <w:szCs w:val="14"/>
                <w:b w:val="1"/>
                <w:bCs w:val="1"/>
                <w:color w:val="FFFFFF"/>
              </w:rPr>
              <w:t>Opportunity (% of Salary)</w:t>
            </w:r>
          </w:p>
        </w:tc>
      </w:tr>
      <w:tr>
        <w:trPr>
          <w:trHeight w:val="110"/>
        </w:trPr>
        <w:tc>
          <w:tcPr>
            <w:tcW w:w="2040" w:type="dxa"/>
            <w:vAlign w:val="bottom"/>
            <w:shd w:val="clear" w:color="auto" w:fill="00558C"/>
          </w:tcPr>
          <w:p>
            <w:pPr>
              <w:spacing w:after="0"/>
              <w:rPr>
                <w:sz w:val="9"/>
                <w:szCs w:val="9"/>
                <w:color w:val="auto"/>
              </w:rPr>
            </w:pPr>
          </w:p>
        </w:tc>
        <w:tc>
          <w:tcPr>
            <w:tcW w:w="1780" w:type="dxa"/>
            <w:vAlign w:val="bottom"/>
            <w:shd w:val="clear" w:color="auto" w:fill="00558C"/>
          </w:tcPr>
          <w:p>
            <w:pPr>
              <w:spacing w:after="0"/>
              <w:rPr>
                <w:sz w:val="9"/>
                <w:szCs w:val="9"/>
                <w:color w:val="auto"/>
              </w:rPr>
            </w:pPr>
          </w:p>
        </w:tc>
        <w:tc>
          <w:tcPr>
            <w:tcW w:w="2540" w:type="dxa"/>
            <w:vAlign w:val="bottom"/>
            <w:shd w:val="clear" w:color="auto" w:fill="00558C"/>
          </w:tcPr>
          <w:p>
            <w:pPr>
              <w:spacing w:after="0"/>
              <w:rPr>
                <w:sz w:val="9"/>
                <w:szCs w:val="9"/>
                <w:color w:val="auto"/>
              </w:rPr>
            </w:pPr>
          </w:p>
        </w:tc>
        <w:tc>
          <w:tcPr>
            <w:tcW w:w="2720" w:type="dxa"/>
            <w:vAlign w:val="bottom"/>
            <w:shd w:val="clear" w:color="auto" w:fill="00558C"/>
          </w:tcPr>
          <w:p>
            <w:pPr>
              <w:spacing w:after="0"/>
              <w:rPr>
                <w:sz w:val="9"/>
                <w:szCs w:val="9"/>
                <w:color w:val="auto"/>
              </w:rPr>
            </w:pPr>
          </w:p>
        </w:tc>
      </w:tr>
      <w:tr>
        <w:trPr>
          <w:trHeight w:val="398"/>
        </w:trPr>
        <w:tc>
          <w:tcPr>
            <w:tcW w:w="204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r>
              <w:rPr>
                <w:rFonts w:ascii="Arial" w:cs="Arial" w:eastAsia="Arial" w:hAnsi="Arial"/>
                <w:sz w:val="18"/>
                <w:szCs w:val="18"/>
                <w:b w:val="1"/>
                <w:bCs w:val="1"/>
                <w:color w:val="00558C"/>
                <w:vertAlign w:val="superscript"/>
              </w:rPr>
              <w:t>(1)</w:t>
            </w:r>
          </w:p>
        </w:tc>
        <w:tc>
          <w:tcPr>
            <w:tcW w:w="1780" w:type="dxa"/>
            <w:vAlign w:val="bottom"/>
            <w:tcBorders>
              <w:bottom w:val="single" w:sz="8" w:color="F2F3F2"/>
            </w:tcBorders>
            <w:shd w:val="clear" w:color="auto" w:fill="F2F3F2"/>
          </w:tcPr>
          <w:p>
            <w:pPr>
              <w:jc w:val="center"/>
              <w:ind w:left="28"/>
              <w:spacing w:after="0"/>
              <w:rPr>
                <w:sz w:val="20"/>
                <w:szCs w:val="20"/>
                <w:color w:val="auto"/>
              </w:rPr>
            </w:pPr>
            <w:r>
              <w:rPr>
                <w:rFonts w:ascii="Arial" w:cs="Arial" w:eastAsia="Arial" w:hAnsi="Arial"/>
                <w:sz w:val="14"/>
                <w:szCs w:val="14"/>
                <w:color w:val="auto"/>
              </w:rPr>
              <w:t>$1,025,000</w:t>
            </w:r>
          </w:p>
        </w:tc>
        <w:tc>
          <w:tcPr>
            <w:tcW w:w="2540" w:type="dxa"/>
            <w:vAlign w:val="bottom"/>
            <w:tcBorders>
              <w:bottom w:val="single" w:sz="8" w:color="F2F3F2"/>
            </w:tcBorders>
            <w:shd w:val="clear" w:color="auto" w:fill="F2F3F2"/>
          </w:tcPr>
          <w:p>
            <w:pPr>
              <w:jc w:val="center"/>
              <w:ind w:left="208"/>
              <w:spacing w:after="0"/>
              <w:rPr>
                <w:sz w:val="20"/>
                <w:szCs w:val="20"/>
                <w:color w:val="auto"/>
              </w:rPr>
            </w:pPr>
            <w:r>
              <w:rPr>
                <w:rFonts w:ascii="Arial" w:cs="Arial" w:eastAsia="Arial" w:hAnsi="Arial"/>
                <w:sz w:val="14"/>
                <w:szCs w:val="14"/>
                <w:color w:val="auto"/>
              </w:rPr>
              <w:t>145%</w:t>
            </w:r>
          </w:p>
        </w:tc>
        <w:tc>
          <w:tcPr>
            <w:tcW w:w="2720" w:type="dxa"/>
            <w:vAlign w:val="bottom"/>
            <w:tcBorders>
              <w:bottom w:val="single" w:sz="8" w:color="F2F3F2"/>
            </w:tcBorders>
            <w:shd w:val="clear" w:color="auto" w:fill="F2F3F2"/>
          </w:tcPr>
          <w:p>
            <w:pPr>
              <w:jc w:val="right"/>
              <w:ind w:right="1008"/>
              <w:spacing w:after="0"/>
              <w:rPr>
                <w:sz w:val="20"/>
                <w:szCs w:val="20"/>
                <w:color w:val="auto"/>
              </w:rPr>
            </w:pPr>
            <w:r>
              <w:rPr>
                <w:rFonts w:ascii="Arial" w:cs="Arial" w:eastAsia="Arial" w:hAnsi="Arial"/>
                <w:sz w:val="14"/>
                <w:szCs w:val="14"/>
                <w:color w:val="auto"/>
              </w:rPr>
              <w:t>450%</w:t>
            </w:r>
          </w:p>
        </w:tc>
      </w:tr>
      <w:tr>
        <w:trPr>
          <w:trHeight w:val="377"/>
        </w:trPr>
        <w:tc>
          <w:tcPr>
            <w:tcW w:w="2040" w:type="dxa"/>
            <w:vAlign w:val="bottom"/>
          </w:tcPr>
          <w:p>
            <w:pPr>
              <w:ind w:left="140"/>
              <w:spacing w:after="0"/>
              <w:rPr>
                <w:sz w:val="20"/>
                <w:szCs w:val="20"/>
                <w:color w:val="auto"/>
              </w:rPr>
            </w:pPr>
            <w:r>
              <w:rPr>
                <w:rFonts w:ascii="Arial" w:cs="Arial" w:eastAsia="Arial" w:hAnsi="Arial"/>
                <w:sz w:val="14"/>
                <w:szCs w:val="14"/>
                <w:b w:val="1"/>
                <w:bCs w:val="1"/>
                <w:color w:val="00558C"/>
              </w:rPr>
              <w:t>John D. Kelly</w:t>
            </w:r>
            <w:r>
              <w:rPr>
                <w:rFonts w:ascii="Arial" w:cs="Arial" w:eastAsia="Arial" w:hAnsi="Arial"/>
                <w:sz w:val="18"/>
                <w:szCs w:val="18"/>
                <w:b w:val="1"/>
                <w:bCs w:val="1"/>
                <w:color w:val="00558C"/>
                <w:vertAlign w:val="superscript"/>
              </w:rPr>
              <w:t>(2)</w:t>
            </w:r>
          </w:p>
        </w:tc>
        <w:tc>
          <w:tcPr>
            <w:tcW w:w="1780" w:type="dxa"/>
            <w:vAlign w:val="bottom"/>
          </w:tcPr>
          <w:p>
            <w:pPr>
              <w:jc w:val="center"/>
              <w:ind w:left="28"/>
              <w:spacing w:after="0"/>
              <w:rPr>
                <w:sz w:val="20"/>
                <w:szCs w:val="20"/>
                <w:color w:val="auto"/>
              </w:rPr>
            </w:pPr>
            <w:r>
              <w:rPr>
                <w:rFonts w:ascii="Arial" w:cs="Arial" w:eastAsia="Arial" w:hAnsi="Arial"/>
                <w:sz w:val="14"/>
                <w:szCs w:val="14"/>
                <w:color w:val="auto"/>
              </w:rPr>
              <w:t>$650,000</w:t>
            </w:r>
          </w:p>
        </w:tc>
        <w:tc>
          <w:tcPr>
            <w:tcW w:w="2540" w:type="dxa"/>
            <w:vAlign w:val="bottom"/>
          </w:tcPr>
          <w:p>
            <w:pPr>
              <w:jc w:val="center"/>
              <w:ind w:left="208"/>
              <w:spacing w:after="0"/>
              <w:rPr>
                <w:sz w:val="20"/>
                <w:szCs w:val="20"/>
                <w:color w:val="auto"/>
              </w:rPr>
            </w:pPr>
            <w:r>
              <w:rPr>
                <w:rFonts w:ascii="Arial" w:cs="Arial" w:eastAsia="Arial" w:hAnsi="Arial"/>
                <w:sz w:val="14"/>
                <w:szCs w:val="14"/>
                <w:color w:val="auto"/>
              </w:rPr>
              <w:t>120%</w:t>
            </w:r>
          </w:p>
        </w:tc>
        <w:tc>
          <w:tcPr>
            <w:tcW w:w="2720" w:type="dxa"/>
            <w:vAlign w:val="bottom"/>
          </w:tcPr>
          <w:p>
            <w:pPr>
              <w:jc w:val="right"/>
              <w:ind w:right="1028"/>
              <w:spacing w:after="0"/>
              <w:rPr>
                <w:sz w:val="20"/>
                <w:szCs w:val="20"/>
                <w:color w:val="auto"/>
              </w:rPr>
            </w:pPr>
            <w:r>
              <w:rPr>
                <w:rFonts w:ascii="Arial" w:cs="Arial" w:eastAsia="Arial" w:hAnsi="Arial"/>
                <w:sz w:val="14"/>
                <w:szCs w:val="14"/>
                <w:color w:val="auto"/>
              </w:rPr>
              <w:t>250%</w:t>
            </w:r>
          </w:p>
        </w:tc>
      </w:tr>
      <w:tr>
        <w:trPr>
          <w:trHeight w:val="41"/>
        </w:trPr>
        <w:tc>
          <w:tcPr>
            <w:tcW w:w="20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720" w:type="dxa"/>
            <w:vAlign w:val="bottom"/>
          </w:tcPr>
          <w:p>
            <w:pPr>
              <w:spacing w:after="0"/>
              <w:rPr>
                <w:sz w:val="3"/>
                <w:szCs w:val="3"/>
                <w:color w:val="auto"/>
              </w:rPr>
            </w:pPr>
          </w:p>
        </w:tc>
      </w:tr>
      <w:tr>
        <w:trPr>
          <w:trHeight w:val="398"/>
        </w:trPr>
        <w:tc>
          <w:tcPr>
            <w:tcW w:w="204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 Dail</w:t>
            </w:r>
            <w:r>
              <w:rPr>
                <w:rFonts w:ascii="Arial" w:cs="Arial" w:eastAsia="Arial" w:hAnsi="Arial"/>
                <w:sz w:val="18"/>
                <w:szCs w:val="18"/>
                <w:b w:val="1"/>
                <w:bCs w:val="1"/>
                <w:color w:val="00558C"/>
                <w:vertAlign w:val="superscript"/>
              </w:rPr>
              <w:t>(3)</w:t>
            </w:r>
          </w:p>
        </w:tc>
        <w:tc>
          <w:tcPr>
            <w:tcW w:w="1780" w:type="dxa"/>
            <w:vAlign w:val="bottom"/>
            <w:tcBorders>
              <w:bottom w:val="single" w:sz="8" w:color="F2F3F2"/>
            </w:tcBorders>
            <w:shd w:val="clear" w:color="auto" w:fill="F2F3F2"/>
          </w:tcPr>
          <w:p>
            <w:pPr>
              <w:jc w:val="center"/>
              <w:ind w:left="28"/>
              <w:spacing w:after="0"/>
              <w:rPr>
                <w:sz w:val="20"/>
                <w:szCs w:val="20"/>
                <w:color w:val="auto"/>
              </w:rPr>
            </w:pPr>
            <w:r>
              <w:rPr>
                <w:rFonts w:ascii="Arial" w:cs="Arial" w:eastAsia="Arial" w:hAnsi="Arial"/>
                <w:sz w:val="14"/>
                <w:szCs w:val="14"/>
                <w:color w:val="auto"/>
              </w:rPr>
              <w:t>$675,000</w:t>
            </w:r>
          </w:p>
        </w:tc>
        <w:tc>
          <w:tcPr>
            <w:tcW w:w="2540" w:type="dxa"/>
            <w:vAlign w:val="bottom"/>
            <w:tcBorders>
              <w:bottom w:val="single" w:sz="8" w:color="F2F3F2"/>
            </w:tcBorders>
            <w:shd w:val="clear" w:color="auto" w:fill="F2F3F2"/>
          </w:tcPr>
          <w:p>
            <w:pPr>
              <w:jc w:val="center"/>
              <w:ind w:left="208"/>
              <w:spacing w:after="0"/>
              <w:rPr>
                <w:sz w:val="20"/>
                <w:szCs w:val="20"/>
                <w:color w:val="auto"/>
              </w:rPr>
            </w:pPr>
            <w:r>
              <w:rPr>
                <w:rFonts w:ascii="Arial" w:cs="Arial" w:eastAsia="Arial" w:hAnsi="Arial"/>
                <w:sz w:val="14"/>
                <w:szCs w:val="14"/>
                <w:color w:val="auto"/>
              </w:rPr>
              <w:t>95%</w:t>
            </w:r>
          </w:p>
        </w:tc>
        <w:tc>
          <w:tcPr>
            <w:tcW w:w="2720" w:type="dxa"/>
            <w:vAlign w:val="bottom"/>
            <w:tcBorders>
              <w:bottom w:val="single" w:sz="8" w:color="F2F3F2"/>
            </w:tcBorders>
            <w:shd w:val="clear" w:color="auto" w:fill="F2F3F2"/>
          </w:tcPr>
          <w:p>
            <w:pPr>
              <w:jc w:val="right"/>
              <w:ind w:right="1028"/>
              <w:spacing w:after="0"/>
              <w:rPr>
                <w:sz w:val="20"/>
                <w:szCs w:val="20"/>
                <w:color w:val="auto"/>
              </w:rPr>
            </w:pPr>
            <w:r>
              <w:rPr>
                <w:rFonts w:ascii="Arial" w:cs="Arial" w:eastAsia="Arial" w:hAnsi="Arial"/>
                <w:sz w:val="14"/>
                <w:szCs w:val="14"/>
                <w:color w:val="auto"/>
              </w:rPr>
              <w:t>160%</w:t>
            </w:r>
          </w:p>
        </w:tc>
      </w:tr>
      <w:tr>
        <w:trPr>
          <w:trHeight w:val="322"/>
        </w:trPr>
        <w:tc>
          <w:tcPr>
            <w:tcW w:w="2040" w:type="dxa"/>
            <w:vAlign w:val="bottom"/>
          </w:tcPr>
          <w:p>
            <w:pPr>
              <w:ind w:left="140"/>
              <w:spacing w:after="0"/>
              <w:rPr>
                <w:sz w:val="20"/>
                <w:szCs w:val="20"/>
                <w:color w:val="auto"/>
              </w:rPr>
            </w:pPr>
            <w:r>
              <w:rPr>
                <w:rFonts w:ascii="Arial" w:cs="Arial" w:eastAsia="Arial" w:hAnsi="Arial"/>
                <w:sz w:val="14"/>
                <w:szCs w:val="14"/>
                <w:b w:val="1"/>
                <w:bCs w:val="1"/>
                <w:color w:val="00558C"/>
              </w:rPr>
              <w:t>Hope Katz</w:t>
            </w:r>
          </w:p>
        </w:tc>
        <w:tc>
          <w:tcPr>
            <w:tcW w:w="1780" w:type="dxa"/>
            <w:vAlign w:val="bottom"/>
          </w:tcPr>
          <w:p>
            <w:pPr>
              <w:jc w:val="center"/>
              <w:ind w:left="28"/>
              <w:spacing w:after="0"/>
              <w:rPr>
                <w:sz w:val="20"/>
                <w:szCs w:val="20"/>
                <w:color w:val="auto"/>
              </w:rPr>
            </w:pPr>
            <w:r>
              <w:rPr>
                <w:rFonts w:ascii="Arial" w:cs="Arial" w:eastAsia="Arial" w:hAnsi="Arial"/>
                <w:sz w:val="14"/>
                <w:szCs w:val="14"/>
                <w:color w:val="auto"/>
              </w:rPr>
              <w:t>$425,000</w:t>
            </w:r>
          </w:p>
        </w:tc>
        <w:tc>
          <w:tcPr>
            <w:tcW w:w="2540" w:type="dxa"/>
            <w:vAlign w:val="bottom"/>
          </w:tcPr>
          <w:p>
            <w:pPr>
              <w:jc w:val="center"/>
              <w:ind w:left="208"/>
              <w:spacing w:after="0"/>
              <w:rPr>
                <w:sz w:val="20"/>
                <w:szCs w:val="20"/>
                <w:color w:val="auto"/>
              </w:rPr>
            </w:pPr>
            <w:r>
              <w:rPr>
                <w:rFonts w:ascii="Arial" w:cs="Arial" w:eastAsia="Arial" w:hAnsi="Arial"/>
                <w:sz w:val="14"/>
                <w:szCs w:val="14"/>
                <w:color w:val="auto"/>
              </w:rPr>
              <w:t>75%</w:t>
            </w:r>
          </w:p>
        </w:tc>
        <w:tc>
          <w:tcPr>
            <w:tcW w:w="2720" w:type="dxa"/>
            <w:vAlign w:val="bottom"/>
          </w:tcPr>
          <w:p>
            <w:pPr>
              <w:jc w:val="right"/>
              <w:ind w:right="1028"/>
              <w:spacing w:after="0"/>
              <w:rPr>
                <w:sz w:val="20"/>
                <w:szCs w:val="20"/>
                <w:color w:val="auto"/>
              </w:rPr>
            </w:pPr>
            <w:r>
              <w:rPr>
                <w:rFonts w:ascii="Arial" w:cs="Arial" w:eastAsia="Arial" w:hAnsi="Arial"/>
                <w:sz w:val="14"/>
                <w:szCs w:val="14"/>
                <w:color w:val="auto"/>
              </w:rPr>
              <w:t>100%</w:t>
            </w:r>
          </w:p>
        </w:tc>
      </w:tr>
      <w:tr>
        <w:trPr>
          <w:trHeight w:val="97"/>
        </w:trPr>
        <w:tc>
          <w:tcPr>
            <w:tcW w:w="2040" w:type="dxa"/>
            <w:vAlign w:val="bottom"/>
            <w:tcBorders>
              <w:bottom w:val="single" w:sz="8" w:color="929292"/>
            </w:tcBorders>
          </w:tcPr>
          <w:p>
            <w:pPr>
              <w:spacing w:after="0"/>
              <w:rPr>
                <w:sz w:val="8"/>
                <w:szCs w:val="8"/>
                <w:color w:val="auto"/>
              </w:rPr>
            </w:pPr>
          </w:p>
        </w:tc>
        <w:tc>
          <w:tcPr>
            <w:tcW w:w="1780" w:type="dxa"/>
            <w:vAlign w:val="bottom"/>
            <w:tcBorders>
              <w:bottom w:val="single" w:sz="8" w:color="929292"/>
            </w:tcBorders>
          </w:tcPr>
          <w:p>
            <w:pPr>
              <w:spacing w:after="0"/>
              <w:rPr>
                <w:sz w:val="8"/>
                <w:szCs w:val="8"/>
                <w:color w:val="auto"/>
              </w:rPr>
            </w:pPr>
          </w:p>
        </w:tc>
        <w:tc>
          <w:tcPr>
            <w:tcW w:w="2540" w:type="dxa"/>
            <w:vAlign w:val="bottom"/>
            <w:tcBorders>
              <w:bottom w:val="single" w:sz="8" w:color="929292"/>
            </w:tcBorders>
          </w:tcPr>
          <w:p>
            <w:pPr>
              <w:spacing w:after="0"/>
              <w:rPr>
                <w:sz w:val="8"/>
                <w:szCs w:val="8"/>
                <w:color w:val="auto"/>
              </w:rPr>
            </w:pPr>
          </w:p>
        </w:tc>
        <w:tc>
          <w:tcPr>
            <w:tcW w:w="2720" w:type="dxa"/>
            <w:vAlign w:val="bottom"/>
            <w:tcBorders>
              <w:bottom w:val="single" w:sz="8" w:color="929292"/>
            </w:tcBorders>
          </w:tcPr>
          <w:p>
            <w:pPr>
              <w:spacing w:after="0"/>
              <w:rPr>
                <w:sz w:val="8"/>
                <w:szCs w:val="8"/>
                <w:color w:val="auto"/>
              </w:rPr>
            </w:pPr>
          </w:p>
        </w:tc>
      </w:tr>
    </w:tbl>
    <w:p>
      <w:pPr>
        <w:spacing w:after="0" w:line="234" w:lineRule="exact"/>
        <w:rPr>
          <w:sz w:val="20"/>
          <w:szCs w:val="20"/>
          <w:color w:val="auto"/>
        </w:rPr>
      </w:pPr>
    </w:p>
    <w:p>
      <w:pPr>
        <w:ind w:left="420" w:hanging="331"/>
        <w:spacing w:after="0" w:line="301" w:lineRule="auto"/>
        <w:tabs>
          <w:tab w:leader="none" w:pos="420" w:val="left"/>
        </w:tabs>
        <w:numPr>
          <w:ilvl w:val="0"/>
          <w:numId w:val="55"/>
        </w:numPr>
        <w:rPr>
          <w:rFonts w:ascii="Arial" w:cs="Arial" w:eastAsia="Arial" w:hAnsi="Arial"/>
          <w:sz w:val="14"/>
          <w:szCs w:val="14"/>
          <w:color w:val="auto"/>
          <w:highlight w:val="white"/>
        </w:rPr>
      </w:pPr>
      <w:r>
        <w:rPr>
          <w:rFonts w:ascii="Arial" w:cs="Arial" w:eastAsia="Arial" w:hAnsi="Arial"/>
          <w:sz w:val="14"/>
          <w:szCs w:val="14"/>
          <w:color w:val="auto"/>
        </w:rPr>
        <w:t>In 2024, Mr. Hussey’s base salary, target annual incentive opportunity and target long-term incentive opportunity was $950,000, 140% of salary, and 375% of salary, respectively.</w:t>
      </w:r>
    </w:p>
    <w:p>
      <w:pPr>
        <w:spacing w:after="0" w:line="1" w:lineRule="exact"/>
        <w:rPr>
          <w:rFonts w:ascii="Arial" w:cs="Arial" w:eastAsia="Arial" w:hAnsi="Arial"/>
          <w:sz w:val="14"/>
          <w:szCs w:val="14"/>
          <w:color w:val="auto"/>
          <w:highlight w:val="white"/>
        </w:rPr>
      </w:pPr>
    </w:p>
    <w:p>
      <w:pPr>
        <w:ind w:left="420" w:right="180" w:hanging="331"/>
        <w:spacing w:after="0" w:line="285" w:lineRule="auto"/>
        <w:tabs>
          <w:tab w:leader="none" w:pos="420" w:val="left"/>
        </w:tabs>
        <w:numPr>
          <w:ilvl w:val="0"/>
          <w:numId w:val="55"/>
        </w:numPr>
        <w:rPr>
          <w:rFonts w:ascii="Arial" w:cs="Arial" w:eastAsia="Arial" w:hAnsi="Arial"/>
          <w:sz w:val="14"/>
          <w:szCs w:val="14"/>
          <w:color w:val="auto"/>
          <w:highlight w:val="white"/>
        </w:rPr>
      </w:pPr>
      <w:r>
        <w:rPr>
          <w:rFonts w:ascii="Arial" w:cs="Arial" w:eastAsia="Arial" w:hAnsi="Arial"/>
          <w:sz w:val="14"/>
          <w:szCs w:val="14"/>
          <w:color w:val="auto"/>
        </w:rPr>
        <w:t>In 2024, Mr. Kelly’s base salary, target annual incentive opportunity and target long-term incentive opportunity was $600,000, 115% of salary and 220% of salary, respectively.</w:t>
      </w:r>
    </w:p>
    <w:p>
      <w:pPr>
        <w:spacing w:after="0" w:line="9" w:lineRule="exact"/>
        <w:rPr>
          <w:rFonts w:ascii="Arial" w:cs="Arial" w:eastAsia="Arial" w:hAnsi="Arial"/>
          <w:sz w:val="14"/>
          <w:szCs w:val="14"/>
          <w:color w:val="auto"/>
          <w:highlight w:val="white"/>
        </w:rPr>
      </w:pPr>
    </w:p>
    <w:p>
      <w:pPr>
        <w:ind w:left="420" w:right="80" w:hanging="331"/>
        <w:spacing w:after="0" w:line="305" w:lineRule="auto"/>
        <w:tabs>
          <w:tab w:leader="none" w:pos="420" w:val="left"/>
        </w:tabs>
        <w:numPr>
          <w:ilvl w:val="0"/>
          <w:numId w:val="55"/>
        </w:numPr>
        <w:rPr>
          <w:rFonts w:ascii="Arial" w:cs="Arial" w:eastAsia="Arial" w:hAnsi="Arial"/>
          <w:sz w:val="14"/>
          <w:szCs w:val="14"/>
          <w:color w:val="auto"/>
          <w:highlight w:val="white"/>
        </w:rPr>
      </w:pPr>
      <w:r>
        <w:rPr>
          <w:rFonts w:ascii="Arial" w:cs="Arial" w:eastAsia="Arial" w:hAnsi="Arial"/>
          <w:sz w:val="14"/>
          <w:szCs w:val="14"/>
          <w:color w:val="auto"/>
        </w:rPr>
        <w:t>In 2024, Mr. Dail’s base salary, target annual incentive opportunity and target long-term incentive opportunity was $675,000 (no change with 2025), 90% of salary, and 140% of salary, respectively.</w:t>
      </w:r>
    </w:p>
    <w:p>
      <w:pPr>
        <w:spacing w:after="0" w:line="22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increases in Messrs. Hussey, Kelly and Dail’s 2025 target compensation opportunities compared with 2024 reflect the individual performance of each executive in 2024, are intended to drive improved competitiveness by better aligning each executive’s total direct compensation with the total direct compensation received by similarly situated executives of the Company's peer group, and enhance the alignment of each executive's interests with the long-term interests of stockholders through an increase in long-term incentive opportunities. These compensation changes were reviewed with, and informed by input from, the Company’s independent compensation consultant.</w:t>
      </w:r>
    </w:p>
    <w:p>
      <w:pPr>
        <w:spacing w:after="0" w:line="110"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Effective January 1, 2025, Ms. Katz was appointed Executive Vice President and General Counsel in addition to her role as 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Annual Incentive Program</w:t>
      </w:r>
    </w:p>
    <w:p>
      <w:pPr>
        <w:spacing w:after="0" w:line="95"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Compensation Committee continues to believe that the NEOs should be critically focused on improving stockholder value by driving and executing on the growth strategy and delivering results against the annual operating plan. Therefore, the Compensation Committee selected Organic Revenues</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and Adjusted EBITDA Margin</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as the annual incentive financial performance metrics because they reflect Huron’s core operating performance and progress against its strategic objectives. These non-GAAP measures exclude items that are not indicative of ongoing operations, allowing for more meaningful period-to-period comparisons and clearer line of sight between management actions and performance outcomes. The Organic Revenues metric supports the Company’s focus on sustainable, internally generated growth, while the Adjusted EBITDA Margin metric reinforces disciplined cost management and profitability across the business. See Appendix A for additional information on these non-GAAP financial measures, including a reconciliation to the most directly comparable GAAP financial measure.</w:t>
      </w:r>
    </w:p>
    <w:p>
      <w:pPr>
        <w:spacing w:after="0" w:line="12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combination of the financial metrics and the enumerated strategic measures results in approximately 92% of the total annual incentive opportunity tied to metrics that use predefined quantitative goals. Performance against each metric is measured independently. Each performance metric is measured in a range of 0 to 200%, with threshold performance achieving a 50% payout. The minimum amount that could be paid is 10% of target, calculated as threshold payout of 50% for the lowest weighted component. Maximum payout represents 200% of target. The annual incentive program requires the</w:t>
      </w:r>
    </w:p>
    <w:p>
      <w:pPr>
        <w:spacing w:after="0" w:line="349" w:lineRule="exact"/>
        <w:rPr>
          <w:sz w:val="20"/>
          <w:szCs w:val="20"/>
          <w:color w:val="auto"/>
        </w:rPr>
      </w:pPr>
    </w:p>
    <w:p>
      <w:pPr>
        <w:ind w:right="140" w:firstLine="8"/>
        <w:spacing w:after="0" w:line="224" w:lineRule="auto"/>
        <w:tabs>
          <w:tab w:leader="none" w:pos="80" w:val="left"/>
        </w:tabs>
        <w:numPr>
          <w:ilvl w:val="0"/>
          <w:numId w:val="5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A for the definitions of organic revenues, adjusted EBITDA margin, and other non-GAAP financial measures included in this Proxy Statement, as well as their reconciliation to the most directly comparable GAAP financial measure.</w:t>
      </w:r>
    </w:p>
    <w:p>
      <w:pPr>
        <w:spacing w:after="0" w:line="32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42</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64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432" w:right="1419" w:bottom="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annual incentive payout to be capped at target if total shareholder return (TSR) is not positive for the year with no</w:t>
      </w:r>
    </w:p>
    <w:p>
      <w:pPr>
        <w:sectPr>
          <w:pgSz w:w="11900" w:h="16838" w:orient="portrait"/>
          <w:cols w:equalWidth="0" w:num="1">
            <w:col w:w="9080"/>
          </w:cols>
          <w:pgMar w:left="1400" w:top="432" w:right="1419" w:bottom="0" w:gutter="0" w:footer="0" w:header="0"/>
          <w:type w:val="continuous"/>
        </w:sectPr>
      </w:pPr>
    </w:p>
    <w:bookmarkStart w:id="46" w:name="page47"/>
    <w:bookmarkEnd w:id="46"/>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discretion to override; however, the cap was not triggered in 2025 as TSR was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7991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7991475"/>
                    </a:xfrm>
                    <a:prstGeom prst="rect">
                      <a:avLst/>
                    </a:prstGeom>
                    <a:noFill/>
                  </pic:spPr>
                </pic:pic>
              </a:graphicData>
            </a:graphic>
          </wp:anchor>
        </w:drawing>
      </w:r>
    </w:p>
    <w:p>
      <w:pPr>
        <w:spacing w:after="0" w:line="11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As a result of the strong performance achieved in 2025, the Compensation Committee approved a total payout of 102% of target for the 2025 annual incentive program. The final amount of such bonuses for each NEO are reported for 2025 in the “Non-Equity Incentive Plan Compensation” column of the Summary Compensation Table. Additional detail on the 2025 annual incentive goals and performance achieved follows.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2025 Annual Incentive Goals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shd w:val="clear" w:color="auto" w:fill="00558C"/>
          </w:tcPr>
          <w:p>
            <w:pPr>
              <w:spacing w:after="0"/>
              <w:rPr>
                <w:sz w:val="20"/>
                <w:szCs w:val="20"/>
                <w:color w:val="auto"/>
              </w:rPr>
            </w:pPr>
          </w:p>
        </w:tc>
        <w:tc>
          <w:tcPr>
            <w:tcW w:w="1400" w:type="dxa"/>
            <w:vAlign w:val="bottom"/>
            <w:shd w:val="clear" w:color="auto" w:fill="00558C"/>
          </w:tcPr>
          <w:p>
            <w:pPr>
              <w:spacing w:after="0"/>
              <w:rPr>
                <w:sz w:val="20"/>
                <w:szCs w:val="20"/>
                <w:color w:val="auto"/>
              </w:rPr>
            </w:pPr>
          </w:p>
        </w:tc>
        <w:tc>
          <w:tcPr>
            <w:tcW w:w="1300" w:type="dxa"/>
            <w:vAlign w:val="bottom"/>
            <w:tcBorders>
              <w:left w:val="single" w:sz="8" w:color="00558C"/>
              <w:right w:val="single" w:sz="8" w:color="00558C"/>
            </w:tcBorders>
            <w:shd w:val="clear" w:color="auto" w:fill="00558C"/>
          </w:tcPr>
          <w:p>
            <w:pPr>
              <w:spacing w:after="0"/>
              <w:rPr>
                <w:sz w:val="20"/>
                <w:szCs w:val="20"/>
                <w:color w:val="auto"/>
              </w:rPr>
            </w:pPr>
          </w:p>
        </w:tc>
        <w:tc>
          <w:tcPr>
            <w:tcW w:w="460" w:type="dxa"/>
            <w:vAlign w:val="bottom"/>
            <w:shd w:val="clear" w:color="auto" w:fill="00558C"/>
          </w:tcPr>
          <w:p>
            <w:pPr>
              <w:spacing w:after="0"/>
              <w:rPr>
                <w:sz w:val="20"/>
                <w:szCs w:val="20"/>
                <w:color w:val="auto"/>
              </w:rPr>
            </w:pPr>
          </w:p>
        </w:tc>
        <w:tc>
          <w:tcPr>
            <w:tcW w:w="1140" w:type="dxa"/>
            <w:vAlign w:val="bottom"/>
            <w:gridSpan w:val="2"/>
            <w:shd w:val="clear" w:color="auto" w:fill="00558C"/>
          </w:tcPr>
          <w:p>
            <w:pPr>
              <w:jc w:val="right"/>
              <w:ind w:right="146"/>
              <w:spacing w:after="0"/>
              <w:rPr>
                <w:sz w:val="20"/>
                <w:szCs w:val="20"/>
                <w:color w:val="auto"/>
              </w:rPr>
            </w:pPr>
            <w:r>
              <w:rPr>
                <w:rFonts w:ascii="Arial" w:cs="Arial" w:eastAsia="Arial" w:hAnsi="Arial"/>
                <w:sz w:val="14"/>
                <w:szCs w:val="14"/>
                <w:b w:val="1"/>
                <w:bCs w:val="1"/>
                <w:color w:val="FFFFFF"/>
              </w:rPr>
              <w:t>Achievement</w:t>
            </w:r>
          </w:p>
        </w:tc>
        <w:tc>
          <w:tcPr>
            <w:tcW w:w="360" w:type="dxa"/>
            <w:vAlign w:val="bottom"/>
            <w:shd w:val="clear" w:color="auto" w:fill="00558C"/>
          </w:tcPr>
          <w:p>
            <w:pPr>
              <w:spacing w:after="0"/>
              <w:rPr>
                <w:sz w:val="20"/>
                <w:szCs w:val="20"/>
                <w:color w:val="auto"/>
              </w:rPr>
            </w:pPr>
          </w:p>
        </w:tc>
        <w:tc>
          <w:tcPr>
            <w:tcW w:w="1280" w:type="dxa"/>
            <w:vAlign w:val="bottom"/>
            <w:tcBorders>
              <w:left w:val="single" w:sz="8" w:color="00558C"/>
            </w:tcBorders>
            <w:shd w:val="clear" w:color="auto" w:fill="00558C"/>
          </w:tcPr>
          <w:p>
            <w:pPr>
              <w:spacing w:after="0"/>
              <w:rPr>
                <w:sz w:val="20"/>
                <w:szCs w:val="20"/>
                <w:color w:val="auto"/>
              </w:rPr>
            </w:pPr>
          </w:p>
        </w:tc>
        <w:tc>
          <w:tcPr>
            <w:tcW w:w="40" w:type="dxa"/>
            <w:vAlign w:val="bottom"/>
            <w:shd w:val="clear" w:color="auto" w:fill="00558C"/>
          </w:tcPr>
          <w:p>
            <w:pPr>
              <w:spacing w:after="0"/>
              <w:rPr>
                <w:sz w:val="20"/>
                <w:szCs w:val="20"/>
                <w:color w:val="auto"/>
              </w:rPr>
            </w:pPr>
          </w:p>
        </w:tc>
        <w:tc>
          <w:tcPr>
            <w:tcW w:w="1080" w:type="dxa"/>
            <w:vAlign w:val="bottom"/>
            <w:vMerge w:val="restart"/>
            <w:shd w:val="clear" w:color="auto" w:fill="00558C"/>
          </w:tcPr>
          <w:p>
            <w:pPr>
              <w:jc w:val="center"/>
              <w:ind w:right="28"/>
              <w:spacing w:after="0"/>
              <w:rPr>
                <w:sz w:val="20"/>
                <w:szCs w:val="20"/>
                <w:color w:val="auto"/>
              </w:rPr>
            </w:pPr>
            <w:r>
              <w:rPr>
                <w:rFonts w:ascii="Arial" w:cs="Arial" w:eastAsia="Arial" w:hAnsi="Arial"/>
                <w:sz w:val="14"/>
                <w:szCs w:val="14"/>
                <w:b w:val="1"/>
                <w:bCs w:val="1"/>
                <w:color w:val="FFFFFF"/>
              </w:rPr>
              <w:t>Payout % of</w:t>
            </w:r>
          </w:p>
        </w:tc>
        <w:tc>
          <w:tcPr>
            <w:tcW w:w="0" w:type="dxa"/>
            <w:vAlign w:val="bottom"/>
          </w:tcPr>
          <w:p>
            <w:pPr>
              <w:spacing w:after="0"/>
              <w:rPr>
                <w:sz w:val="1"/>
                <w:szCs w:val="1"/>
                <w:color w:val="auto"/>
              </w:rPr>
            </w:pPr>
          </w:p>
        </w:tc>
      </w:tr>
      <w:tr>
        <w:trPr>
          <w:trHeight w:val="29"/>
        </w:trPr>
        <w:tc>
          <w:tcPr>
            <w:tcW w:w="200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FFFFFF"/>
              </w:rPr>
              <w:t>Performance Measure</w:t>
            </w:r>
          </w:p>
        </w:tc>
        <w:tc>
          <w:tcPr>
            <w:tcW w:w="1400" w:type="dxa"/>
            <w:vAlign w:val="bottom"/>
            <w:vMerge w:val="restart"/>
            <w:shd w:val="clear" w:color="auto" w:fill="00558C"/>
          </w:tcPr>
          <w:p>
            <w:pPr>
              <w:jc w:val="right"/>
              <w:ind w:right="328"/>
              <w:spacing w:after="0"/>
              <w:rPr>
                <w:sz w:val="20"/>
                <w:szCs w:val="20"/>
                <w:color w:val="auto"/>
              </w:rPr>
            </w:pPr>
            <w:r>
              <w:rPr>
                <w:rFonts w:ascii="Arial" w:cs="Arial" w:eastAsia="Arial" w:hAnsi="Arial"/>
                <w:sz w:val="14"/>
                <w:szCs w:val="14"/>
                <w:b w:val="1"/>
                <w:bCs w:val="1"/>
                <w:color w:val="FFFFFF"/>
              </w:rPr>
              <w:t>Weighting</w:t>
            </w:r>
          </w:p>
        </w:tc>
        <w:tc>
          <w:tcPr>
            <w:tcW w:w="1760" w:type="dxa"/>
            <w:vAlign w:val="bottom"/>
            <w:tcBorders>
              <w:left w:val="single" w:sz="8" w:color="00558C"/>
            </w:tcBorders>
            <w:gridSpan w:val="2"/>
            <w:vMerge w:val="restart"/>
            <w:shd w:val="clear" w:color="auto" w:fill="00558C"/>
          </w:tcPr>
          <w:p>
            <w:pPr>
              <w:ind w:left="420"/>
              <w:spacing w:after="0"/>
              <w:rPr>
                <w:sz w:val="20"/>
                <w:szCs w:val="20"/>
                <w:color w:val="auto"/>
              </w:rPr>
            </w:pPr>
            <w:r>
              <w:rPr>
                <w:rFonts w:ascii="Arial" w:cs="Arial" w:eastAsia="Arial" w:hAnsi="Arial"/>
                <w:sz w:val="14"/>
                <w:szCs w:val="14"/>
                <w:b w:val="1"/>
                <w:bCs w:val="1"/>
                <w:color w:val="FFFFFF"/>
              </w:rPr>
              <w:t>Threshold</w:t>
            </w:r>
          </w:p>
        </w:tc>
        <w:tc>
          <w:tcPr>
            <w:tcW w:w="1140" w:type="dxa"/>
            <w:vAlign w:val="bottom"/>
            <w:gridSpan w:val="2"/>
            <w:vMerge w:val="restart"/>
            <w:shd w:val="clear" w:color="auto" w:fill="00558C"/>
          </w:tcPr>
          <w:p>
            <w:pPr>
              <w:jc w:val="right"/>
              <w:ind w:right="366"/>
              <w:spacing w:after="0"/>
              <w:rPr>
                <w:sz w:val="20"/>
                <w:szCs w:val="20"/>
                <w:color w:val="auto"/>
              </w:rPr>
            </w:pPr>
            <w:r>
              <w:rPr>
                <w:rFonts w:ascii="Arial" w:cs="Arial" w:eastAsia="Arial" w:hAnsi="Arial"/>
                <w:sz w:val="14"/>
                <w:szCs w:val="14"/>
                <w:b w:val="1"/>
                <w:bCs w:val="1"/>
                <w:color w:val="FFFFFF"/>
              </w:rPr>
              <w:t>Target</w:t>
            </w:r>
          </w:p>
        </w:tc>
        <w:tc>
          <w:tcPr>
            <w:tcW w:w="360" w:type="dxa"/>
            <w:vAlign w:val="bottom"/>
            <w:shd w:val="clear" w:color="auto" w:fill="00558C"/>
          </w:tcPr>
          <w:p>
            <w:pPr>
              <w:spacing w:after="0"/>
              <w:rPr>
                <w:sz w:val="2"/>
                <w:szCs w:val="2"/>
                <w:color w:val="auto"/>
              </w:rPr>
            </w:pPr>
          </w:p>
        </w:tc>
        <w:tc>
          <w:tcPr>
            <w:tcW w:w="1320" w:type="dxa"/>
            <w:vAlign w:val="bottom"/>
            <w:tcBorders>
              <w:left w:val="single" w:sz="8" w:color="00558C"/>
            </w:tcBorders>
            <w:gridSpan w:val="2"/>
            <w:vMerge w:val="restart"/>
            <w:shd w:val="clear" w:color="auto" w:fill="00558C"/>
          </w:tcPr>
          <w:p>
            <w:pPr>
              <w:ind w:left="180"/>
              <w:spacing w:after="0"/>
              <w:rPr>
                <w:sz w:val="20"/>
                <w:szCs w:val="20"/>
                <w:color w:val="auto"/>
              </w:rPr>
            </w:pPr>
            <w:r>
              <w:rPr>
                <w:rFonts w:ascii="Arial" w:cs="Arial" w:eastAsia="Arial" w:hAnsi="Arial"/>
                <w:sz w:val="14"/>
                <w:szCs w:val="14"/>
                <w:b w:val="1"/>
                <w:bCs w:val="1"/>
                <w:color w:val="FFFFFF"/>
              </w:rPr>
              <w:t>Maximum</w:t>
            </w:r>
          </w:p>
        </w:tc>
        <w:tc>
          <w:tcPr>
            <w:tcW w:w="1080" w:type="dxa"/>
            <w:vAlign w:val="bottom"/>
            <w:vMerge w:val="continue"/>
            <w:shd w:val="clear" w:color="auto" w:fill="00558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0" w:type="dxa"/>
            <w:vAlign w:val="bottom"/>
            <w:vMerge w:val="continue"/>
            <w:shd w:val="clear" w:color="auto" w:fill="00558C"/>
          </w:tcPr>
          <w:p>
            <w:pPr>
              <w:spacing w:after="0"/>
              <w:rPr>
                <w:sz w:val="18"/>
                <w:szCs w:val="18"/>
                <w:color w:val="auto"/>
              </w:rPr>
            </w:pPr>
          </w:p>
        </w:tc>
        <w:tc>
          <w:tcPr>
            <w:tcW w:w="1400" w:type="dxa"/>
            <w:vAlign w:val="bottom"/>
            <w:vMerge w:val="continue"/>
            <w:shd w:val="clear" w:color="auto" w:fill="00558C"/>
          </w:tcPr>
          <w:p>
            <w:pPr>
              <w:spacing w:after="0"/>
              <w:rPr>
                <w:sz w:val="18"/>
                <w:szCs w:val="18"/>
                <w:color w:val="auto"/>
              </w:rPr>
            </w:pPr>
          </w:p>
        </w:tc>
        <w:tc>
          <w:tcPr>
            <w:tcW w:w="1760" w:type="dxa"/>
            <w:vAlign w:val="bottom"/>
            <w:tcBorders>
              <w:left w:val="single" w:sz="8" w:color="00558C"/>
            </w:tcBorders>
            <w:gridSpan w:val="2"/>
            <w:vMerge w:val="continue"/>
            <w:shd w:val="clear" w:color="auto" w:fill="00558C"/>
          </w:tcPr>
          <w:p>
            <w:pPr>
              <w:spacing w:after="0"/>
              <w:rPr>
                <w:sz w:val="18"/>
                <w:szCs w:val="18"/>
                <w:color w:val="auto"/>
              </w:rPr>
            </w:pPr>
          </w:p>
        </w:tc>
        <w:tc>
          <w:tcPr>
            <w:tcW w:w="1140" w:type="dxa"/>
            <w:vAlign w:val="bottom"/>
            <w:gridSpan w:val="2"/>
            <w:vMerge w:val="continue"/>
            <w:shd w:val="clear" w:color="auto" w:fill="00558C"/>
          </w:tcPr>
          <w:p>
            <w:pPr>
              <w:spacing w:after="0"/>
              <w:rPr>
                <w:sz w:val="18"/>
                <w:szCs w:val="18"/>
                <w:color w:val="auto"/>
              </w:rPr>
            </w:pPr>
          </w:p>
        </w:tc>
        <w:tc>
          <w:tcPr>
            <w:tcW w:w="360" w:type="dxa"/>
            <w:vAlign w:val="bottom"/>
            <w:shd w:val="clear" w:color="auto" w:fill="00558C"/>
          </w:tcPr>
          <w:p>
            <w:pPr>
              <w:spacing w:after="0"/>
              <w:rPr>
                <w:sz w:val="18"/>
                <w:szCs w:val="18"/>
                <w:color w:val="auto"/>
              </w:rPr>
            </w:pPr>
          </w:p>
        </w:tc>
        <w:tc>
          <w:tcPr>
            <w:tcW w:w="1320" w:type="dxa"/>
            <w:vAlign w:val="bottom"/>
            <w:tcBorders>
              <w:left w:val="single" w:sz="8" w:color="00558C"/>
            </w:tcBorders>
            <w:gridSpan w:val="2"/>
            <w:vMerge w:val="continue"/>
            <w:shd w:val="clear" w:color="auto" w:fill="00558C"/>
          </w:tcPr>
          <w:p>
            <w:pPr>
              <w:spacing w:after="0"/>
              <w:rPr>
                <w:sz w:val="18"/>
                <w:szCs w:val="18"/>
                <w:color w:val="auto"/>
              </w:rPr>
            </w:pPr>
          </w:p>
        </w:tc>
        <w:tc>
          <w:tcPr>
            <w:tcW w:w="1080" w:type="dxa"/>
            <w:vAlign w:val="bottom"/>
            <w:shd w:val="clear" w:color="auto" w:fill="00558C"/>
          </w:tcPr>
          <w:p>
            <w:pPr>
              <w:jc w:val="center"/>
              <w:ind w:right="8"/>
              <w:spacing w:after="0"/>
              <w:rPr>
                <w:sz w:val="20"/>
                <w:szCs w:val="20"/>
                <w:color w:val="auto"/>
              </w:rPr>
            </w:pPr>
            <w:r>
              <w:rPr>
                <w:rFonts w:ascii="Arial" w:cs="Arial" w:eastAsia="Arial" w:hAnsi="Arial"/>
                <w:sz w:val="14"/>
                <w:szCs w:val="14"/>
                <w:b w:val="1"/>
                <w:bCs w:val="1"/>
                <w:color w:val="FFFFFF"/>
              </w:rPr>
              <w:t>Target</w:t>
            </w:r>
          </w:p>
        </w:tc>
        <w:tc>
          <w:tcPr>
            <w:tcW w:w="0" w:type="dxa"/>
            <w:vAlign w:val="bottom"/>
          </w:tcPr>
          <w:p>
            <w:pPr>
              <w:spacing w:after="0"/>
              <w:rPr>
                <w:sz w:val="1"/>
                <w:szCs w:val="1"/>
                <w:color w:val="auto"/>
              </w:rPr>
            </w:pPr>
          </w:p>
        </w:tc>
      </w:tr>
      <w:tr>
        <w:trPr>
          <w:trHeight w:val="70"/>
        </w:trPr>
        <w:tc>
          <w:tcPr>
            <w:tcW w:w="2000" w:type="dxa"/>
            <w:vAlign w:val="bottom"/>
            <w:shd w:val="clear" w:color="auto" w:fill="00558C"/>
          </w:tcPr>
          <w:p>
            <w:pPr>
              <w:spacing w:after="0"/>
              <w:rPr>
                <w:sz w:val="6"/>
                <w:szCs w:val="6"/>
                <w:color w:val="auto"/>
              </w:rPr>
            </w:pPr>
          </w:p>
        </w:tc>
        <w:tc>
          <w:tcPr>
            <w:tcW w:w="1400" w:type="dxa"/>
            <w:vAlign w:val="bottom"/>
            <w:shd w:val="clear" w:color="auto" w:fill="00558C"/>
          </w:tcPr>
          <w:p>
            <w:pPr>
              <w:spacing w:after="0"/>
              <w:rPr>
                <w:sz w:val="6"/>
                <w:szCs w:val="6"/>
                <w:color w:val="auto"/>
              </w:rPr>
            </w:pPr>
          </w:p>
        </w:tc>
        <w:tc>
          <w:tcPr>
            <w:tcW w:w="1300" w:type="dxa"/>
            <w:vAlign w:val="bottom"/>
            <w:tcBorders>
              <w:left w:val="single" w:sz="8" w:color="00558C"/>
              <w:right w:val="single" w:sz="8" w:color="00558C"/>
            </w:tcBorders>
            <w:shd w:val="clear" w:color="auto" w:fill="00558C"/>
          </w:tcPr>
          <w:p>
            <w:pPr>
              <w:spacing w:after="0"/>
              <w:rPr>
                <w:sz w:val="6"/>
                <w:szCs w:val="6"/>
                <w:color w:val="auto"/>
              </w:rPr>
            </w:pPr>
          </w:p>
        </w:tc>
        <w:tc>
          <w:tcPr>
            <w:tcW w:w="460" w:type="dxa"/>
            <w:vAlign w:val="bottom"/>
            <w:shd w:val="clear" w:color="auto" w:fill="00558C"/>
          </w:tcPr>
          <w:p>
            <w:pPr>
              <w:spacing w:after="0"/>
              <w:rPr>
                <w:sz w:val="6"/>
                <w:szCs w:val="6"/>
                <w:color w:val="auto"/>
              </w:rPr>
            </w:pPr>
          </w:p>
        </w:tc>
        <w:tc>
          <w:tcPr>
            <w:tcW w:w="560" w:type="dxa"/>
            <w:vAlign w:val="bottom"/>
            <w:tcBorders>
              <w:right w:val="single" w:sz="8" w:color="00558C"/>
            </w:tcBorders>
            <w:shd w:val="clear" w:color="auto" w:fill="00558C"/>
          </w:tcPr>
          <w:p>
            <w:pPr>
              <w:spacing w:after="0"/>
              <w:rPr>
                <w:sz w:val="6"/>
                <w:szCs w:val="6"/>
                <w:color w:val="auto"/>
              </w:rPr>
            </w:pPr>
          </w:p>
        </w:tc>
        <w:tc>
          <w:tcPr>
            <w:tcW w:w="940" w:type="dxa"/>
            <w:vAlign w:val="bottom"/>
            <w:gridSpan w:val="2"/>
            <w:shd w:val="clear" w:color="auto" w:fill="00558C"/>
          </w:tcPr>
          <w:p>
            <w:pPr>
              <w:spacing w:after="0"/>
              <w:rPr>
                <w:sz w:val="6"/>
                <w:szCs w:val="6"/>
                <w:color w:val="auto"/>
              </w:rPr>
            </w:pPr>
          </w:p>
        </w:tc>
        <w:tc>
          <w:tcPr>
            <w:tcW w:w="1280" w:type="dxa"/>
            <w:vAlign w:val="bottom"/>
            <w:tcBorders>
              <w:left w:val="single" w:sz="8" w:color="00558C"/>
            </w:tcBorders>
            <w:shd w:val="clear" w:color="auto" w:fill="00558C"/>
          </w:tcPr>
          <w:p>
            <w:pPr>
              <w:spacing w:after="0"/>
              <w:rPr>
                <w:sz w:val="6"/>
                <w:szCs w:val="6"/>
                <w:color w:val="auto"/>
              </w:rPr>
            </w:pPr>
          </w:p>
        </w:tc>
        <w:tc>
          <w:tcPr>
            <w:tcW w:w="40" w:type="dxa"/>
            <w:vAlign w:val="bottom"/>
            <w:shd w:val="clear" w:color="auto" w:fill="00558C"/>
          </w:tcPr>
          <w:p>
            <w:pPr>
              <w:spacing w:after="0"/>
              <w:rPr>
                <w:sz w:val="6"/>
                <w:szCs w:val="6"/>
                <w:color w:val="auto"/>
              </w:rPr>
            </w:pPr>
          </w:p>
        </w:tc>
        <w:tc>
          <w:tcPr>
            <w:tcW w:w="1080" w:type="dxa"/>
            <w:vAlign w:val="bottom"/>
            <w:shd w:val="clear" w:color="auto" w:fill="00558C"/>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00" w:type="dxa"/>
            <w:vAlign w:val="bottom"/>
            <w:shd w:val="clear" w:color="auto" w:fill="F2F3F2"/>
          </w:tcPr>
          <w:p>
            <w:pPr>
              <w:spacing w:after="0"/>
              <w:rPr>
                <w:sz w:val="7"/>
                <w:szCs w:val="7"/>
                <w:color w:val="auto"/>
              </w:rPr>
            </w:pPr>
          </w:p>
        </w:tc>
        <w:tc>
          <w:tcPr>
            <w:tcW w:w="1400" w:type="dxa"/>
            <w:vAlign w:val="bottom"/>
            <w:shd w:val="clear" w:color="auto" w:fill="F2F3F2"/>
          </w:tcPr>
          <w:p>
            <w:pPr>
              <w:spacing w:after="0"/>
              <w:rPr>
                <w:sz w:val="7"/>
                <w:szCs w:val="7"/>
                <w:color w:val="auto"/>
              </w:rPr>
            </w:pPr>
          </w:p>
        </w:tc>
        <w:tc>
          <w:tcPr>
            <w:tcW w:w="1300" w:type="dxa"/>
            <w:vAlign w:val="bottom"/>
            <w:tcBorders>
              <w:left w:val="single" w:sz="8" w:color="F2F3F2"/>
              <w:right w:val="single" w:sz="8" w:color="F2F3F2"/>
            </w:tcBorders>
            <w:shd w:val="clear" w:color="auto" w:fill="F2F3F2"/>
          </w:tcPr>
          <w:p>
            <w:pPr>
              <w:spacing w:after="0"/>
              <w:rPr>
                <w:sz w:val="7"/>
                <w:szCs w:val="7"/>
                <w:color w:val="auto"/>
              </w:rPr>
            </w:pPr>
          </w:p>
        </w:tc>
        <w:tc>
          <w:tcPr>
            <w:tcW w:w="460" w:type="dxa"/>
            <w:vAlign w:val="bottom"/>
            <w:shd w:val="clear" w:color="auto" w:fill="F2F3F2"/>
          </w:tcPr>
          <w:p>
            <w:pPr>
              <w:spacing w:after="0"/>
              <w:rPr>
                <w:sz w:val="7"/>
                <w:szCs w:val="7"/>
                <w:color w:val="auto"/>
              </w:rPr>
            </w:pPr>
          </w:p>
        </w:tc>
        <w:tc>
          <w:tcPr>
            <w:tcW w:w="560" w:type="dxa"/>
            <w:vAlign w:val="bottom"/>
            <w:tcBorders>
              <w:right w:val="single" w:sz="8" w:color="F2F3F2"/>
            </w:tcBorders>
            <w:shd w:val="clear" w:color="auto" w:fill="F2F3F2"/>
          </w:tcPr>
          <w:p>
            <w:pPr>
              <w:spacing w:after="0"/>
              <w:rPr>
                <w:sz w:val="7"/>
                <w:szCs w:val="7"/>
                <w:color w:val="auto"/>
              </w:rPr>
            </w:pPr>
          </w:p>
        </w:tc>
        <w:tc>
          <w:tcPr>
            <w:tcW w:w="940" w:type="dxa"/>
            <w:vAlign w:val="bottom"/>
            <w:gridSpan w:val="2"/>
            <w:shd w:val="clear" w:color="auto" w:fill="F2F3F2"/>
          </w:tcPr>
          <w:p>
            <w:pPr>
              <w:spacing w:after="0"/>
              <w:rPr>
                <w:sz w:val="7"/>
                <w:szCs w:val="7"/>
                <w:color w:val="auto"/>
              </w:rPr>
            </w:pPr>
          </w:p>
        </w:tc>
        <w:tc>
          <w:tcPr>
            <w:tcW w:w="1280" w:type="dxa"/>
            <w:vAlign w:val="bottom"/>
            <w:tcBorders>
              <w:left w:val="single" w:sz="8" w:color="F2F3F2"/>
            </w:tcBorders>
            <w:shd w:val="clear" w:color="auto" w:fill="F2F3F2"/>
          </w:tcPr>
          <w:p>
            <w:pPr>
              <w:spacing w:after="0"/>
              <w:rPr>
                <w:sz w:val="7"/>
                <w:szCs w:val="7"/>
                <w:color w:val="auto"/>
              </w:rPr>
            </w:pPr>
          </w:p>
        </w:tc>
        <w:tc>
          <w:tcPr>
            <w:tcW w:w="40" w:type="dxa"/>
            <w:vAlign w:val="bottom"/>
            <w:shd w:val="clear" w:color="auto" w:fill="F2F3F2"/>
          </w:tcPr>
          <w:p>
            <w:pPr>
              <w:spacing w:after="0"/>
              <w:rPr>
                <w:sz w:val="7"/>
                <w:szCs w:val="7"/>
                <w:color w:val="auto"/>
              </w:rPr>
            </w:pPr>
          </w:p>
        </w:tc>
        <w:tc>
          <w:tcPr>
            <w:tcW w:w="1080" w:type="dxa"/>
            <w:vAlign w:val="bottom"/>
            <w:shd w:val="clear" w:color="auto" w:fill="6AAA37"/>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F2F3F2"/>
          </w:tcPr>
          <w:p>
            <w:pPr>
              <w:spacing w:after="0"/>
              <w:rPr>
                <w:sz w:val="15"/>
                <w:szCs w:val="15"/>
                <w:color w:val="auto"/>
              </w:rPr>
            </w:pPr>
          </w:p>
        </w:tc>
        <w:tc>
          <w:tcPr>
            <w:tcW w:w="1400" w:type="dxa"/>
            <w:vAlign w:val="bottom"/>
            <w:shd w:val="clear" w:color="auto" w:fill="F2F3F2"/>
          </w:tcPr>
          <w:p>
            <w:pPr>
              <w:spacing w:after="0"/>
              <w:rPr>
                <w:sz w:val="15"/>
                <w:szCs w:val="15"/>
                <w:color w:val="auto"/>
              </w:rPr>
            </w:pPr>
          </w:p>
        </w:tc>
        <w:tc>
          <w:tcPr>
            <w:tcW w:w="1300" w:type="dxa"/>
            <w:vAlign w:val="bottom"/>
            <w:tcBorders>
              <w:left w:val="single" w:sz="8" w:color="F2F3F2"/>
              <w:right w:val="single" w:sz="8" w:color="F2F3F2"/>
            </w:tcBorders>
            <w:shd w:val="clear" w:color="auto" w:fill="F2F3F2"/>
          </w:tcPr>
          <w:p>
            <w:pPr>
              <w:spacing w:after="0"/>
              <w:rPr>
                <w:sz w:val="15"/>
                <w:szCs w:val="15"/>
                <w:color w:val="auto"/>
              </w:rPr>
            </w:pPr>
          </w:p>
        </w:tc>
        <w:tc>
          <w:tcPr>
            <w:tcW w:w="460" w:type="dxa"/>
            <w:vAlign w:val="bottom"/>
            <w:shd w:val="clear" w:color="auto" w:fill="F2F3F2"/>
          </w:tcPr>
          <w:p>
            <w:pPr>
              <w:spacing w:after="0"/>
              <w:rPr>
                <w:sz w:val="15"/>
                <w:szCs w:val="15"/>
                <w:color w:val="auto"/>
              </w:rPr>
            </w:pPr>
          </w:p>
        </w:tc>
        <w:tc>
          <w:tcPr>
            <w:tcW w:w="1500" w:type="dxa"/>
            <w:vAlign w:val="bottom"/>
            <w:gridSpan w:val="3"/>
            <w:shd w:val="clear" w:color="auto" w:fill="6AAA37"/>
          </w:tcPr>
          <w:p>
            <w:pPr>
              <w:jc w:val="center"/>
              <w:spacing w:after="0"/>
              <w:rPr>
                <w:sz w:val="20"/>
                <w:szCs w:val="20"/>
                <w:color w:val="auto"/>
              </w:rPr>
            </w:pPr>
            <w:r>
              <w:rPr>
                <w:rFonts w:ascii="Arial" w:cs="Arial" w:eastAsia="Arial" w:hAnsi="Arial"/>
                <w:sz w:val="11"/>
                <w:szCs w:val="11"/>
                <w:color w:val="FFFFFF"/>
                <w:w w:val="98"/>
              </w:rPr>
              <w:t>Actual Performance $1,627B</w:t>
            </w:r>
          </w:p>
        </w:tc>
        <w:tc>
          <w:tcPr>
            <w:tcW w:w="1280" w:type="dxa"/>
            <w:vAlign w:val="bottom"/>
            <w:tcBorders>
              <w:left w:val="single" w:sz="8" w:color="F2F3F2"/>
            </w:tcBorders>
            <w:shd w:val="clear" w:color="auto" w:fill="F2F3F2"/>
          </w:tcPr>
          <w:p>
            <w:pPr>
              <w:spacing w:after="0"/>
              <w:rPr>
                <w:sz w:val="15"/>
                <w:szCs w:val="15"/>
                <w:color w:val="auto"/>
              </w:rPr>
            </w:pPr>
          </w:p>
        </w:tc>
        <w:tc>
          <w:tcPr>
            <w:tcW w:w="40" w:type="dxa"/>
            <w:vAlign w:val="bottom"/>
            <w:shd w:val="clear" w:color="auto" w:fill="F2F3F2"/>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Organic Revenues</w:t>
            </w:r>
            <w:r>
              <w:rPr>
                <w:rFonts w:ascii="Arial" w:cs="Arial" w:eastAsia="Arial" w:hAnsi="Arial"/>
                <w:sz w:val="18"/>
                <w:szCs w:val="18"/>
                <w:b w:val="1"/>
                <w:bCs w:val="1"/>
                <w:color w:val="auto"/>
                <w:vertAlign w:val="superscript"/>
              </w:rPr>
              <w:t>8</w:t>
            </w:r>
          </w:p>
        </w:tc>
        <w:tc>
          <w:tcPr>
            <w:tcW w:w="1400" w:type="dxa"/>
            <w:vAlign w:val="bottom"/>
            <w:vMerge w:val="restart"/>
            <w:shd w:val="clear" w:color="auto" w:fill="F2F3F2"/>
          </w:tcPr>
          <w:p>
            <w:pPr>
              <w:jc w:val="right"/>
              <w:ind w:right="468"/>
              <w:spacing w:after="0"/>
              <w:rPr>
                <w:sz w:val="20"/>
                <w:szCs w:val="20"/>
                <w:color w:val="auto"/>
              </w:rPr>
            </w:pPr>
            <w:r>
              <w:rPr>
                <w:rFonts w:ascii="Arial" w:cs="Arial" w:eastAsia="Arial" w:hAnsi="Arial"/>
                <w:sz w:val="14"/>
                <w:szCs w:val="14"/>
                <w:b w:val="1"/>
                <w:bCs w:val="1"/>
                <w:color w:val="6AAA37"/>
              </w:rPr>
              <w:t>40%</w:t>
            </w:r>
          </w:p>
        </w:tc>
        <w:tc>
          <w:tcPr>
            <w:tcW w:w="1300" w:type="dxa"/>
            <w:vAlign w:val="bottom"/>
            <w:tcBorders>
              <w:left w:val="single" w:sz="8" w:color="F2F3F2"/>
              <w:right w:val="single" w:sz="8" w:color="F2F3F2"/>
            </w:tcBorders>
            <w:shd w:val="clear" w:color="auto" w:fill="F2F3F2"/>
          </w:tcPr>
          <w:p>
            <w:pPr>
              <w:spacing w:after="0"/>
              <w:rPr>
                <w:sz w:val="9"/>
                <w:szCs w:val="9"/>
                <w:color w:val="auto"/>
              </w:rPr>
            </w:pPr>
          </w:p>
        </w:tc>
        <w:tc>
          <w:tcPr>
            <w:tcW w:w="460" w:type="dxa"/>
            <w:vAlign w:val="bottom"/>
            <w:shd w:val="clear" w:color="auto" w:fill="F2F3F2"/>
          </w:tcPr>
          <w:p>
            <w:pPr>
              <w:spacing w:after="0"/>
              <w:rPr>
                <w:sz w:val="9"/>
                <w:szCs w:val="9"/>
                <w:color w:val="auto"/>
              </w:rPr>
            </w:pPr>
          </w:p>
        </w:tc>
        <w:tc>
          <w:tcPr>
            <w:tcW w:w="560" w:type="dxa"/>
            <w:vAlign w:val="bottom"/>
            <w:tcBorders>
              <w:right w:val="single" w:sz="8" w:color="F2F3F2"/>
            </w:tcBorders>
            <w:shd w:val="clear" w:color="auto" w:fill="F2F3F2"/>
          </w:tcPr>
          <w:p>
            <w:pPr>
              <w:spacing w:after="0"/>
              <w:rPr>
                <w:sz w:val="9"/>
                <w:szCs w:val="9"/>
                <w:color w:val="auto"/>
              </w:rPr>
            </w:pPr>
          </w:p>
        </w:tc>
        <w:tc>
          <w:tcPr>
            <w:tcW w:w="580" w:type="dxa"/>
            <w:vAlign w:val="bottom"/>
            <w:shd w:val="clear" w:color="auto" w:fill="F2F3F2"/>
          </w:tcPr>
          <w:p>
            <w:pPr>
              <w:jc w:val="right"/>
              <w:ind w:right="446"/>
              <w:spacing w:after="0" w:line="108" w:lineRule="exact"/>
              <w:rPr>
                <w:sz w:val="20"/>
                <w:szCs w:val="20"/>
                <w:color w:val="auto"/>
              </w:rPr>
            </w:pPr>
            <w:r>
              <w:rPr>
                <w:rFonts w:ascii="Arial" w:cs="Arial" w:eastAsia="Arial" w:hAnsi="Arial"/>
                <w:sz w:val="11"/>
                <w:szCs w:val="11"/>
                <w:color w:val="6AAA37"/>
                <w:w w:val="97"/>
              </w:rPr>
              <w:t>q</w:t>
            </w:r>
          </w:p>
        </w:tc>
        <w:tc>
          <w:tcPr>
            <w:tcW w:w="360" w:type="dxa"/>
            <w:vAlign w:val="bottom"/>
            <w:shd w:val="clear" w:color="auto" w:fill="F2F3F2"/>
          </w:tcPr>
          <w:p>
            <w:pPr>
              <w:spacing w:after="0"/>
              <w:rPr>
                <w:sz w:val="9"/>
                <w:szCs w:val="9"/>
                <w:color w:val="auto"/>
              </w:rPr>
            </w:pPr>
          </w:p>
        </w:tc>
        <w:tc>
          <w:tcPr>
            <w:tcW w:w="1280" w:type="dxa"/>
            <w:vAlign w:val="bottom"/>
            <w:tcBorders>
              <w:left w:val="single" w:sz="8" w:color="F2F3F2"/>
            </w:tcBorders>
            <w:shd w:val="clear" w:color="auto" w:fill="F2F3F2"/>
          </w:tcPr>
          <w:p>
            <w:pPr>
              <w:spacing w:after="0"/>
              <w:rPr>
                <w:sz w:val="9"/>
                <w:szCs w:val="9"/>
                <w:color w:val="auto"/>
              </w:rPr>
            </w:pPr>
          </w:p>
        </w:tc>
        <w:tc>
          <w:tcPr>
            <w:tcW w:w="40" w:type="dxa"/>
            <w:vAlign w:val="bottom"/>
            <w:shd w:val="clear" w:color="auto" w:fill="F2F3F2"/>
          </w:tcPr>
          <w:p>
            <w:pPr>
              <w:spacing w:after="0"/>
              <w:rPr>
                <w:sz w:val="9"/>
                <w:szCs w:val="9"/>
                <w:color w:val="auto"/>
              </w:rPr>
            </w:pPr>
          </w:p>
        </w:tc>
        <w:tc>
          <w:tcPr>
            <w:tcW w:w="1080" w:type="dxa"/>
            <w:vAlign w:val="bottom"/>
            <w:vMerge w:val="restart"/>
            <w:shd w:val="clear" w:color="auto" w:fill="6AAA37"/>
          </w:tcPr>
          <w:p>
            <w:pPr>
              <w:jc w:val="center"/>
              <w:spacing w:after="0"/>
              <w:rPr>
                <w:sz w:val="20"/>
                <w:szCs w:val="20"/>
                <w:color w:val="auto"/>
              </w:rPr>
            </w:pPr>
            <w:r>
              <w:rPr>
                <w:rFonts w:ascii="Arial" w:cs="Arial" w:eastAsia="Arial" w:hAnsi="Arial"/>
                <w:sz w:val="14"/>
                <w:szCs w:val="14"/>
                <w:color w:val="FFFFFF"/>
              </w:rPr>
              <w:t>104%</w:t>
            </w:r>
          </w:p>
        </w:tc>
        <w:tc>
          <w:tcPr>
            <w:tcW w:w="0" w:type="dxa"/>
            <w:vAlign w:val="bottom"/>
          </w:tcPr>
          <w:p>
            <w:pPr>
              <w:spacing w:after="0"/>
              <w:rPr>
                <w:sz w:val="1"/>
                <w:szCs w:val="1"/>
                <w:color w:val="auto"/>
              </w:rPr>
            </w:pPr>
          </w:p>
        </w:tc>
      </w:tr>
      <w:tr>
        <w:trPr>
          <w:trHeight w:val="189"/>
        </w:trPr>
        <w:tc>
          <w:tcPr>
            <w:tcW w:w="2000" w:type="dxa"/>
            <w:vAlign w:val="bottom"/>
            <w:vMerge w:val="continue"/>
            <w:shd w:val="clear" w:color="auto" w:fill="F2F3F2"/>
          </w:tcPr>
          <w:p>
            <w:pPr>
              <w:spacing w:after="0"/>
              <w:rPr>
                <w:sz w:val="16"/>
                <w:szCs w:val="16"/>
                <w:color w:val="auto"/>
              </w:rPr>
            </w:pPr>
          </w:p>
        </w:tc>
        <w:tc>
          <w:tcPr>
            <w:tcW w:w="1400" w:type="dxa"/>
            <w:vAlign w:val="bottom"/>
            <w:vMerge w:val="continue"/>
            <w:shd w:val="clear" w:color="auto" w:fill="F2F3F2"/>
          </w:tcPr>
          <w:p>
            <w:pPr>
              <w:spacing w:after="0"/>
              <w:rPr>
                <w:sz w:val="16"/>
                <w:szCs w:val="16"/>
                <w:color w:val="auto"/>
              </w:rPr>
            </w:pPr>
          </w:p>
        </w:tc>
        <w:tc>
          <w:tcPr>
            <w:tcW w:w="1300" w:type="dxa"/>
            <w:vAlign w:val="bottom"/>
            <w:tcBorders>
              <w:left w:val="single" w:sz="8" w:color="00558C"/>
              <w:right w:val="single" w:sz="8" w:color="B2B3B6"/>
            </w:tcBorders>
            <w:shd w:val="clear" w:color="auto" w:fill="00558C"/>
          </w:tcPr>
          <w:p>
            <w:pPr>
              <w:ind w:left="120"/>
              <w:spacing w:after="0"/>
              <w:rPr>
                <w:sz w:val="20"/>
                <w:szCs w:val="20"/>
                <w:color w:val="auto"/>
              </w:rPr>
            </w:pPr>
            <w:r>
              <w:rPr>
                <w:rFonts w:ascii="Arial" w:cs="Arial" w:eastAsia="Arial" w:hAnsi="Arial"/>
                <w:sz w:val="13"/>
                <w:szCs w:val="13"/>
                <w:b w:val="1"/>
                <w:bCs w:val="1"/>
                <w:color w:val="FFFFFF"/>
              </w:rPr>
              <w:t>No Payout Earned</w:t>
            </w:r>
          </w:p>
        </w:tc>
        <w:tc>
          <w:tcPr>
            <w:tcW w:w="460" w:type="dxa"/>
            <w:vAlign w:val="bottom"/>
            <w:shd w:val="clear" w:color="auto" w:fill="00558C"/>
          </w:tcPr>
          <w:p>
            <w:pPr>
              <w:spacing w:after="0"/>
              <w:rPr>
                <w:sz w:val="16"/>
                <w:szCs w:val="16"/>
                <w:color w:val="auto"/>
              </w:rPr>
            </w:pPr>
          </w:p>
        </w:tc>
        <w:tc>
          <w:tcPr>
            <w:tcW w:w="560" w:type="dxa"/>
            <w:vAlign w:val="bottom"/>
            <w:tcBorders>
              <w:right w:val="single" w:sz="8" w:color="B2B3B6"/>
            </w:tcBorders>
            <w:shd w:val="clear" w:color="auto" w:fill="00558C"/>
          </w:tcPr>
          <w:p>
            <w:pPr>
              <w:spacing w:after="0"/>
              <w:rPr>
                <w:sz w:val="16"/>
                <w:szCs w:val="16"/>
                <w:color w:val="auto"/>
              </w:rPr>
            </w:pPr>
          </w:p>
        </w:tc>
        <w:tc>
          <w:tcPr>
            <w:tcW w:w="580" w:type="dxa"/>
            <w:vAlign w:val="bottom"/>
            <w:shd w:val="clear" w:color="auto" w:fill="00558C"/>
          </w:tcPr>
          <w:p>
            <w:pPr>
              <w:spacing w:after="0"/>
              <w:rPr>
                <w:sz w:val="16"/>
                <w:szCs w:val="16"/>
                <w:color w:val="auto"/>
              </w:rPr>
            </w:pPr>
          </w:p>
        </w:tc>
        <w:tc>
          <w:tcPr>
            <w:tcW w:w="360" w:type="dxa"/>
            <w:vAlign w:val="bottom"/>
            <w:shd w:val="clear" w:color="auto" w:fill="00558C"/>
          </w:tcPr>
          <w:p>
            <w:pPr>
              <w:spacing w:after="0"/>
              <w:rPr>
                <w:sz w:val="16"/>
                <w:szCs w:val="16"/>
                <w:color w:val="auto"/>
              </w:rPr>
            </w:pPr>
          </w:p>
        </w:tc>
        <w:tc>
          <w:tcPr>
            <w:tcW w:w="1280" w:type="dxa"/>
            <w:vAlign w:val="bottom"/>
            <w:tcBorders>
              <w:left w:val="single" w:sz="8" w:color="B2B3B6"/>
            </w:tcBorders>
            <w:shd w:val="clear" w:color="auto" w:fill="00558C"/>
          </w:tcPr>
          <w:p>
            <w:pPr>
              <w:jc w:val="right"/>
              <w:spacing w:after="0"/>
              <w:rPr>
                <w:sz w:val="20"/>
                <w:szCs w:val="20"/>
                <w:color w:val="auto"/>
              </w:rPr>
            </w:pPr>
            <w:r>
              <w:rPr>
                <w:rFonts w:ascii="Arial" w:cs="Arial" w:eastAsia="Arial" w:hAnsi="Arial"/>
                <w:sz w:val="13"/>
                <w:szCs w:val="13"/>
                <w:b w:val="1"/>
                <w:bCs w:val="1"/>
                <w:color w:val="FFFFFF"/>
              </w:rPr>
              <w:t>Max Payout Earned</w:t>
            </w:r>
          </w:p>
        </w:tc>
        <w:tc>
          <w:tcPr>
            <w:tcW w:w="40" w:type="dxa"/>
            <w:vAlign w:val="bottom"/>
            <w:shd w:val="clear" w:color="auto" w:fill="F2F3F2"/>
          </w:tcPr>
          <w:p>
            <w:pPr>
              <w:spacing w:after="0"/>
              <w:rPr>
                <w:sz w:val="16"/>
                <w:szCs w:val="16"/>
                <w:color w:val="auto"/>
              </w:rPr>
            </w:pPr>
          </w:p>
        </w:tc>
        <w:tc>
          <w:tcPr>
            <w:tcW w:w="1080" w:type="dxa"/>
            <w:vAlign w:val="bottom"/>
            <w:vMerge w:val="continue"/>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00" w:type="dxa"/>
            <w:vAlign w:val="bottom"/>
            <w:shd w:val="clear" w:color="auto" w:fill="F2F3F2"/>
          </w:tcPr>
          <w:p>
            <w:pPr>
              <w:spacing w:after="0"/>
              <w:rPr>
                <w:sz w:val="5"/>
                <w:szCs w:val="5"/>
                <w:color w:val="auto"/>
              </w:rPr>
            </w:pPr>
          </w:p>
        </w:tc>
        <w:tc>
          <w:tcPr>
            <w:tcW w:w="1400" w:type="dxa"/>
            <w:vAlign w:val="bottom"/>
            <w:shd w:val="clear" w:color="auto" w:fill="F2F3F2"/>
          </w:tcPr>
          <w:p>
            <w:pPr>
              <w:spacing w:after="0"/>
              <w:rPr>
                <w:sz w:val="5"/>
                <w:szCs w:val="5"/>
                <w:color w:val="auto"/>
              </w:rPr>
            </w:pPr>
          </w:p>
        </w:tc>
        <w:tc>
          <w:tcPr>
            <w:tcW w:w="1300" w:type="dxa"/>
            <w:vAlign w:val="bottom"/>
            <w:tcBorders>
              <w:left w:val="single" w:sz="8" w:color="F2F3F2"/>
              <w:right w:val="single" w:sz="8" w:color="B2B3B6"/>
            </w:tcBorders>
            <w:shd w:val="clear" w:color="auto" w:fill="F2F3F2"/>
          </w:tcPr>
          <w:p>
            <w:pPr>
              <w:spacing w:after="0"/>
              <w:rPr>
                <w:sz w:val="5"/>
                <w:szCs w:val="5"/>
                <w:color w:val="auto"/>
              </w:rPr>
            </w:pPr>
          </w:p>
        </w:tc>
        <w:tc>
          <w:tcPr>
            <w:tcW w:w="460" w:type="dxa"/>
            <w:vAlign w:val="bottom"/>
            <w:shd w:val="clear" w:color="auto" w:fill="F2F3F2"/>
          </w:tcPr>
          <w:p>
            <w:pPr>
              <w:spacing w:after="0"/>
              <w:rPr>
                <w:sz w:val="5"/>
                <w:szCs w:val="5"/>
                <w:color w:val="auto"/>
              </w:rPr>
            </w:pPr>
          </w:p>
        </w:tc>
        <w:tc>
          <w:tcPr>
            <w:tcW w:w="560" w:type="dxa"/>
            <w:vAlign w:val="bottom"/>
            <w:tcBorders>
              <w:right w:val="single" w:sz="8" w:color="B2B3B6"/>
            </w:tcBorders>
            <w:shd w:val="clear" w:color="auto" w:fill="F2F3F2"/>
          </w:tcPr>
          <w:p>
            <w:pPr>
              <w:spacing w:after="0"/>
              <w:rPr>
                <w:sz w:val="5"/>
                <w:szCs w:val="5"/>
                <w:color w:val="auto"/>
              </w:rPr>
            </w:pPr>
          </w:p>
        </w:tc>
        <w:tc>
          <w:tcPr>
            <w:tcW w:w="580" w:type="dxa"/>
            <w:vAlign w:val="bottom"/>
            <w:shd w:val="clear" w:color="auto" w:fill="F2F3F2"/>
          </w:tcPr>
          <w:p>
            <w:pPr>
              <w:spacing w:after="0"/>
              <w:rPr>
                <w:sz w:val="5"/>
                <w:szCs w:val="5"/>
                <w:color w:val="auto"/>
              </w:rPr>
            </w:pPr>
          </w:p>
        </w:tc>
        <w:tc>
          <w:tcPr>
            <w:tcW w:w="360" w:type="dxa"/>
            <w:vAlign w:val="bottom"/>
            <w:shd w:val="clear" w:color="auto" w:fill="F2F3F2"/>
          </w:tcPr>
          <w:p>
            <w:pPr>
              <w:spacing w:after="0"/>
              <w:rPr>
                <w:sz w:val="5"/>
                <w:szCs w:val="5"/>
                <w:color w:val="auto"/>
              </w:rPr>
            </w:pPr>
          </w:p>
        </w:tc>
        <w:tc>
          <w:tcPr>
            <w:tcW w:w="1320" w:type="dxa"/>
            <w:vAlign w:val="bottom"/>
            <w:tcBorders>
              <w:left w:val="single" w:sz="8" w:color="B2B3B6"/>
            </w:tcBorders>
            <w:gridSpan w:val="2"/>
            <w:shd w:val="clear" w:color="auto" w:fill="F2F3F2"/>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00" w:type="dxa"/>
            <w:vAlign w:val="bottom"/>
            <w:shd w:val="clear" w:color="auto" w:fill="F2F3F2"/>
          </w:tcPr>
          <w:p>
            <w:pPr>
              <w:spacing w:after="0"/>
              <w:rPr>
                <w:sz w:val="16"/>
                <w:szCs w:val="16"/>
                <w:color w:val="auto"/>
              </w:rPr>
            </w:pPr>
          </w:p>
        </w:tc>
        <w:tc>
          <w:tcPr>
            <w:tcW w:w="1400" w:type="dxa"/>
            <w:vAlign w:val="bottom"/>
            <w:shd w:val="clear" w:color="auto" w:fill="F2F3F2"/>
          </w:tcPr>
          <w:p>
            <w:pPr>
              <w:spacing w:after="0"/>
              <w:rPr>
                <w:sz w:val="16"/>
                <w:szCs w:val="16"/>
                <w:color w:val="auto"/>
              </w:rPr>
            </w:pPr>
          </w:p>
        </w:tc>
        <w:tc>
          <w:tcPr>
            <w:tcW w:w="1760" w:type="dxa"/>
            <w:vAlign w:val="bottom"/>
            <w:tcBorders>
              <w:left w:val="single" w:sz="8" w:color="F2F3F2"/>
            </w:tcBorders>
            <w:gridSpan w:val="2"/>
            <w:shd w:val="clear" w:color="auto" w:fill="F2F3F2"/>
          </w:tcPr>
          <w:p>
            <w:pPr>
              <w:jc w:val="right"/>
              <w:ind w:right="320"/>
              <w:spacing w:after="0"/>
              <w:rPr>
                <w:sz w:val="20"/>
                <w:szCs w:val="20"/>
                <w:color w:val="auto"/>
              </w:rPr>
            </w:pPr>
            <w:r>
              <w:rPr>
                <w:rFonts w:ascii="Arial" w:cs="Arial" w:eastAsia="Arial" w:hAnsi="Arial"/>
                <w:sz w:val="13"/>
                <w:szCs w:val="13"/>
                <w:color w:val="auto"/>
              </w:rPr>
              <w:t>$1.540B</w:t>
            </w:r>
          </w:p>
        </w:tc>
        <w:tc>
          <w:tcPr>
            <w:tcW w:w="1140" w:type="dxa"/>
            <w:vAlign w:val="bottom"/>
            <w:gridSpan w:val="2"/>
            <w:shd w:val="clear" w:color="auto" w:fill="F2F3F2"/>
          </w:tcPr>
          <w:p>
            <w:pPr>
              <w:jc w:val="right"/>
              <w:ind w:right="346"/>
              <w:spacing w:after="0"/>
              <w:rPr>
                <w:sz w:val="20"/>
                <w:szCs w:val="20"/>
                <w:color w:val="auto"/>
              </w:rPr>
            </w:pPr>
            <w:r>
              <w:rPr>
                <w:rFonts w:ascii="Arial" w:cs="Arial" w:eastAsia="Arial" w:hAnsi="Arial"/>
                <w:sz w:val="13"/>
                <w:szCs w:val="13"/>
                <w:color w:val="auto"/>
              </w:rPr>
              <w:t>$1.620B</w:t>
            </w:r>
          </w:p>
        </w:tc>
        <w:tc>
          <w:tcPr>
            <w:tcW w:w="1680" w:type="dxa"/>
            <w:vAlign w:val="bottom"/>
            <w:gridSpan w:val="3"/>
            <w:shd w:val="clear" w:color="auto" w:fill="F2F3F2"/>
          </w:tcPr>
          <w:p>
            <w:pPr>
              <w:jc w:val="right"/>
              <w:ind w:right="1000"/>
              <w:spacing w:after="0"/>
              <w:rPr>
                <w:sz w:val="20"/>
                <w:szCs w:val="20"/>
                <w:color w:val="auto"/>
              </w:rPr>
            </w:pPr>
            <w:r>
              <w:rPr>
                <w:rFonts w:ascii="Arial" w:cs="Arial" w:eastAsia="Arial" w:hAnsi="Arial"/>
                <w:sz w:val="13"/>
                <w:szCs w:val="13"/>
                <w:color w:val="auto"/>
              </w:rPr>
              <w:t>$1.780B</w:t>
            </w:r>
          </w:p>
        </w:tc>
        <w:tc>
          <w:tcPr>
            <w:tcW w:w="1080" w:type="dxa"/>
            <w:vAlign w:val="bottom"/>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00" w:type="dxa"/>
            <w:vAlign w:val="bottom"/>
            <w:shd w:val="clear" w:color="auto" w:fill="F2F3F2"/>
          </w:tcPr>
          <w:p>
            <w:pPr>
              <w:spacing w:after="0"/>
              <w:rPr>
                <w:sz w:val="8"/>
                <w:szCs w:val="8"/>
                <w:color w:val="auto"/>
              </w:rPr>
            </w:pPr>
          </w:p>
        </w:tc>
        <w:tc>
          <w:tcPr>
            <w:tcW w:w="1400" w:type="dxa"/>
            <w:vAlign w:val="bottom"/>
            <w:shd w:val="clear" w:color="auto" w:fill="F2F3F2"/>
          </w:tcPr>
          <w:p>
            <w:pPr>
              <w:spacing w:after="0"/>
              <w:rPr>
                <w:sz w:val="8"/>
                <w:szCs w:val="8"/>
                <w:color w:val="auto"/>
              </w:rPr>
            </w:pPr>
          </w:p>
        </w:tc>
        <w:tc>
          <w:tcPr>
            <w:tcW w:w="1300" w:type="dxa"/>
            <w:vAlign w:val="bottom"/>
            <w:tcBorders>
              <w:left w:val="single" w:sz="8" w:color="F2F3F2"/>
              <w:right w:val="single" w:sz="8" w:color="F2F3F2"/>
            </w:tcBorders>
            <w:shd w:val="clear" w:color="auto" w:fill="F2F3F2"/>
          </w:tcPr>
          <w:p>
            <w:pPr>
              <w:spacing w:after="0"/>
              <w:rPr>
                <w:sz w:val="8"/>
                <w:szCs w:val="8"/>
                <w:color w:val="auto"/>
              </w:rPr>
            </w:pPr>
          </w:p>
        </w:tc>
        <w:tc>
          <w:tcPr>
            <w:tcW w:w="460" w:type="dxa"/>
            <w:vAlign w:val="bottom"/>
            <w:shd w:val="clear" w:color="auto" w:fill="F2F3F2"/>
          </w:tcPr>
          <w:p>
            <w:pPr>
              <w:spacing w:after="0"/>
              <w:rPr>
                <w:sz w:val="8"/>
                <w:szCs w:val="8"/>
                <w:color w:val="auto"/>
              </w:rPr>
            </w:pPr>
          </w:p>
        </w:tc>
        <w:tc>
          <w:tcPr>
            <w:tcW w:w="560" w:type="dxa"/>
            <w:vAlign w:val="bottom"/>
            <w:tcBorders>
              <w:right w:val="single" w:sz="8" w:color="F2F3F2"/>
            </w:tcBorders>
            <w:shd w:val="clear" w:color="auto" w:fill="F2F3F2"/>
          </w:tcPr>
          <w:p>
            <w:pPr>
              <w:spacing w:after="0"/>
              <w:rPr>
                <w:sz w:val="8"/>
                <w:szCs w:val="8"/>
                <w:color w:val="auto"/>
              </w:rPr>
            </w:pPr>
          </w:p>
        </w:tc>
        <w:tc>
          <w:tcPr>
            <w:tcW w:w="940" w:type="dxa"/>
            <w:vAlign w:val="bottom"/>
            <w:gridSpan w:val="2"/>
            <w:shd w:val="clear" w:color="auto" w:fill="F2F3F2"/>
          </w:tcPr>
          <w:p>
            <w:pPr>
              <w:spacing w:after="0"/>
              <w:rPr>
                <w:sz w:val="8"/>
                <w:szCs w:val="8"/>
                <w:color w:val="auto"/>
              </w:rPr>
            </w:pPr>
          </w:p>
        </w:tc>
        <w:tc>
          <w:tcPr>
            <w:tcW w:w="1280" w:type="dxa"/>
            <w:vAlign w:val="bottom"/>
            <w:tcBorders>
              <w:left w:val="single" w:sz="8" w:color="F2F3F2"/>
            </w:tcBorders>
            <w:shd w:val="clear" w:color="auto" w:fill="F2F3F2"/>
          </w:tcPr>
          <w:p>
            <w:pPr>
              <w:spacing w:after="0"/>
              <w:rPr>
                <w:sz w:val="8"/>
                <w:szCs w:val="8"/>
                <w:color w:val="auto"/>
              </w:rPr>
            </w:pPr>
          </w:p>
        </w:tc>
        <w:tc>
          <w:tcPr>
            <w:tcW w:w="40" w:type="dxa"/>
            <w:vAlign w:val="bottom"/>
            <w:shd w:val="clear" w:color="auto" w:fill="F2F3F2"/>
          </w:tcPr>
          <w:p>
            <w:pPr>
              <w:spacing w:after="0"/>
              <w:rPr>
                <w:sz w:val="8"/>
                <w:szCs w:val="8"/>
                <w:color w:val="auto"/>
              </w:rPr>
            </w:pPr>
          </w:p>
        </w:tc>
        <w:tc>
          <w:tcPr>
            <w:tcW w:w="1080" w:type="dxa"/>
            <w:vAlign w:val="bottom"/>
            <w:shd w:val="clear" w:color="auto" w:fill="6AAA37"/>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20" w:type="dxa"/>
            <w:vAlign w:val="bottom"/>
            <w:gridSpan w:val="5"/>
          </w:tcPr>
          <w:p>
            <w:pPr>
              <w:spacing w:after="0"/>
              <w:rPr>
                <w:sz w:val="9"/>
                <w:szCs w:val="9"/>
                <w:color w:val="auto"/>
              </w:rPr>
            </w:pPr>
          </w:p>
        </w:tc>
        <w:tc>
          <w:tcPr>
            <w:tcW w:w="1080" w:type="dxa"/>
            <w:vAlign w:val="bottom"/>
            <w:shd w:val="clear" w:color="auto" w:fill="6AAA37"/>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3"/>
            <w:shd w:val="clear" w:color="auto" w:fill="6AAA37"/>
          </w:tcPr>
          <w:p>
            <w:pPr>
              <w:jc w:val="center"/>
              <w:spacing w:after="0"/>
              <w:rPr>
                <w:sz w:val="20"/>
                <w:szCs w:val="20"/>
                <w:color w:val="auto"/>
              </w:rPr>
            </w:pPr>
            <w:r>
              <w:rPr>
                <w:rFonts w:ascii="Arial" w:cs="Arial" w:eastAsia="Arial" w:hAnsi="Arial"/>
                <w:sz w:val="11"/>
                <w:szCs w:val="11"/>
                <w:color w:val="FFFFFF"/>
                <w:w w:val="97"/>
              </w:rPr>
              <w:t>Actual Performance 14.3</w:t>
            </w:r>
            <w:r>
              <w:rPr>
                <w:rFonts w:ascii="Arial" w:cs="Arial" w:eastAsia="Arial" w:hAnsi="Arial"/>
                <w:sz w:val="11"/>
                <w:szCs w:val="11"/>
                <w:b w:val="1"/>
                <w:bCs w:val="1"/>
                <w:color w:val="FFFFFF"/>
                <w:w w:val="97"/>
              </w:rPr>
              <w:t>%</w:t>
            </w:r>
          </w:p>
        </w:tc>
        <w:tc>
          <w:tcPr>
            <w:tcW w:w="1320" w:type="dxa"/>
            <w:vAlign w:val="bottom"/>
            <w:gridSpan w:val="2"/>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EBITDA Margin</w:t>
            </w:r>
            <w:r>
              <w:rPr>
                <w:rFonts w:ascii="Arial" w:cs="Arial" w:eastAsia="Arial" w:hAnsi="Arial"/>
                <w:sz w:val="18"/>
                <w:szCs w:val="18"/>
                <w:b w:val="1"/>
                <w:bCs w:val="1"/>
                <w:color w:val="auto"/>
                <w:vertAlign w:val="superscript"/>
              </w:rPr>
              <w:t>8</w:t>
            </w:r>
          </w:p>
        </w:tc>
        <w:tc>
          <w:tcPr>
            <w:tcW w:w="14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6AAA37"/>
              </w:rPr>
              <w:t>40%</w:t>
            </w: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jc w:val="right"/>
              <w:ind w:right="446"/>
              <w:spacing w:after="0" w:line="108" w:lineRule="exact"/>
              <w:rPr>
                <w:sz w:val="20"/>
                <w:szCs w:val="20"/>
                <w:color w:val="auto"/>
              </w:rPr>
            </w:pPr>
            <w:r>
              <w:rPr>
                <w:rFonts w:ascii="Arial" w:cs="Arial" w:eastAsia="Arial" w:hAnsi="Arial"/>
                <w:sz w:val="11"/>
                <w:szCs w:val="11"/>
                <w:color w:val="6AAA37"/>
                <w:w w:val="97"/>
              </w:rPr>
              <w:t>q</w:t>
            </w: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restart"/>
            <w:shd w:val="clear" w:color="auto" w:fill="6AAA37"/>
          </w:tcPr>
          <w:p>
            <w:pPr>
              <w:jc w:val="center"/>
              <w:spacing w:after="0"/>
              <w:rPr>
                <w:sz w:val="20"/>
                <w:szCs w:val="20"/>
                <w:color w:val="auto"/>
              </w:rPr>
            </w:pPr>
            <w:r>
              <w:rPr>
                <w:rFonts w:ascii="Arial" w:cs="Arial" w:eastAsia="Arial" w:hAnsi="Arial"/>
                <w:sz w:val="14"/>
                <w:szCs w:val="14"/>
                <w:color w:val="FFFFFF"/>
              </w:rPr>
              <w:t>103%</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00" w:type="dxa"/>
            <w:vAlign w:val="bottom"/>
            <w:tcBorders>
              <w:left w:val="single" w:sz="8" w:color="00558C"/>
              <w:right w:val="single" w:sz="8" w:color="B2B3B6"/>
            </w:tcBorders>
            <w:shd w:val="clear" w:color="auto" w:fill="00558C"/>
          </w:tcPr>
          <w:p>
            <w:pPr>
              <w:ind w:left="120"/>
              <w:spacing w:after="0"/>
              <w:rPr>
                <w:sz w:val="20"/>
                <w:szCs w:val="20"/>
                <w:color w:val="auto"/>
              </w:rPr>
            </w:pPr>
            <w:r>
              <w:rPr>
                <w:rFonts w:ascii="Arial" w:cs="Arial" w:eastAsia="Arial" w:hAnsi="Arial"/>
                <w:sz w:val="13"/>
                <w:szCs w:val="13"/>
                <w:b w:val="1"/>
                <w:bCs w:val="1"/>
                <w:color w:val="FFFFFF"/>
              </w:rPr>
              <w:t>No Payout Earned</w:t>
            </w:r>
          </w:p>
        </w:tc>
        <w:tc>
          <w:tcPr>
            <w:tcW w:w="460" w:type="dxa"/>
            <w:vAlign w:val="bottom"/>
            <w:shd w:val="clear" w:color="auto" w:fill="00558C"/>
          </w:tcPr>
          <w:p>
            <w:pPr>
              <w:spacing w:after="0"/>
              <w:rPr>
                <w:sz w:val="16"/>
                <w:szCs w:val="16"/>
                <w:color w:val="auto"/>
              </w:rPr>
            </w:pPr>
          </w:p>
        </w:tc>
        <w:tc>
          <w:tcPr>
            <w:tcW w:w="560" w:type="dxa"/>
            <w:vAlign w:val="bottom"/>
            <w:tcBorders>
              <w:right w:val="single" w:sz="8" w:color="B2B3B6"/>
            </w:tcBorders>
            <w:shd w:val="clear" w:color="auto" w:fill="00558C"/>
          </w:tcPr>
          <w:p>
            <w:pPr>
              <w:spacing w:after="0"/>
              <w:rPr>
                <w:sz w:val="16"/>
                <w:szCs w:val="16"/>
                <w:color w:val="auto"/>
              </w:rPr>
            </w:pPr>
          </w:p>
        </w:tc>
        <w:tc>
          <w:tcPr>
            <w:tcW w:w="580" w:type="dxa"/>
            <w:vAlign w:val="bottom"/>
            <w:shd w:val="clear" w:color="auto" w:fill="00558C"/>
          </w:tcPr>
          <w:p>
            <w:pPr>
              <w:spacing w:after="0"/>
              <w:rPr>
                <w:sz w:val="16"/>
                <w:szCs w:val="16"/>
                <w:color w:val="auto"/>
              </w:rPr>
            </w:pPr>
          </w:p>
        </w:tc>
        <w:tc>
          <w:tcPr>
            <w:tcW w:w="360" w:type="dxa"/>
            <w:vAlign w:val="bottom"/>
            <w:shd w:val="clear" w:color="auto" w:fill="00558C"/>
          </w:tcPr>
          <w:p>
            <w:pPr>
              <w:spacing w:after="0"/>
              <w:rPr>
                <w:sz w:val="16"/>
                <w:szCs w:val="16"/>
                <w:color w:val="auto"/>
              </w:rPr>
            </w:pPr>
          </w:p>
        </w:tc>
        <w:tc>
          <w:tcPr>
            <w:tcW w:w="1280" w:type="dxa"/>
            <w:vAlign w:val="bottom"/>
            <w:tcBorders>
              <w:left w:val="single" w:sz="8" w:color="B2B3B6"/>
            </w:tcBorders>
            <w:shd w:val="clear" w:color="auto" w:fill="00558C"/>
          </w:tcPr>
          <w:p>
            <w:pPr>
              <w:jc w:val="right"/>
              <w:spacing w:after="0"/>
              <w:rPr>
                <w:sz w:val="20"/>
                <w:szCs w:val="20"/>
                <w:color w:val="auto"/>
              </w:rPr>
            </w:pPr>
            <w:r>
              <w:rPr>
                <w:rFonts w:ascii="Arial" w:cs="Arial" w:eastAsia="Arial" w:hAnsi="Arial"/>
                <w:sz w:val="13"/>
                <w:szCs w:val="13"/>
                <w:b w:val="1"/>
                <w:bCs w:val="1"/>
                <w:color w:val="FFFFFF"/>
              </w:rPr>
              <w:t>Max Payout Earned</w:t>
            </w:r>
          </w:p>
        </w:tc>
        <w:tc>
          <w:tcPr>
            <w:tcW w:w="40" w:type="dxa"/>
            <w:vAlign w:val="bottom"/>
          </w:tcPr>
          <w:p>
            <w:pPr>
              <w:spacing w:after="0"/>
              <w:rPr>
                <w:sz w:val="16"/>
                <w:szCs w:val="16"/>
                <w:color w:val="auto"/>
              </w:rPr>
            </w:pPr>
          </w:p>
        </w:tc>
        <w:tc>
          <w:tcPr>
            <w:tcW w:w="1080" w:type="dxa"/>
            <w:vAlign w:val="bottom"/>
            <w:vMerge w:val="continue"/>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Borders>
              <w:right w:val="single" w:sz="8" w:color="B2B3B6"/>
            </w:tcBorders>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B2B3B6"/>
            </w:tcBorders>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tcBorders>
              <w:left w:val="single" w:sz="8" w:color="B2B3B6"/>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3"/>
                <w:szCs w:val="13"/>
                <w:color w:val="auto"/>
              </w:rPr>
              <w:t>13.25%</w:t>
            </w:r>
          </w:p>
        </w:tc>
        <w:tc>
          <w:tcPr>
            <w:tcW w:w="1140" w:type="dxa"/>
            <w:vAlign w:val="bottom"/>
            <w:gridSpan w:val="2"/>
          </w:tcPr>
          <w:p>
            <w:pPr>
              <w:jc w:val="right"/>
              <w:ind w:right="346"/>
              <w:spacing w:after="0"/>
              <w:rPr>
                <w:sz w:val="20"/>
                <w:szCs w:val="20"/>
                <w:color w:val="auto"/>
              </w:rPr>
            </w:pPr>
            <w:r>
              <w:rPr>
                <w:rFonts w:ascii="Arial" w:cs="Arial" w:eastAsia="Arial" w:hAnsi="Arial"/>
                <w:sz w:val="13"/>
                <w:szCs w:val="13"/>
                <w:color w:val="auto"/>
              </w:rPr>
              <w:t>14.25%</w:t>
            </w:r>
          </w:p>
        </w:tc>
        <w:tc>
          <w:tcPr>
            <w:tcW w:w="1640" w:type="dxa"/>
            <w:vAlign w:val="bottom"/>
            <w:gridSpan w:val="2"/>
          </w:tcPr>
          <w:p>
            <w:pPr>
              <w:jc w:val="right"/>
              <w:ind w:right="914"/>
              <w:spacing w:after="0"/>
              <w:rPr>
                <w:sz w:val="20"/>
                <w:szCs w:val="20"/>
                <w:color w:val="auto"/>
              </w:rPr>
            </w:pPr>
            <w:r>
              <w:rPr>
                <w:rFonts w:ascii="Arial" w:cs="Arial" w:eastAsia="Arial" w:hAnsi="Arial"/>
                <w:sz w:val="13"/>
                <w:szCs w:val="13"/>
                <w:color w:val="auto"/>
              </w:rPr>
              <w:t>15.25%</w:t>
            </w:r>
          </w:p>
        </w:tc>
        <w:tc>
          <w:tcPr>
            <w:tcW w:w="40" w:type="dxa"/>
            <w:vAlign w:val="bottom"/>
          </w:tcPr>
          <w:p>
            <w:pPr>
              <w:spacing w:after="0"/>
              <w:rPr>
                <w:sz w:val="16"/>
                <w:szCs w:val="16"/>
                <w:color w:val="auto"/>
              </w:rPr>
            </w:pPr>
          </w:p>
        </w:tc>
        <w:tc>
          <w:tcPr>
            <w:tcW w:w="1080" w:type="dxa"/>
            <w:vAlign w:val="bottom"/>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940" w:type="dxa"/>
            <w:vAlign w:val="bottom"/>
            <w:gridSpan w:val="2"/>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565"/>
        </w:trPr>
        <w:tc>
          <w:tcPr>
            <w:tcW w:w="20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Strategic Measures</w:t>
            </w:r>
          </w:p>
        </w:tc>
        <w:tc>
          <w:tcPr>
            <w:tcW w:w="1400" w:type="dxa"/>
            <w:vAlign w:val="bottom"/>
            <w:shd w:val="clear" w:color="auto" w:fill="F2F3F2"/>
          </w:tcPr>
          <w:p>
            <w:pPr>
              <w:jc w:val="right"/>
              <w:ind w:right="468"/>
              <w:spacing w:after="0"/>
              <w:rPr>
                <w:sz w:val="20"/>
                <w:szCs w:val="20"/>
                <w:color w:val="auto"/>
              </w:rPr>
            </w:pPr>
            <w:r>
              <w:rPr>
                <w:rFonts w:ascii="Arial" w:cs="Arial" w:eastAsia="Arial" w:hAnsi="Arial"/>
                <w:sz w:val="14"/>
                <w:szCs w:val="14"/>
                <w:b w:val="1"/>
                <w:bCs w:val="1"/>
                <w:color w:val="6AAA37"/>
              </w:rPr>
              <w:t>20%</w:t>
            </w:r>
          </w:p>
        </w:tc>
        <w:tc>
          <w:tcPr>
            <w:tcW w:w="4580" w:type="dxa"/>
            <w:vAlign w:val="bottom"/>
            <w:tcBorders>
              <w:left w:val="single" w:sz="8" w:color="F2F3F2"/>
            </w:tcBorders>
            <w:gridSpan w:val="7"/>
            <w:shd w:val="clear" w:color="auto" w:fill="F2F3F2"/>
          </w:tcPr>
          <w:p>
            <w:pPr>
              <w:ind w:left="1240"/>
              <w:spacing w:after="0"/>
              <w:rPr>
                <w:sz w:val="20"/>
                <w:szCs w:val="20"/>
                <w:color w:val="auto"/>
              </w:rPr>
            </w:pPr>
            <w:r>
              <w:rPr>
                <w:rFonts w:ascii="Arial" w:cs="Arial" w:eastAsia="Arial" w:hAnsi="Arial"/>
                <w:sz w:val="14"/>
                <w:szCs w:val="14"/>
                <w:color w:val="auto"/>
              </w:rPr>
              <w:t>Varies by measure - details below</w:t>
            </w:r>
          </w:p>
        </w:tc>
        <w:tc>
          <w:tcPr>
            <w:tcW w:w="1080" w:type="dxa"/>
            <w:vAlign w:val="bottom"/>
            <w:shd w:val="clear" w:color="auto" w:fill="6AAA37"/>
          </w:tcPr>
          <w:p>
            <w:pPr>
              <w:jc w:val="center"/>
              <w:spacing w:after="0"/>
              <w:rPr>
                <w:sz w:val="20"/>
                <w:szCs w:val="20"/>
                <w:color w:val="auto"/>
              </w:rPr>
            </w:pPr>
            <w:r>
              <w:rPr>
                <w:rFonts w:ascii="Arial" w:cs="Arial" w:eastAsia="Arial" w:hAnsi="Arial"/>
                <w:sz w:val="14"/>
                <w:szCs w:val="14"/>
                <w:color w:val="FFFFFF"/>
              </w:rPr>
              <w:t>97%</w:t>
            </w:r>
          </w:p>
        </w:tc>
        <w:tc>
          <w:tcPr>
            <w:tcW w:w="0" w:type="dxa"/>
            <w:vAlign w:val="bottom"/>
          </w:tcPr>
          <w:p>
            <w:pPr>
              <w:spacing w:after="0"/>
              <w:rPr>
                <w:sz w:val="1"/>
                <w:szCs w:val="1"/>
                <w:color w:val="auto"/>
              </w:rPr>
            </w:pPr>
          </w:p>
        </w:tc>
      </w:tr>
      <w:tr>
        <w:trPr>
          <w:trHeight w:val="340"/>
        </w:trPr>
        <w:tc>
          <w:tcPr>
            <w:tcW w:w="2000" w:type="dxa"/>
            <w:vAlign w:val="bottom"/>
            <w:shd w:val="clear" w:color="auto" w:fill="F2F3F2"/>
          </w:tcPr>
          <w:p>
            <w:pPr>
              <w:spacing w:after="0"/>
              <w:rPr>
                <w:sz w:val="24"/>
                <w:szCs w:val="24"/>
                <w:color w:val="auto"/>
              </w:rPr>
            </w:pPr>
          </w:p>
        </w:tc>
        <w:tc>
          <w:tcPr>
            <w:tcW w:w="1400" w:type="dxa"/>
            <w:vAlign w:val="bottom"/>
            <w:shd w:val="clear" w:color="auto" w:fill="F2F3F2"/>
          </w:tcPr>
          <w:p>
            <w:pPr>
              <w:spacing w:after="0"/>
              <w:rPr>
                <w:sz w:val="24"/>
                <w:szCs w:val="24"/>
                <w:color w:val="auto"/>
              </w:rPr>
            </w:pPr>
          </w:p>
        </w:tc>
        <w:tc>
          <w:tcPr>
            <w:tcW w:w="1300" w:type="dxa"/>
            <w:vAlign w:val="bottom"/>
            <w:tcBorders>
              <w:left w:val="single" w:sz="8" w:color="F2F3F2"/>
              <w:right w:val="single" w:sz="8" w:color="F2F3F2"/>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560" w:type="dxa"/>
            <w:vAlign w:val="bottom"/>
            <w:tcBorders>
              <w:right w:val="single" w:sz="8" w:color="F2F3F2"/>
            </w:tcBorders>
            <w:shd w:val="clear" w:color="auto" w:fill="F2F3F2"/>
          </w:tcPr>
          <w:p>
            <w:pPr>
              <w:spacing w:after="0"/>
              <w:rPr>
                <w:sz w:val="24"/>
                <w:szCs w:val="24"/>
                <w:color w:val="auto"/>
              </w:rPr>
            </w:pPr>
          </w:p>
        </w:tc>
        <w:tc>
          <w:tcPr>
            <w:tcW w:w="580" w:type="dxa"/>
            <w:vAlign w:val="bottom"/>
            <w:shd w:val="clear" w:color="auto" w:fill="F2F3F2"/>
          </w:tcPr>
          <w:p>
            <w:pPr>
              <w:spacing w:after="0"/>
              <w:rPr>
                <w:sz w:val="24"/>
                <w:szCs w:val="24"/>
                <w:color w:val="auto"/>
              </w:rPr>
            </w:pPr>
          </w:p>
        </w:tc>
        <w:tc>
          <w:tcPr>
            <w:tcW w:w="360" w:type="dxa"/>
            <w:vAlign w:val="bottom"/>
            <w:shd w:val="clear" w:color="auto" w:fill="F2F3F2"/>
          </w:tcPr>
          <w:p>
            <w:pPr>
              <w:spacing w:after="0"/>
              <w:rPr>
                <w:sz w:val="24"/>
                <w:szCs w:val="24"/>
                <w:color w:val="auto"/>
              </w:rPr>
            </w:pPr>
          </w:p>
        </w:tc>
        <w:tc>
          <w:tcPr>
            <w:tcW w:w="1280" w:type="dxa"/>
            <w:vAlign w:val="bottom"/>
            <w:tcBorders>
              <w:left w:val="single" w:sz="8" w:color="F2F3F2"/>
            </w:tcBorders>
            <w:shd w:val="clear" w:color="auto" w:fill="F2F3F2"/>
          </w:tcPr>
          <w:p>
            <w:pPr>
              <w:spacing w:after="0"/>
              <w:rPr>
                <w:sz w:val="24"/>
                <w:szCs w:val="24"/>
                <w:color w:val="auto"/>
              </w:rPr>
            </w:pPr>
          </w:p>
        </w:tc>
        <w:tc>
          <w:tcPr>
            <w:tcW w:w="40" w:type="dxa"/>
            <w:vAlign w:val="bottom"/>
            <w:shd w:val="clear" w:color="auto" w:fill="F2F3F2"/>
          </w:tcPr>
          <w:p>
            <w:pPr>
              <w:spacing w:after="0"/>
              <w:rPr>
                <w:sz w:val="24"/>
                <w:szCs w:val="24"/>
                <w:color w:val="auto"/>
              </w:rPr>
            </w:pPr>
          </w:p>
        </w:tc>
        <w:tc>
          <w:tcPr>
            <w:tcW w:w="108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20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1400" w:type="dxa"/>
            <w:vAlign w:val="bottom"/>
          </w:tcPr>
          <w:p>
            <w:pPr>
              <w:jc w:val="right"/>
              <w:ind w:right="408"/>
              <w:spacing w:after="0"/>
              <w:rPr>
                <w:sz w:val="20"/>
                <w:szCs w:val="20"/>
                <w:color w:val="auto"/>
              </w:rPr>
            </w:pPr>
            <w:r>
              <w:rPr>
                <w:rFonts w:ascii="Arial" w:cs="Arial" w:eastAsia="Arial" w:hAnsi="Arial"/>
                <w:sz w:val="14"/>
                <w:szCs w:val="14"/>
                <w:b w:val="1"/>
                <w:bCs w:val="1"/>
                <w:color w:val="6AAA37"/>
              </w:rPr>
              <w:t>100%</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shd w:val="clear" w:color="auto" w:fill="6AAA37"/>
          </w:tcPr>
          <w:p>
            <w:pPr>
              <w:jc w:val="center"/>
              <w:spacing w:after="0"/>
              <w:rPr>
                <w:sz w:val="20"/>
                <w:szCs w:val="20"/>
                <w:color w:val="auto"/>
              </w:rPr>
            </w:pPr>
            <w:r>
              <w:rPr>
                <w:rFonts w:ascii="Arial" w:cs="Arial" w:eastAsia="Arial" w:hAnsi="Arial"/>
                <w:sz w:val="14"/>
                <w:szCs w:val="14"/>
                <w:b w:val="1"/>
                <w:bCs w:val="1"/>
                <w:color w:val="FFFFFF"/>
              </w:rPr>
              <w:t>102%</w:t>
            </w:r>
          </w:p>
        </w:tc>
        <w:tc>
          <w:tcPr>
            <w:tcW w:w="0" w:type="dxa"/>
            <w:vAlign w:val="bottom"/>
          </w:tcPr>
          <w:p>
            <w:pPr>
              <w:spacing w:after="0"/>
              <w:rPr>
                <w:sz w:val="1"/>
                <w:szCs w:val="1"/>
                <w:color w:val="auto"/>
              </w:rPr>
            </w:pPr>
          </w:p>
        </w:tc>
      </w:tr>
      <w:tr>
        <w:trPr>
          <w:trHeight w:val="339"/>
        </w:trPr>
        <w:tc>
          <w:tcPr>
            <w:tcW w:w="2000" w:type="dxa"/>
            <w:vAlign w:val="bottom"/>
            <w:tcBorders>
              <w:bottom w:val="single" w:sz="8" w:color="B2B3B6"/>
            </w:tcBorders>
          </w:tcPr>
          <w:p>
            <w:pPr>
              <w:spacing w:after="0"/>
              <w:rPr>
                <w:sz w:val="24"/>
                <w:szCs w:val="24"/>
                <w:color w:val="auto"/>
              </w:rPr>
            </w:pPr>
          </w:p>
        </w:tc>
        <w:tc>
          <w:tcPr>
            <w:tcW w:w="1400" w:type="dxa"/>
            <w:vAlign w:val="bottom"/>
            <w:tcBorders>
              <w:bottom w:val="single" w:sz="8" w:color="B2B3B6"/>
            </w:tcBorders>
          </w:tcPr>
          <w:p>
            <w:pPr>
              <w:spacing w:after="0"/>
              <w:rPr>
                <w:sz w:val="24"/>
                <w:szCs w:val="24"/>
                <w:color w:val="auto"/>
              </w:rPr>
            </w:pPr>
          </w:p>
        </w:tc>
        <w:tc>
          <w:tcPr>
            <w:tcW w:w="1300" w:type="dxa"/>
            <w:vAlign w:val="bottom"/>
            <w:tcBorders>
              <w:bottom w:val="single" w:sz="8" w:color="B2B3B6"/>
            </w:tcBorders>
          </w:tcPr>
          <w:p>
            <w:pPr>
              <w:spacing w:after="0"/>
              <w:rPr>
                <w:sz w:val="24"/>
                <w:szCs w:val="24"/>
                <w:color w:val="auto"/>
              </w:rPr>
            </w:pPr>
          </w:p>
        </w:tc>
        <w:tc>
          <w:tcPr>
            <w:tcW w:w="460" w:type="dxa"/>
            <w:vAlign w:val="bottom"/>
            <w:tcBorders>
              <w:bottom w:val="single" w:sz="8" w:color="B2B3B6"/>
            </w:tcBorders>
          </w:tcPr>
          <w:p>
            <w:pPr>
              <w:spacing w:after="0"/>
              <w:rPr>
                <w:sz w:val="24"/>
                <w:szCs w:val="24"/>
                <w:color w:val="auto"/>
              </w:rPr>
            </w:pPr>
          </w:p>
        </w:tc>
        <w:tc>
          <w:tcPr>
            <w:tcW w:w="560" w:type="dxa"/>
            <w:vAlign w:val="bottom"/>
            <w:tcBorders>
              <w:bottom w:val="single" w:sz="8" w:color="B2B3B6"/>
            </w:tcBorders>
          </w:tcPr>
          <w:p>
            <w:pPr>
              <w:spacing w:after="0"/>
              <w:rPr>
                <w:sz w:val="24"/>
                <w:szCs w:val="24"/>
                <w:color w:val="auto"/>
              </w:rPr>
            </w:pPr>
          </w:p>
        </w:tc>
        <w:tc>
          <w:tcPr>
            <w:tcW w:w="580" w:type="dxa"/>
            <w:vAlign w:val="bottom"/>
            <w:tcBorders>
              <w:bottom w:val="single" w:sz="8" w:color="B2B3B6"/>
            </w:tcBorders>
          </w:tcPr>
          <w:p>
            <w:pPr>
              <w:spacing w:after="0"/>
              <w:rPr>
                <w:sz w:val="24"/>
                <w:szCs w:val="24"/>
                <w:color w:val="auto"/>
              </w:rPr>
            </w:pPr>
          </w:p>
        </w:tc>
        <w:tc>
          <w:tcPr>
            <w:tcW w:w="360" w:type="dxa"/>
            <w:vAlign w:val="bottom"/>
            <w:tcBorders>
              <w:bottom w:val="single" w:sz="8" w:color="B2B3B6"/>
            </w:tcBorders>
          </w:tcPr>
          <w:p>
            <w:pPr>
              <w:spacing w:after="0"/>
              <w:rPr>
                <w:sz w:val="24"/>
                <w:szCs w:val="24"/>
                <w:color w:val="auto"/>
              </w:rPr>
            </w:pPr>
          </w:p>
        </w:tc>
        <w:tc>
          <w:tcPr>
            <w:tcW w:w="1280" w:type="dxa"/>
            <w:vAlign w:val="bottom"/>
            <w:tcBorders>
              <w:bottom w:val="single" w:sz="8" w:color="B2B3B6"/>
            </w:tcBorders>
          </w:tcPr>
          <w:p>
            <w:pPr>
              <w:spacing w:after="0"/>
              <w:rPr>
                <w:sz w:val="24"/>
                <w:szCs w:val="24"/>
                <w:color w:val="auto"/>
              </w:rPr>
            </w:pPr>
          </w:p>
        </w:tc>
        <w:tc>
          <w:tcPr>
            <w:tcW w:w="40" w:type="dxa"/>
            <w:vAlign w:val="bottom"/>
            <w:tcBorders>
              <w:bottom w:val="single" w:sz="8" w:color="B2B3B6"/>
            </w:tcBorders>
          </w:tcPr>
          <w:p>
            <w:pPr>
              <w:spacing w:after="0"/>
              <w:rPr>
                <w:sz w:val="24"/>
                <w:szCs w:val="24"/>
                <w:color w:val="auto"/>
              </w:rPr>
            </w:pPr>
          </w:p>
        </w:tc>
        <w:tc>
          <w:tcPr>
            <w:tcW w:w="1080" w:type="dxa"/>
            <w:vAlign w:val="bottom"/>
            <w:tcBorders>
              <w:bottom w:val="single" w:sz="8" w:color="B2B3B6"/>
            </w:tcBorders>
            <w:shd w:val="clear" w:color="auto" w:fill="6AAA37"/>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43</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2442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 Strategic Measures</w:t>
      </w:r>
    </w:p>
    <w:p>
      <w:pPr>
        <w:spacing w:after="0" w:line="5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portfolio of strategic measures applied to the 2025 annual incentive program directly aligned to the growth strategy of the organization through the following four principles: Grow Revenue, Grow Margins, Grow People and Financial Strength. The executive team’s performance against each goal was assessed against pre-approved, defined measures of success, of which a majority were objective, quantifiable goals. In total, 60% of the strategic measures within the 2025 annual incentive program were assessed against objective, quantifiable goals. The following chart outlines the 2025 goals as well as their weighting, alignment to strategy and actual levels of achievement.</w:t>
      </w:r>
      <w:r>
        <w:rPr>
          <w:rFonts w:ascii="Arial" w:cs="Arial" w:eastAsia="Arial" w:hAnsi="Arial"/>
          <w:sz w:val="23"/>
          <w:szCs w:val="23"/>
          <w:color w:val="FFFFFF"/>
          <w:vertAlign w:val="superscript"/>
        </w:rPr>
        <w:t>9</w:t>
      </w:r>
    </w:p>
    <w:p>
      <w:pPr>
        <w:spacing w:after="0" w:line="200" w:lineRule="exact"/>
        <w:rPr>
          <w:sz w:val="20"/>
          <w:szCs w:val="20"/>
          <w:color w:val="auto"/>
        </w:rPr>
      </w:pPr>
    </w:p>
    <w:p>
      <w:pPr>
        <w:spacing w:after="0" w:line="287" w:lineRule="exact"/>
        <w:rPr>
          <w:sz w:val="20"/>
          <w:szCs w:val="20"/>
          <w:color w:val="auto"/>
        </w:rPr>
      </w:pPr>
    </w:p>
    <w:p>
      <w:pPr>
        <w:ind w:left="5400"/>
        <w:spacing w:after="0"/>
        <w:rPr>
          <w:sz w:val="20"/>
          <w:szCs w:val="20"/>
          <w:color w:val="auto"/>
        </w:rPr>
      </w:pPr>
      <w:r>
        <w:rPr>
          <w:rFonts w:ascii="Arial" w:cs="Arial" w:eastAsia="Arial" w:hAnsi="Arial"/>
          <w:sz w:val="11"/>
          <w:szCs w:val="11"/>
          <w:b w:val="1"/>
          <w:bCs w:val="1"/>
          <w:color w:val="FFFFFF"/>
        </w:rPr>
        <w:t>Target</w:t>
      </w:r>
    </w:p>
    <w:p>
      <w:pPr>
        <w:sectPr>
          <w:pgSz w:w="11900" w:h="16885" w:orient="portrait"/>
          <w:cols w:equalWidth="0" w:num="1">
            <w:col w:w="9060"/>
          </w:cols>
          <w:pgMar w:left="1400" w:top="114" w:right="1439" w:bottom="0" w:gutter="0" w:footer="0" w:header="0"/>
        </w:sectPr>
      </w:pPr>
    </w:p>
    <w:p>
      <w:pPr>
        <w:spacing w:after="0" w:line="333" w:lineRule="exact"/>
        <w:rPr>
          <w:sz w:val="20"/>
          <w:szCs w:val="20"/>
          <w:color w:val="auto"/>
        </w:rPr>
      </w:pPr>
    </w:p>
    <w:p>
      <w:pPr>
        <w:ind w:left="4960"/>
        <w:spacing w:after="0"/>
        <w:tabs>
          <w:tab w:leader="none" w:pos="5640" w:val="left"/>
        </w:tabs>
        <w:rPr>
          <w:sz w:val="20"/>
          <w:szCs w:val="20"/>
          <w:color w:val="auto"/>
        </w:rPr>
      </w:pPr>
      <w:r>
        <w:rPr>
          <w:rFonts w:ascii="Arial" w:cs="Arial" w:eastAsia="Arial" w:hAnsi="Arial"/>
          <w:sz w:val="10"/>
          <w:szCs w:val="10"/>
          <w:b w:val="1"/>
          <w:bCs w:val="1"/>
          <w:color w:val="FFFFFF"/>
        </w:rPr>
        <w:t>Threshold</w:t>
      </w:r>
      <w:r>
        <w:rPr>
          <w:sz w:val="20"/>
          <w:szCs w:val="20"/>
          <w:color w:val="auto"/>
        </w:rPr>
        <w:tab/>
      </w:r>
      <w:r>
        <w:rPr>
          <w:rFonts w:ascii="Arial" w:cs="Arial" w:eastAsia="Arial" w:hAnsi="Arial"/>
          <w:sz w:val="10"/>
          <w:szCs w:val="10"/>
          <w:b w:val="1"/>
          <w:bCs w:val="1"/>
          <w:color w:val="FFFFFF"/>
        </w:rPr>
        <w:t>Maximum</w:t>
      </w:r>
    </w:p>
    <w:p>
      <w:pPr>
        <w:sectPr>
          <w:pgSz w:w="11900" w:h="16885" w:orient="portrait"/>
          <w:cols w:equalWidth="0" w:num="1">
            <w:col w:w="9060"/>
          </w:cols>
          <w:pgMar w:left="1400" w:top="114" w:right="1439"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450"/>
        </w:trPr>
        <w:tc>
          <w:tcPr>
            <w:tcW w:w="860" w:type="dxa"/>
            <w:vAlign w:val="bottom"/>
            <w:shd w:val="clear" w:color="auto" w:fill="00558C"/>
          </w:tcPr>
          <w:p>
            <w:pPr>
              <w:spacing w:after="0"/>
              <w:rPr>
                <w:sz w:val="24"/>
                <w:szCs w:val="24"/>
                <w:color w:val="auto"/>
              </w:rPr>
            </w:pPr>
          </w:p>
        </w:tc>
        <w:tc>
          <w:tcPr>
            <w:tcW w:w="920" w:type="dxa"/>
            <w:vAlign w:val="bottom"/>
          </w:tcPr>
          <w:p>
            <w:pPr>
              <w:spacing w:after="0"/>
              <w:rPr>
                <w:sz w:val="24"/>
                <w:szCs w:val="24"/>
                <w:color w:val="auto"/>
              </w:rPr>
            </w:pPr>
          </w:p>
        </w:tc>
        <w:tc>
          <w:tcPr>
            <w:tcW w:w="3100" w:type="dxa"/>
            <w:vAlign w:val="bottom"/>
          </w:tcPr>
          <w:p>
            <w:pPr>
              <w:ind w:left="140"/>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Focused on executing and successfully</w:t>
            </w:r>
          </w:p>
        </w:tc>
        <w:tc>
          <w:tcPr>
            <w:tcW w:w="0" w:type="dxa"/>
            <w:vAlign w:val="bottom"/>
          </w:tcPr>
          <w:p>
            <w:pPr>
              <w:spacing w:after="0"/>
              <w:rPr>
                <w:sz w:val="1"/>
                <w:szCs w:val="1"/>
                <w:color w:val="auto"/>
              </w:rPr>
            </w:pPr>
          </w:p>
        </w:tc>
      </w:tr>
      <w:tr>
        <w:trPr>
          <w:trHeight w:val="162"/>
        </w:trPr>
        <w:tc>
          <w:tcPr>
            <w:tcW w:w="860" w:type="dxa"/>
            <w:vAlign w:val="bottom"/>
            <w:shd w:val="clear" w:color="auto" w:fill="00558C"/>
          </w:tcPr>
          <w:p>
            <w:pPr>
              <w:spacing w:after="0"/>
              <w:rPr>
                <w:sz w:val="14"/>
                <w:szCs w:val="14"/>
                <w:color w:val="auto"/>
              </w:rPr>
            </w:pPr>
          </w:p>
        </w:tc>
        <w:tc>
          <w:tcPr>
            <w:tcW w:w="920" w:type="dxa"/>
            <w:vAlign w:val="bottom"/>
          </w:tcPr>
          <w:p>
            <w:pPr>
              <w:spacing w:after="0"/>
              <w:rPr>
                <w:sz w:val="14"/>
                <w:szCs w:val="14"/>
                <w:color w:val="auto"/>
              </w:rPr>
            </w:pPr>
          </w:p>
        </w:tc>
        <w:tc>
          <w:tcPr>
            <w:tcW w:w="3100" w:type="dxa"/>
            <w:vAlign w:val="bottom"/>
          </w:tcPr>
          <w:p>
            <w:pPr>
              <w:ind w:left="300"/>
              <w:spacing w:after="0"/>
              <w:rPr>
                <w:sz w:val="20"/>
                <w:szCs w:val="20"/>
                <w:color w:val="auto"/>
              </w:rPr>
            </w:pPr>
            <w:r>
              <w:rPr>
                <w:rFonts w:ascii="Arial" w:cs="Arial" w:eastAsia="Arial" w:hAnsi="Arial"/>
                <w:sz w:val="14"/>
                <w:szCs w:val="14"/>
                <w:color w:val="auto"/>
              </w:rPr>
              <w:t>communicating our Destination 2030</w:t>
            </w:r>
          </w:p>
        </w:tc>
        <w:tc>
          <w:tcPr>
            <w:tcW w:w="0" w:type="dxa"/>
            <w:vAlign w:val="bottom"/>
          </w:tcPr>
          <w:p>
            <w:pPr>
              <w:spacing w:after="0"/>
              <w:rPr>
                <w:sz w:val="1"/>
                <w:szCs w:val="1"/>
                <w:color w:val="auto"/>
              </w:rPr>
            </w:pPr>
          </w:p>
        </w:tc>
      </w:tr>
      <w:tr>
        <w:trPr>
          <w:trHeight w:val="144"/>
        </w:trPr>
        <w:tc>
          <w:tcPr>
            <w:tcW w:w="860" w:type="dxa"/>
            <w:vAlign w:val="bottom"/>
            <w:shd w:val="clear" w:color="auto" w:fill="00558C"/>
          </w:tcPr>
          <w:p>
            <w:pPr>
              <w:spacing w:after="0"/>
              <w:rPr>
                <w:sz w:val="12"/>
                <w:szCs w:val="12"/>
                <w:color w:val="auto"/>
              </w:rPr>
            </w:pPr>
          </w:p>
        </w:tc>
        <w:tc>
          <w:tcPr>
            <w:tcW w:w="920" w:type="dxa"/>
            <w:vAlign w:val="bottom"/>
          </w:tcPr>
          <w:p>
            <w:pPr>
              <w:spacing w:after="0"/>
              <w:rPr>
                <w:sz w:val="12"/>
                <w:szCs w:val="12"/>
                <w:color w:val="auto"/>
              </w:rPr>
            </w:pPr>
          </w:p>
        </w:tc>
        <w:tc>
          <w:tcPr>
            <w:tcW w:w="3100" w:type="dxa"/>
            <w:vAlign w:val="bottom"/>
          </w:tcPr>
          <w:p>
            <w:pPr>
              <w:ind w:left="300"/>
              <w:spacing w:after="0" w:line="145" w:lineRule="exact"/>
              <w:rPr>
                <w:sz w:val="20"/>
                <w:szCs w:val="20"/>
                <w:color w:val="auto"/>
              </w:rPr>
            </w:pPr>
            <w:r>
              <w:rPr>
                <w:rFonts w:ascii="Arial" w:cs="Arial" w:eastAsia="Arial" w:hAnsi="Arial"/>
                <w:sz w:val="14"/>
                <w:szCs w:val="14"/>
                <w:color w:val="auto"/>
              </w:rPr>
              <w:t>growth strategy, including accelerating</w:t>
            </w:r>
          </w:p>
        </w:tc>
        <w:tc>
          <w:tcPr>
            <w:tcW w:w="0" w:type="dxa"/>
            <w:vAlign w:val="bottom"/>
          </w:tcPr>
          <w:p>
            <w:pPr>
              <w:spacing w:after="0"/>
              <w:rPr>
                <w:sz w:val="1"/>
                <w:szCs w:val="1"/>
                <w:color w:val="auto"/>
              </w:rPr>
            </w:pPr>
          </w:p>
        </w:tc>
      </w:tr>
      <w:tr>
        <w:trPr>
          <w:trHeight w:val="54"/>
        </w:trPr>
        <w:tc>
          <w:tcPr>
            <w:tcW w:w="860" w:type="dxa"/>
            <w:vAlign w:val="bottom"/>
            <w:shd w:val="clear" w:color="auto" w:fill="00558C"/>
          </w:tcPr>
          <w:p>
            <w:pPr>
              <w:spacing w:after="0"/>
              <w:rPr>
                <w:sz w:val="4"/>
                <w:szCs w:val="4"/>
                <w:color w:val="auto"/>
              </w:rPr>
            </w:pPr>
          </w:p>
        </w:tc>
        <w:tc>
          <w:tcPr>
            <w:tcW w:w="920" w:type="dxa"/>
            <w:vAlign w:val="bottom"/>
          </w:tcPr>
          <w:p>
            <w:pPr>
              <w:spacing w:after="0"/>
              <w:rPr>
                <w:sz w:val="4"/>
                <w:szCs w:val="4"/>
                <w:color w:val="auto"/>
              </w:rPr>
            </w:pPr>
          </w:p>
        </w:tc>
        <w:tc>
          <w:tcPr>
            <w:tcW w:w="3100" w:type="dxa"/>
            <w:vAlign w:val="bottom"/>
          </w:tcPr>
          <w:p>
            <w:pPr>
              <w:ind w:left="220"/>
              <w:spacing w:after="0" w:line="54" w:lineRule="exact"/>
              <w:rPr>
                <w:sz w:val="20"/>
                <w:szCs w:val="20"/>
                <w:color w:val="auto"/>
              </w:rPr>
            </w:pPr>
            <w:r>
              <w:rPr>
                <w:rFonts w:ascii="Arial" w:cs="Arial" w:eastAsia="Arial" w:hAnsi="Arial"/>
                <w:sz w:val="6"/>
                <w:szCs w:val="6"/>
                <w:b w:val="1"/>
                <w:bCs w:val="1"/>
                <w:color w:val="FFFFFF"/>
              </w:rPr>
              <w:t>Alignment of Strategic Priorities</w:t>
            </w:r>
          </w:p>
        </w:tc>
        <w:tc>
          <w:tcPr>
            <w:tcW w:w="0" w:type="dxa"/>
            <w:vAlign w:val="bottom"/>
          </w:tcPr>
          <w:p>
            <w:pPr>
              <w:spacing w:after="0"/>
              <w:rPr>
                <w:sz w:val="1"/>
                <w:szCs w:val="1"/>
                <w:color w:val="auto"/>
              </w:rPr>
            </w:pPr>
          </w:p>
        </w:tc>
      </w:tr>
      <w:tr>
        <w:trPr>
          <w:trHeight w:val="122"/>
        </w:trPr>
        <w:tc>
          <w:tcPr>
            <w:tcW w:w="86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FFFFFF"/>
              </w:rPr>
              <w:t>Goals</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FFFFFF"/>
              </w:rPr>
              <w:t>Weighting</w:t>
            </w:r>
          </w:p>
        </w:tc>
        <w:tc>
          <w:tcPr>
            <w:tcW w:w="3100" w:type="dxa"/>
            <w:vAlign w:val="bottom"/>
          </w:tcPr>
          <w:p>
            <w:pPr>
              <w:ind w:left="300"/>
              <w:spacing w:after="0" w:line="122" w:lineRule="exact"/>
              <w:rPr>
                <w:sz w:val="20"/>
                <w:szCs w:val="20"/>
                <w:color w:val="auto"/>
              </w:rPr>
            </w:pPr>
            <w:r>
              <w:rPr>
                <w:rFonts w:ascii="Arial" w:cs="Arial" w:eastAsia="Arial" w:hAnsi="Arial"/>
                <w:sz w:val="14"/>
                <w:szCs w:val="14"/>
                <w:color w:val="auto"/>
              </w:rPr>
              <w:t>growth in the healthcare and education</w:t>
            </w:r>
          </w:p>
        </w:tc>
        <w:tc>
          <w:tcPr>
            <w:tcW w:w="0" w:type="dxa"/>
            <w:vAlign w:val="bottom"/>
          </w:tcPr>
          <w:p>
            <w:pPr>
              <w:spacing w:after="0"/>
              <w:rPr>
                <w:sz w:val="1"/>
                <w:szCs w:val="1"/>
                <w:color w:val="auto"/>
              </w:rPr>
            </w:pPr>
          </w:p>
        </w:tc>
      </w:tr>
      <w:tr>
        <w:trPr>
          <w:trHeight w:val="54"/>
        </w:trPr>
        <w:tc>
          <w:tcPr>
            <w:tcW w:w="860" w:type="dxa"/>
            <w:vAlign w:val="bottom"/>
            <w:vMerge w:val="continue"/>
            <w:shd w:val="clear" w:color="auto" w:fill="00558C"/>
          </w:tcPr>
          <w:p>
            <w:pPr>
              <w:spacing w:after="0"/>
              <w:rPr>
                <w:sz w:val="4"/>
                <w:szCs w:val="4"/>
                <w:color w:val="auto"/>
              </w:rPr>
            </w:pPr>
          </w:p>
        </w:tc>
        <w:tc>
          <w:tcPr>
            <w:tcW w:w="920" w:type="dxa"/>
            <w:vAlign w:val="bottom"/>
            <w:vMerge w:val="continue"/>
          </w:tcPr>
          <w:p>
            <w:pPr>
              <w:spacing w:after="0"/>
              <w:rPr>
                <w:sz w:val="4"/>
                <w:szCs w:val="4"/>
                <w:color w:val="auto"/>
              </w:rPr>
            </w:pPr>
          </w:p>
        </w:tc>
        <w:tc>
          <w:tcPr>
            <w:tcW w:w="3100" w:type="dxa"/>
            <w:vAlign w:val="bottom"/>
          </w:tcPr>
          <w:p>
            <w:pPr>
              <w:ind w:left="220"/>
              <w:spacing w:after="0" w:line="54" w:lineRule="exact"/>
              <w:rPr>
                <w:sz w:val="20"/>
                <w:szCs w:val="20"/>
                <w:color w:val="auto"/>
              </w:rPr>
            </w:pPr>
            <w:r>
              <w:rPr>
                <w:rFonts w:ascii="Arial" w:cs="Arial" w:eastAsia="Arial" w:hAnsi="Arial"/>
                <w:sz w:val="6"/>
                <w:szCs w:val="6"/>
                <w:b w:val="1"/>
                <w:bCs w:val="1"/>
                <w:color w:val="FFFFFF"/>
              </w:rPr>
              <w:t>with Company Strategy</w:t>
            </w:r>
          </w:p>
        </w:tc>
        <w:tc>
          <w:tcPr>
            <w:tcW w:w="0" w:type="dxa"/>
            <w:vAlign w:val="bottom"/>
          </w:tcPr>
          <w:p>
            <w:pPr>
              <w:spacing w:after="0"/>
              <w:rPr>
                <w:sz w:val="1"/>
                <w:szCs w:val="1"/>
                <w:color w:val="auto"/>
              </w:rPr>
            </w:pPr>
          </w:p>
        </w:tc>
      </w:tr>
      <w:tr>
        <w:trPr>
          <w:trHeight w:val="122"/>
        </w:trPr>
        <w:tc>
          <w:tcPr>
            <w:tcW w:w="860" w:type="dxa"/>
            <w:vAlign w:val="bottom"/>
            <w:shd w:val="clear" w:color="auto" w:fill="00558C"/>
          </w:tcPr>
          <w:p>
            <w:pPr>
              <w:ind w:left="140"/>
              <w:spacing w:after="0" w:line="102" w:lineRule="exact"/>
              <w:rPr>
                <w:sz w:val="20"/>
                <w:szCs w:val="20"/>
                <w:color w:val="auto"/>
              </w:rPr>
            </w:pPr>
            <w:r>
              <w:rPr>
                <w:rFonts w:ascii="Arial" w:cs="Arial" w:eastAsia="Arial" w:hAnsi="Arial"/>
                <w:sz w:val="11"/>
                <w:szCs w:val="11"/>
                <w:b w:val="1"/>
                <w:bCs w:val="1"/>
                <w:color w:val="auto"/>
              </w:rPr>
              <w:t>Grow</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6AAA37"/>
              </w:rPr>
              <w:t>40.0%</w:t>
            </w:r>
          </w:p>
        </w:tc>
        <w:tc>
          <w:tcPr>
            <w:tcW w:w="3100" w:type="dxa"/>
            <w:vAlign w:val="bottom"/>
          </w:tcPr>
          <w:p>
            <w:pPr>
              <w:ind w:left="300"/>
              <w:spacing w:after="0" w:line="102" w:lineRule="exact"/>
              <w:rPr>
                <w:sz w:val="20"/>
                <w:szCs w:val="20"/>
                <w:color w:val="auto"/>
              </w:rPr>
            </w:pPr>
            <w:r>
              <w:rPr>
                <w:rFonts w:ascii="Arial" w:cs="Arial" w:eastAsia="Arial" w:hAnsi="Arial"/>
                <w:sz w:val="11"/>
                <w:szCs w:val="11"/>
                <w:color w:val="auto"/>
              </w:rPr>
              <w:t>industries, expanding our presence in</w:t>
            </w:r>
          </w:p>
        </w:tc>
        <w:tc>
          <w:tcPr>
            <w:tcW w:w="0" w:type="dxa"/>
            <w:vAlign w:val="bottom"/>
          </w:tcPr>
          <w:p>
            <w:pPr>
              <w:spacing w:after="0"/>
              <w:rPr>
                <w:sz w:val="1"/>
                <w:szCs w:val="1"/>
                <w:color w:val="auto"/>
              </w:rPr>
            </w:pPr>
          </w:p>
        </w:tc>
      </w:tr>
      <w:tr>
        <w:trPr>
          <w:trHeight w:val="119"/>
        </w:trPr>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920" w:type="dxa"/>
            <w:vAlign w:val="bottom"/>
            <w:vMerge w:val="continue"/>
          </w:tcPr>
          <w:p>
            <w:pPr>
              <w:spacing w:after="0"/>
              <w:rPr>
                <w:sz w:val="10"/>
                <w:szCs w:val="10"/>
                <w:color w:val="auto"/>
              </w:rPr>
            </w:pPr>
          </w:p>
        </w:tc>
        <w:tc>
          <w:tcPr>
            <w:tcW w:w="3100" w:type="dxa"/>
            <w:vAlign w:val="bottom"/>
            <w:vMerge w:val="restart"/>
          </w:tcPr>
          <w:p>
            <w:pPr>
              <w:ind w:left="300"/>
              <w:spacing w:after="0"/>
              <w:rPr>
                <w:sz w:val="20"/>
                <w:szCs w:val="20"/>
                <w:color w:val="auto"/>
              </w:rPr>
            </w:pPr>
            <w:r>
              <w:rPr>
                <w:rFonts w:ascii="Arial" w:cs="Arial" w:eastAsia="Arial" w:hAnsi="Arial"/>
                <w:sz w:val="14"/>
                <w:szCs w:val="14"/>
                <w:color w:val="auto"/>
              </w:rPr>
              <w:t>commercial industries, advancing our</w:t>
            </w:r>
          </w:p>
        </w:tc>
        <w:tc>
          <w:tcPr>
            <w:tcW w:w="0" w:type="dxa"/>
            <w:vAlign w:val="bottom"/>
          </w:tcPr>
          <w:p>
            <w:pPr>
              <w:spacing w:after="0"/>
              <w:rPr>
                <w:sz w:val="1"/>
                <w:szCs w:val="1"/>
                <w:color w:val="auto"/>
              </w:rPr>
            </w:pPr>
          </w:p>
        </w:tc>
      </w:tr>
      <w:tr>
        <w:trPr>
          <w:trHeight w:val="101"/>
        </w:trPr>
        <w:tc>
          <w:tcPr>
            <w:tcW w:w="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2080" w:right="200"/>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141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0375" cy="6414135"/>
                    </a:xfrm>
                    <a:prstGeom prst="rect">
                      <a:avLst/>
                    </a:prstGeom>
                    <a:noFill/>
                  </pic:spPr>
                </pic:pic>
              </a:graphicData>
            </a:graphic>
          </wp:anchor>
        </w:drawing>
        <w:t>integrated digital platform, and executing programmatic M&amp;A.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80" w:right="240" w:hanging="162"/>
        <w:spacing w:after="0" w:line="261" w:lineRule="auto"/>
        <w:tabs>
          <w:tab w:leader="none" w:pos="2080" w:val="left"/>
        </w:tabs>
        <w:numPr>
          <w:ilvl w:val="0"/>
          <w:numId w:val="57"/>
        </w:numPr>
        <w:rPr>
          <w:rFonts w:ascii="Arial" w:cs="Arial" w:eastAsia="Arial" w:hAnsi="Arial"/>
          <w:sz w:val="14"/>
          <w:szCs w:val="14"/>
          <w:b w:val="1"/>
          <w:bCs w:val="1"/>
          <w:color w:val="6AAA37"/>
        </w:rPr>
      </w:pPr>
      <w:r>
        <w:rPr>
          <w:rFonts w:ascii="Arial" w:cs="Arial" w:eastAsia="Arial" w:hAnsi="Arial"/>
          <w:sz w:val="14"/>
          <w:szCs w:val="14"/>
          <w:color w:val="auto"/>
        </w:rPr>
        <w:t>Focused on advancing our margin and investment objectives by enhancing and maturing our global delivery model and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4"/>
          <w:szCs w:val="14"/>
          <w:b w:val="1"/>
          <w:bCs w:val="1"/>
          <w:color w:val="FFFFFF"/>
        </w:rPr>
        <w:t>Level of</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Achievement</w:t>
      </w:r>
    </w:p>
    <w:p>
      <w:pPr>
        <w:spacing w:after="0" w:line="122" w:lineRule="exact"/>
        <w:rPr>
          <w:sz w:val="20"/>
          <w:szCs w:val="20"/>
          <w:color w:val="auto"/>
        </w:rPr>
      </w:pPr>
    </w:p>
    <w:p>
      <w:pPr>
        <w:jc w:val="center"/>
        <w:ind w:left="-159"/>
        <w:spacing w:after="0"/>
        <w:rPr>
          <w:sz w:val="20"/>
          <w:szCs w:val="20"/>
          <w:color w:val="auto"/>
        </w:rPr>
      </w:pPr>
      <w:r>
        <w:rPr>
          <w:rFonts w:ascii="Arial" w:cs="Arial" w:eastAsia="Arial" w:hAnsi="Arial"/>
          <w:sz w:val="14"/>
          <w:szCs w:val="14"/>
          <w:b w:val="1"/>
          <w:bCs w:val="1"/>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113%</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60" w:right="240" w:hanging="154"/>
        <w:spacing w:after="0" w:line="261" w:lineRule="auto"/>
        <w:tabs>
          <w:tab w:leader="none" w:pos="160" w:val="left"/>
        </w:tabs>
        <w:numPr>
          <w:ilvl w:val="0"/>
          <w:numId w:val="58"/>
        </w:numPr>
        <w:rPr>
          <w:rFonts w:ascii="Arial" w:cs="Arial" w:eastAsia="Arial" w:hAnsi="Arial"/>
          <w:sz w:val="14"/>
          <w:szCs w:val="14"/>
          <w:b w:val="1"/>
          <w:bCs w:val="1"/>
          <w:color w:val="6AAA37"/>
        </w:rPr>
      </w:pPr>
      <w:r>
        <w:rPr>
          <w:rFonts w:ascii="Arial" w:cs="Arial" w:eastAsia="Arial" w:hAnsi="Arial"/>
          <w:sz w:val="14"/>
          <w:szCs w:val="14"/>
          <w:color w:val="auto"/>
        </w:rPr>
        <w:t>Achieved our growth goals related to executing and communicating our 2030 growth strategy and advancing</w:t>
      </w:r>
    </w:p>
    <w:p>
      <w:pPr>
        <w:ind w:left="160"/>
        <w:spacing w:after="0" w:line="193" w:lineRule="auto"/>
        <w:rPr>
          <w:sz w:val="20"/>
          <w:szCs w:val="20"/>
          <w:color w:val="auto"/>
        </w:rPr>
      </w:pPr>
      <w:r>
        <w:rPr>
          <w:rFonts w:ascii="Arial" w:cs="Arial" w:eastAsia="Arial" w:hAnsi="Arial"/>
          <w:sz w:val="6"/>
          <w:szCs w:val="6"/>
          <w:color w:val="auto"/>
        </w:rPr>
        <w:t>our programmatic M&amp;A strategy.</w:t>
      </w:r>
    </w:p>
    <w:p>
      <w:pPr>
        <w:ind w:left="80"/>
        <w:spacing w:after="0" w:line="181" w:lineRule="auto"/>
        <w:rPr>
          <w:sz w:val="20"/>
          <w:szCs w:val="20"/>
          <w:color w:val="auto"/>
        </w:rPr>
      </w:pPr>
      <w:r>
        <w:rPr>
          <w:rFonts w:ascii="Arial" w:cs="Arial" w:eastAsia="Arial" w:hAnsi="Arial"/>
          <w:sz w:val="14"/>
          <w:szCs w:val="14"/>
          <w:b w:val="1"/>
          <w:bCs w:val="1"/>
          <w:color w:val="FFFFFF"/>
        </w:rPr>
        <w:t>Achievement Details</w:t>
      </w: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Partially achieved our growth goals</w:t>
      </w:r>
    </w:p>
    <w:p>
      <w:pPr>
        <w:spacing w:after="0" w:line="15" w:lineRule="exact"/>
        <w:rPr>
          <w:sz w:val="20"/>
          <w:szCs w:val="20"/>
          <w:color w:val="auto"/>
        </w:rPr>
      </w:pPr>
    </w:p>
    <w:p>
      <w:pPr>
        <w:ind w:left="160" w:right="260"/>
        <w:spacing w:after="0" w:line="262" w:lineRule="auto"/>
        <w:rPr>
          <w:sz w:val="20"/>
          <w:szCs w:val="20"/>
          <w:color w:val="auto"/>
        </w:rPr>
      </w:pPr>
      <w:r>
        <w:rPr>
          <w:rFonts w:ascii="Arial" w:cs="Arial" w:eastAsia="Arial" w:hAnsi="Arial"/>
          <w:sz w:val="14"/>
          <w:szCs w:val="14"/>
          <w:color w:val="auto"/>
        </w:rPr>
        <w:t>related to accelerating growth in the healthcare and education industries, executing our commercial strategy, and advancing our integrated digital platform.</w:t>
      </w:r>
    </w:p>
    <w:p>
      <w:pPr>
        <w:spacing w:after="0" w:line="239" w:lineRule="exact"/>
        <w:rPr>
          <w:sz w:val="20"/>
          <w:szCs w:val="20"/>
          <w:color w:val="auto"/>
        </w:rPr>
      </w:pPr>
    </w:p>
    <w:p>
      <w:pPr>
        <w:ind w:left="160" w:right="140" w:hanging="159"/>
        <w:spacing w:after="0" w:line="249" w:lineRule="auto"/>
        <w:tabs>
          <w:tab w:leader="none" w:pos="140" w:val="left"/>
        </w:tabs>
        <w:rPr>
          <w:sz w:val="20"/>
          <w:szCs w:val="20"/>
          <w:color w:val="auto"/>
        </w:rPr>
      </w:pPr>
      <w:r>
        <w:rPr>
          <w:rFonts w:ascii="Arial" w:cs="Arial" w:eastAsia="Arial" w:hAnsi="Arial"/>
          <w:sz w:val="14"/>
          <w:szCs w:val="14"/>
          <w:b w:val="1"/>
          <w:bCs w:val="1"/>
          <w:color w:val="6AAA37"/>
        </w:rPr>
        <w:t>•</w:t>
      </w:r>
      <w:r>
        <w:rPr>
          <w:sz w:val="20"/>
          <w:szCs w:val="20"/>
          <w:color w:val="auto"/>
        </w:rPr>
        <w:tab/>
      </w:r>
      <w:r>
        <w:rPr>
          <w:rFonts w:ascii="Arial" w:cs="Arial" w:eastAsia="Arial" w:hAnsi="Arial"/>
          <w:sz w:val="14"/>
          <w:szCs w:val="14"/>
          <w:color w:val="auto"/>
        </w:rPr>
        <w:t>Improved adjusted EBITDA margin</w:t>
      </w:r>
      <w:r>
        <w:rPr>
          <w:rFonts w:ascii="Arial" w:cs="Arial" w:eastAsia="Arial" w:hAnsi="Arial"/>
          <w:sz w:val="18"/>
          <w:szCs w:val="18"/>
          <w:color w:val="auto"/>
          <w:vertAlign w:val="superscript"/>
        </w:rPr>
        <w:t>9</w:t>
      </w:r>
      <w:r>
        <w:rPr>
          <w:rFonts w:ascii="Arial" w:cs="Arial" w:eastAsia="Arial" w:hAnsi="Arial"/>
          <w:sz w:val="14"/>
          <w:szCs w:val="14"/>
          <w:color w:val="auto"/>
        </w:rPr>
        <w:t xml:space="preserve"> by 80 basis points over 2024 through initiatives focused on utilization, global delivery and SG&amp;A leverage. Also,</w:t>
      </w:r>
    </w:p>
    <w:p>
      <w:pPr>
        <w:spacing w:after="0" w:line="2" w:lineRule="exact"/>
        <w:rPr>
          <w:sz w:val="20"/>
          <w:szCs w:val="20"/>
          <w:color w:val="auto"/>
        </w:rPr>
      </w:pPr>
    </w:p>
    <w:p>
      <w:pPr>
        <w:sectPr>
          <w:pgSz w:w="11900" w:h="16838" w:orient="portrait"/>
          <w:cols w:equalWidth="0" w:num="3">
            <w:col w:w="4880" w:space="200"/>
            <w:col w:w="900" w:space="360"/>
            <w:col w:w="2740"/>
          </w:cols>
          <w:pgMar w:left="1400" w:top="140" w:right="1419" w:bottom="0" w:gutter="0" w:footer="0" w:header="0"/>
        </w:sectPr>
      </w:pPr>
    </w:p>
    <w:p>
      <w:pPr>
        <w:spacing w:after="0" w:line="80" w:lineRule="exact"/>
        <w:rPr>
          <w:sz w:val="20"/>
          <w:szCs w:val="20"/>
          <w:color w:val="auto"/>
        </w:rPr>
      </w:pPr>
    </w:p>
    <w:p>
      <w:pPr>
        <w:ind w:left="140"/>
        <w:spacing w:after="0" w:line="194" w:lineRule="auto"/>
        <w:rPr>
          <w:sz w:val="20"/>
          <w:szCs w:val="20"/>
          <w:color w:val="auto"/>
        </w:rPr>
      </w:pPr>
      <w:r>
        <w:rPr>
          <w:rFonts w:ascii="Arial" w:cs="Arial" w:eastAsia="Arial" w:hAnsi="Arial"/>
          <w:sz w:val="28"/>
          <w:szCs w:val="28"/>
          <w:b w:val="1"/>
          <w:bCs w:val="1"/>
          <w:color w:val="000000"/>
          <w:vertAlign w:val="superscript"/>
        </w:rPr>
        <w:t>Grow</w:t>
      </w:r>
      <w:r>
        <w:rPr>
          <w:rFonts w:ascii="Arial" w:cs="Arial" w:eastAsia="Arial" w:hAnsi="Arial"/>
          <w:sz w:val="14"/>
          <w:szCs w:val="14"/>
          <w:b w:val="1"/>
          <w:bCs w:val="1"/>
          <w:color w:val="6AAA37"/>
        </w:rPr>
        <w:t xml:space="preserve"> 25.0% </w:t>
      </w:r>
      <w:r>
        <w:rPr>
          <w:rFonts w:ascii="Arial" w:cs="Arial" w:eastAsia="Arial" w:hAnsi="Arial"/>
          <w:sz w:val="14"/>
          <w:szCs w:val="14"/>
          <w:b w:val="1"/>
          <w:bCs w:val="1"/>
          <w:color w:val="000000"/>
        </w:rPr>
        <w:t>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000000"/>
          <w:vertAlign w:val="superscript"/>
        </w:rPr>
        <w:t>Grow</w:t>
      </w:r>
      <w:r>
        <w:rPr>
          <w:rFonts w:ascii="Arial" w:cs="Arial" w:eastAsia="Arial" w:hAnsi="Arial"/>
          <w:sz w:val="14"/>
          <w:szCs w:val="14"/>
          <w:b w:val="1"/>
          <w:bCs w:val="1"/>
          <w:color w:val="6AAA37"/>
        </w:rPr>
        <w:t xml:space="preserve"> 25.0% </w:t>
      </w:r>
      <w:r>
        <w:rPr>
          <w:rFonts w:ascii="Arial" w:cs="Arial" w:eastAsia="Arial" w:hAnsi="Arial"/>
          <w:sz w:val="14"/>
          <w:szCs w:val="14"/>
          <w:b w:val="1"/>
          <w:bCs w:val="1"/>
          <w:color w:val="000000"/>
        </w:rPr>
        <w:t>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line="264" w:lineRule="auto"/>
        <w:rPr>
          <w:sz w:val="20"/>
          <w:szCs w:val="20"/>
          <w:color w:val="auto"/>
        </w:rPr>
      </w:pPr>
      <w:r>
        <w:rPr>
          <w:rFonts w:ascii="Arial" w:cs="Arial" w:eastAsia="Arial" w:hAnsi="Arial"/>
          <w:sz w:val="14"/>
          <w:szCs w:val="14"/>
          <w:b w:val="1"/>
          <w:bCs w:val="1"/>
          <w:color w:val="auto"/>
        </w:rPr>
        <w:t xml:space="preserve">Financial </w:t>
      </w:r>
      <w:r>
        <w:rPr>
          <w:rFonts w:ascii="Arial" w:cs="Arial" w:eastAsia="Arial" w:hAnsi="Arial"/>
          <w:sz w:val="28"/>
          <w:szCs w:val="28"/>
          <w:b w:val="1"/>
          <w:bCs w:val="1"/>
          <w:color w:val="6AAA37"/>
          <w:vertAlign w:val="subscript"/>
        </w:rPr>
        <w:t>10.0%</w:t>
      </w:r>
      <w:r>
        <w:rPr>
          <w:rFonts w:ascii="Arial" w:cs="Arial" w:eastAsia="Arial" w:hAnsi="Arial"/>
          <w:sz w:val="14"/>
          <w:szCs w:val="14"/>
          <w:b w:val="1"/>
          <w:bCs w:val="1"/>
          <w:color w:val="auto"/>
        </w:rPr>
        <w:t xml:space="preserve"> Strength</w:t>
      </w:r>
    </w:p>
    <w:p>
      <w:pPr>
        <w:spacing w:after="0" w:line="20" w:lineRule="exact"/>
        <w:rPr>
          <w:sz w:val="20"/>
          <w:szCs w:val="20"/>
          <w:color w:val="auto"/>
        </w:rPr>
      </w:pPr>
      <w:r>
        <w:rPr>
          <w:sz w:val="20"/>
          <w:szCs w:val="20"/>
          <w:color w:val="auto"/>
        </w:rPr>
        <w:br w:type="column"/>
      </w:r>
    </w:p>
    <w:p>
      <w:pPr>
        <w:ind w:left="162" w:right="40"/>
        <w:spacing w:after="0" w:line="262" w:lineRule="auto"/>
        <w:rPr>
          <w:sz w:val="20"/>
          <w:szCs w:val="20"/>
          <w:color w:val="auto"/>
        </w:rPr>
      </w:pPr>
      <w:r>
        <w:rPr>
          <w:rFonts w:ascii="Arial" w:cs="Arial" w:eastAsia="Arial" w:hAnsi="Arial"/>
          <w:sz w:val="14"/>
          <w:szCs w:val="14"/>
          <w:color w:val="auto"/>
        </w:rPr>
        <w:t>operational processes, optimizing utilization and resource management, effectively managing our SG&amp;A leverage, and executing our margin-enhancing delivery model, AI and automation initiatives.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2" w:hanging="162"/>
        <w:spacing w:after="0" w:line="264" w:lineRule="auto"/>
        <w:tabs>
          <w:tab w:leader="none" w:pos="162" w:val="left"/>
        </w:tabs>
        <w:numPr>
          <w:ilvl w:val="0"/>
          <w:numId w:val="59"/>
        </w:numPr>
        <w:rPr>
          <w:rFonts w:ascii="Arial" w:cs="Arial" w:eastAsia="Arial" w:hAnsi="Arial"/>
          <w:sz w:val="14"/>
          <w:szCs w:val="14"/>
          <w:b w:val="1"/>
          <w:bCs w:val="1"/>
          <w:color w:val="6AAA37"/>
        </w:rPr>
      </w:pPr>
      <w:r>
        <w:rPr>
          <w:rFonts w:ascii="Arial" w:cs="Arial" w:eastAsia="Arial" w:hAnsi="Arial"/>
          <w:sz w:val="14"/>
          <w:szCs w:val="14"/>
          <w:color w:val="auto"/>
        </w:rPr>
        <w:t>Focused on fostering a collaborative culture grounded in inclusion and belonging, while attracting, engaging, developing, and retaining top talent, strengthening our leadership pipeline through effective succession planning, and enhancing Huron’s reputation as an employer of choice to support our strategic objectives and long-term growth.</w:t>
      </w:r>
    </w:p>
    <w:p>
      <w:pPr>
        <w:spacing w:after="0" w:line="200" w:lineRule="exact"/>
        <w:rPr>
          <w:rFonts w:ascii="Arial" w:cs="Arial" w:eastAsia="Arial" w:hAnsi="Arial"/>
          <w:sz w:val="14"/>
          <w:szCs w:val="14"/>
          <w:b w:val="1"/>
          <w:bCs w:val="1"/>
          <w:color w:val="6AAA37"/>
        </w:rPr>
      </w:pPr>
    </w:p>
    <w:p>
      <w:pPr>
        <w:spacing w:after="0" w:line="339" w:lineRule="exact"/>
        <w:rPr>
          <w:rFonts w:ascii="Arial" w:cs="Arial" w:eastAsia="Arial" w:hAnsi="Arial"/>
          <w:sz w:val="14"/>
          <w:szCs w:val="14"/>
          <w:b w:val="1"/>
          <w:bCs w:val="1"/>
          <w:color w:val="6AAA37"/>
        </w:rPr>
      </w:pPr>
    </w:p>
    <w:p>
      <w:pPr>
        <w:ind w:left="162" w:right="20" w:hanging="162"/>
        <w:spacing w:after="0" w:line="267" w:lineRule="auto"/>
        <w:tabs>
          <w:tab w:leader="none" w:pos="162" w:val="left"/>
        </w:tabs>
        <w:numPr>
          <w:ilvl w:val="0"/>
          <w:numId w:val="59"/>
        </w:numPr>
        <w:rPr>
          <w:rFonts w:ascii="Arial" w:cs="Arial" w:eastAsia="Arial" w:hAnsi="Arial"/>
          <w:sz w:val="14"/>
          <w:szCs w:val="14"/>
          <w:b w:val="1"/>
          <w:bCs w:val="1"/>
          <w:color w:val="6AAA37"/>
        </w:rPr>
      </w:pPr>
      <w:r>
        <w:rPr>
          <w:rFonts w:ascii="Arial" w:cs="Arial" w:eastAsia="Arial" w:hAnsi="Arial"/>
          <w:sz w:val="14"/>
          <w:szCs w:val="14"/>
          <w:color w:val="auto"/>
        </w:rPr>
        <w:t>Focused on maintaining a strong balance sheet with appropriate leverage and flexibility to support the achievement of Huron’s strategic plans while executing our balanced capital allocation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br w:type="column"/>
      </w:r>
    </w:p>
    <w:p>
      <w:pPr>
        <w:ind w:left="160" w:right="140"/>
        <w:spacing w:after="0" w:line="262" w:lineRule="auto"/>
        <w:rPr>
          <w:sz w:val="20"/>
          <w:szCs w:val="20"/>
          <w:color w:val="auto"/>
        </w:rPr>
      </w:pPr>
      <w:r>
        <w:rPr>
          <w:rFonts w:ascii="Arial" w:cs="Arial" w:eastAsia="Arial" w:hAnsi="Arial"/>
          <w:sz w:val="14"/>
          <w:szCs w:val="14"/>
          <w:color w:val="auto"/>
        </w:rPr>
        <w:t>strengthened our global operations and enterprise functions to further enable our ability to grow and scale. We also executed on initiatives to accelerate our use of analytics, AI and automation to deliver our work more efficiently and effectively.</w:t>
      </w:r>
    </w:p>
    <w:p>
      <w:pPr>
        <w:spacing w:after="0" w:line="254" w:lineRule="exact"/>
        <w:rPr>
          <w:sz w:val="20"/>
          <w:szCs w:val="20"/>
          <w:color w:val="auto"/>
        </w:rPr>
      </w:pPr>
    </w:p>
    <w:p>
      <w:pPr>
        <w:ind w:left="160" w:right="140" w:hanging="159"/>
        <w:spacing w:after="0" w:line="261" w:lineRule="auto"/>
        <w:tabs>
          <w:tab w:leader="none" w:pos="140" w:val="left"/>
        </w:tabs>
        <w:rPr>
          <w:sz w:val="20"/>
          <w:szCs w:val="20"/>
          <w:color w:val="auto"/>
        </w:rPr>
      </w:pPr>
      <w:r>
        <w:rPr>
          <w:rFonts w:ascii="Arial" w:cs="Arial" w:eastAsia="Arial" w:hAnsi="Arial"/>
          <w:sz w:val="14"/>
          <w:szCs w:val="14"/>
          <w:b w:val="1"/>
          <w:bCs w:val="1"/>
          <w:color w:val="6AAA37"/>
        </w:rPr>
        <w:t>•</w:t>
      </w:r>
      <w:r>
        <w:rPr>
          <w:sz w:val="20"/>
          <w:szCs w:val="20"/>
          <w:color w:val="auto"/>
        </w:rPr>
        <w:tab/>
      </w:r>
      <w:r>
        <w:rPr>
          <w:rFonts w:ascii="Arial" w:cs="Arial" w:eastAsia="Arial" w:hAnsi="Arial"/>
          <w:sz w:val="14"/>
          <w:szCs w:val="14"/>
          <w:color w:val="auto"/>
        </w:rPr>
        <w:t>Achieved our priorities to advance our commitment to our employees in 2025, realizing low turnover, achieving strong employee engagement results, and executing on our succession plans to help ensure a strong pipeline into senior leadership. Also, continued to foster a culture of belonging and inclusivity and enhanced our company’s reputation and position as an employer of choice.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Achieved our 2025 leverage goal.</w:t>
      </w:r>
    </w:p>
    <w:p>
      <w:pPr>
        <w:spacing w:after="0" w:line="7" w:lineRule="exact"/>
        <w:rPr>
          <w:sz w:val="20"/>
          <w:szCs w:val="20"/>
          <w:color w:val="auto"/>
        </w:rPr>
      </w:pPr>
    </w:p>
    <w:p>
      <w:pPr>
        <w:ind w:left="160" w:right="240" w:hanging="159"/>
        <w:spacing w:after="0" w:line="234" w:lineRule="auto"/>
        <w:tabs>
          <w:tab w:leader="none" w:pos="140" w:val="left"/>
        </w:tabs>
        <w:rPr>
          <w:sz w:val="20"/>
          <w:szCs w:val="20"/>
          <w:color w:val="auto"/>
        </w:rPr>
      </w:pPr>
      <w:r>
        <w:rPr>
          <w:rFonts w:ascii="Arial" w:cs="Arial" w:eastAsia="Arial" w:hAnsi="Arial"/>
          <w:sz w:val="14"/>
          <w:szCs w:val="14"/>
          <w:b w:val="1"/>
          <w:bCs w:val="1"/>
          <w:color w:val="6AAA37"/>
        </w:rPr>
        <w:t>•</w:t>
      </w:r>
      <w:r>
        <w:rPr>
          <w:sz w:val="20"/>
          <w:szCs w:val="20"/>
          <w:color w:val="auto"/>
        </w:rPr>
        <w:tab/>
      </w:r>
      <w:r>
        <w:rPr>
          <w:rFonts w:ascii="Arial" w:cs="Arial" w:eastAsia="Arial" w:hAnsi="Arial"/>
          <w:sz w:val="14"/>
          <w:szCs w:val="14"/>
          <w:color w:val="auto"/>
        </w:rPr>
        <w:t>Did not achieve 2025 free cash flow</w:t>
      </w:r>
      <w:r>
        <w:rPr>
          <w:rFonts w:ascii="Arial" w:cs="Arial" w:eastAsia="Arial" w:hAnsi="Arial"/>
          <w:sz w:val="18"/>
          <w:szCs w:val="18"/>
          <w:color w:val="auto"/>
          <w:vertAlign w:val="superscript"/>
        </w:rPr>
        <w:t>9</w:t>
      </w:r>
      <w:r>
        <w:rPr>
          <w:rFonts w:ascii="Arial" w:cs="Arial" w:eastAsia="Arial" w:hAnsi="Arial"/>
          <w:sz w:val="14"/>
          <w:szCs w:val="14"/>
          <w:color w:val="auto"/>
        </w:rPr>
        <w:t xml:space="preserve"> goal.</w:t>
      </w:r>
    </w:p>
    <w:p>
      <w:pPr>
        <w:spacing w:after="0" w:line="393" w:lineRule="exact"/>
        <w:rPr>
          <w:sz w:val="20"/>
          <w:szCs w:val="20"/>
          <w:color w:val="auto"/>
        </w:rPr>
      </w:pPr>
    </w:p>
    <w:p>
      <w:pPr>
        <w:sectPr>
          <w:pgSz w:w="11900" w:h="16838" w:orient="portrait"/>
          <w:cols w:equalWidth="0" w:num="4">
            <w:col w:w="1580" w:space="338"/>
            <w:col w:w="2822" w:space="680"/>
            <w:col w:w="360" w:space="560"/>
            <w:col w:w="2740"/>
          </w:cols>
          <w:pgMar w:left="1400" w:top="140" w:right="1419" w:bottom="0" w:gutter="0" w:footer="0" w:header="0"/>
          <w:type w:val="continuous"/>
        </w:sectPr>
      </w:pPr>
    </w:p>
    <w:p>
      <w:pPr>
        <w:spacing w:after="0" w:line="52" w:lineRule="exact"/>
        <w:rPr>
          <w:sz w:val="20"/>
          <w:szCs w:val="20"/>
          <w:color w:val="auto"/>
        </w:rPr>
      </w:pPr>
    </w:p>
    <w:p>
      <w:pPr>
        <w:ind w:left="140"/>
        <w:spacing w:after="0"/>
        <w:tabs>
          <w:tab w:leader="none" w:pos="1180" w:val="left"/>
        </w:tabs>
        <w:rPr>
          <w:sz w:val="20"/>
          <w:szCs w:val="20"/>
          <w:color w:val="auto"/>
        </w:rPr>
      </w:pPr>
      <w:r>
        <w:rPr>
          <w:rFonts w:ascii="Arial" w:cs="Arial" w:eastAsia="Arial" w:hAnsi="Arial"/>
          <w:sz w:val="12"/>
          <w:szCs w:val="12"/>
          <w:b w:val="1"/>
          <w:bCs w:val="1"/>
          <w:color w:val="auto"/>
        </w:rPr>
        <w:t>Total</w:t>
      </w:r>
      <w:r>
        <w:rPr>
          <w:sz w:val="20"/>
          <w:szCs w:val="20"/>
          <w:color w:val="auto"/>
        </w:rPr>
        <w:tab/>
      </w:r>
      <w:r>
        <w:rPr>
          <w:rFonts w:ascii="Arial" w:cs="Arial" w:eastAsia="Arial" w:hAnsi="Arial"/>
          <w:sz w:val="20"/>
          <w:szCs w:val="20"/>
          <w:b w:val="1"/>
          <w:bCs w:val="1"/>
          <w:color w:val="6AAA37"/>
          <w:vertAlign w:val="superscript"/>
        </w:rPr>
        <w:t>100%</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97%</w:t>
      </w:r>
    </w:p>
    <w:p>
      <w:pPr>
        <w:spacing w:after="0" w:line="253" w:lineRule="exact"/>
        <w:rPr>
          <w:sz w:val="20"/>
          <w:szCs w:val="20"/>
          <w:color w:val="auto"/>
        </w:rPr>
      </w:pPr>
    </w:p>
    <w:p>
      <w:pPr>
        <w:sectPr>
          <w:pgSz w:w="11900" w:h="16838" w:orient="portrait"/>
          <w:cols w:equalWidth="0" w:num="2">
            <w:col w:w="6100" w:space="720"/>
            <w:col w:w="2260"/>
          </w:cols>
          <w:pgMar w:left="1400" w:top="140" w:right="1419" w:bottom="0" w:gutter="0" w:footer="0" w:header="0"/>
          <w:type w:val="continuous"/>
        </w:sectPr>
      </w:pPr>
    </w:p>
    <w:p>
      <w:pPr>
        <w:spacing w:after="0" w:line="387" w:lineRule="exact"/>
        <w:rPr>
          <w:sz w:val="20"/>
          <w:szCs w:val="20"/>
          <w:color w:val="auto"/>
        </w:rPr>
      </w:pPr>
    </w:p>
    <w:p>
      <w:pPr>
        <w:ind w:right="100" w:firstLine="8"/>
        <w:spacing w:after="0" w:line="271" w:lineRule="auto"/>
        <w:tabs>
          <w:tab w:leader="none" w:pos="90" w:val="left"/>
        </w:tabs>
        <w:numPr>
          <w:ilvl w:val="0"/>
          <w:numId w:val="6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A for the definitions of adjusted EBITDA margin free cash flow, and other non-GAAP financial measures included in this Proxy Statement, as well as their reconciliation to the most directly comparable GAAP financial measure.</w:t>
      </w:r>
    </w:p>
    <w:p>
      <w:pPr>
        <w:spacing w:after="0" w:line="29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44</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40195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Long-Term Incentive Program</w:t>
      </w:r>
    </w:p>
    <w:p>
      <w:pPr>
        <w:spacing w:after="0" w:line="9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2025 long-term incentive program, 70% of the target long-term incentive program value was granted in the form of performance share units (PSUs) and 30% was granted in the form of restricted stock units (RSUs), both with a three-year vesting period. The final payout of the PSUs granted in 2025 will be determined at the end of the full three-year performance period based on performance against predetermined, cumulative three-year goals for Revenues before Reimbursable Expenses and Adjusted Diluted EPS, with 50-50 weighting. The Compensation Committee selected cumulative Revenues before Reimbursable Expenses and Adjusted Diluted EPS as the performance metrics for the PSU portion of the long-term incentive program because these measures reflect sustained operating performance and long-term value creation over a multi-year period. Adjusted Diluted EPS, a non-GAAP measure, excludes items that are not indicative of ongoing operations, allowing for more meaningful period-to-period comparisons and clearer line of sight between management actions and performance outcomes. See Appendix A for additional information regarding these non-GAAP financial measures, including a reconciliation to the most directly comparable GAAP financial measures.</w:t>
      </w:r>
    </w:p>
    <w:p>
      <w:pPr>
        <w:spacing w:after="0" w:line="114"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minimum amount of PSUs that could be earned is 25% of target, calculated as threshold payout of 50% on only one of the financial measures. No PSUs will be earned if a threshold level of performance is not achieved for all financial measures. The PSUs can be earned up to 200% of target for maximum performance on all financial measures. As in prior years, we cannot disclose the details of the three-year goals at this time due to their material, non-public nature.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RSUs granted in 2025 will vest annually over the three-year vesting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Awarded Performance-Based Long-Term Incentive Programs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2023-2025 Performance Cycle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2023, 70% of the target long-term incentive program value was granted in the form of PSUs with a three-year performance</w:t>
      </w:r>
    </w:p>
    <w:p>
      <w:pPr>
        <w:sectPr>
          <w:pgSz w:w="11900" w:h="16838" w:orient="portrait"/>
          <w:cols w:equalWidth="0" w:num="1">
            <w:col w:w="9080"/>
          </w:cols>
          <w:pgMar w:left="1400" w:top="140" w:right="1419" w:bottom="0" w:gutter="0" w:footer="0" w:header="0"/>
          <w:type w:val="continuous"/>
        </w:sectPr>
      </w:pPr>
    </w:p>
    <w:bookmarkStart w:id="48" w:name="page49"/>
    <w:bookmarkEnd w:id="48"/>
    <w:p>
      <w:pPr>
        <w:spacing w:after="0" w:line="182" w:lineRule="auto"/>
        <w:rPr>
          <w:sz w:val="20"/>
          <w:szCs w:val="20"/>
          <w:color w:val="auto"/>
        </w:rPr>
      </w:pPr>
      <w:r>
        <w:rPr>
          <w:rFonts w:ascii="Arial" w:cs="Arial" w:eastAsia="Arial" w:hAnsi="Arial"/>
          <w:sz w:val="16"/>
          <w:szCs w:val="16"/>
          <w:color w:val="auto"/>
        </w:rPr>
        <w:t>period that ended on December 31, 2025, and 30% was granted in the form of RSUs with a three-year vesting period. The final payout of the PSUs was calculated based on the actual results of Revenues before Reimbursable Expenses and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-160020</wp:posOffset>
            </wp:positionV>
            <wp:extent cx="6810375" cy="48367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4836795"/>
                    </a:xfrm>
                    <a:prstGeom prst="rect">
                      <a:avLst/>
                    </a:prstGeom>
                    <a:noFill/>
                  </pic:spPr>
                </pic:pic>
              </a:graphicData>
            </a:graphic>
          </wp:anchor>
        </w:drawing>
      </w:r>
    </w:p>
    <w:p>
      <w:pPr>
        <w:ind w:right="160"/>
        <w:spacing w:after="0" w:line="266" w:lineRule="auto"/>
        <w:rPr>
          <w:sz w:val="20"/>
          <w:szCs w:val="20"/>
          <w:color w:val="auto"/>
        </w:rPr>
      </w:pPr>
      <w:r>
        <w:rPr>
          <w:rFonts w:ascii="Arial" w:cs="Arial" w:eastAsia="Arial" w:hAnsi="Arial"/>
          <w:sz w:val="16"/>
          <w:szCs w:val="16"/>
          <w:color w:val="auto"/>
        </w:rPr>
        <w:t>Diluted EPS</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over the three-year period against the predetermined, cumulative three-year performance goals. Based on the actual results during the performance cycle, the overall payout was 180% of target as illustrated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shd w:val="clear" w:color="auto" w:fill="00558C"/>
          </w:tcPr>
          <w:p>
            <w:pPr>
              <w:spacing w:after="0"/>
              <w:rPr>
                <w:sz w:val="20"/>
                <w:szCs w:val="20"/>
                <w:color w:val="auto"/>
              </w:rPr>
            </w:pPr>
          </w:p>
        </w:tc>
        <w:tc>
          <w:tcPr>
            <w:tcW w:w="1400" w:type="dxa"/>
            <w:vAlign w:val="bottom"/>
            <w:shd w:val="clear" w:color="auto" w:fill="00558C"/>
          </w:tcPr>
          <w:p>
            <w:pPr>
              <w:spacing w:after="0"/>
              <w:rPr>
                <w:sz w:val="20"/>
                <w:szCs w:val="20"/>
                <w:color w:val="auto"/>
              </w:rPr>
            </w:pPr>
          </w:p>
        </w:tc>
        <w:tc>
          <w:tcPr>
            <w:tcW w:w="1300" w:type="dxa"/>
            <w:vAlign w:val="bottom"/>
            <w:tcBorders>
              <w:left w:val="single" w:sz="8" w:color="00558C"/>
              <w:right w:val="single" w:sz="8" w:color="00558C"/>
            </w:tcBorders>
            <w:shd w:val="clear" w:color="auto" w:fill="00558C"/>
          </w:tcPr>
          <w:p>
            <w:pPr>
              <w:spacing w:after="0"/>
              <w:rPr>
                <w:sz w:val="20"/>
                <w:szCs w:val="20"/>
                <w:color w:val="auto"/>
              </w:rPr>
            </w:pPr>
          </w:p>
        </w:tc>
        <w:tc>
          <w:tcPr>
            <w:tcW w:w="320" w:type="dxa"/>
            <w:vAlign w:val="bottom"/>
            <w:shd w:val="clear" w:color="auto" w:fill="00558C"/>
          </w:tcPr>
          <w:p>
            <w:pPr>
              <w:spacing w:after="0"/>
              <w:rPr>
                <w:sz w:val="20"/>
                <w:szCs w:val="20"/>
                <w:color w:val="auto"/>
              </w:rPr>
            </w:pPr>
          </w:p>
        </w:tc>
        <w:tc>
          <w:tcPr>
            <w:tcW w:w="1160" w:type="dxa"/>
            <w:vAlign w:val="bottom"/>
            <w:gridSpan w:val="2"/>
            <w:shd w:val="clear" w:color="auto" w:fill="00558C"/>
          </w:tcPr>
          <w:p>
            <w:pPr>
              <w:ind w:left="180"/>
              <w:spacing w:after="0"/>
              <w:rPr>
                <w:sz w:val="20"/>
                <w:szCs w:val="20"/>
                <w:color w:val="auto"/>
              </w:rPr>
            </w:pPr>
            <w:r>
              <w:rPr>
                <w:rFonts w:ascii="Arial" w:cs="Arial" w:eastAsia="Arial" w:hAnsi="Arial"/>
                <w:sz w:val="14"/>
                <w:szCs w:val="14"/>
                <w:b w:val="1"/>
                <w:bCs w:val="1"/>
                <w:color w:val="FFFFFF"/>
              </w:rPr>
              <w:t>Achievement</w:t>
            </w:r>
          </w:p>
        </w:tc>
        <w:tc>
          <w:tcPr>
            <w:tcW w:w="500" w:type="dxa"/>
            <w:vAlign w:val="bottom"/>
            <w:tcBorders>
              <w:right w:val="single" w:sz="8" w:color="00558C"/>
            </w:tcBorders>
            <w:shd w:val="clear" w:color="auto" w:fill="00558C"/>
          </w:tcPr>
          <w:p>
            <w:pPr>
              <w:spacing w:after="0"/>
              <w:rPr>
                <w:sz w:val="20"/>
                <w:szCs w:val="20"/>
                <w:color w:val="auto"/>
              </w:rPr>
            </w:pPr>
          </w:p>
        </w:tc>
        <w:tc>
          <w:tcPr>
            <w:tcW w:w="620" w:type="dxa"/>
            <w:vAlign w:val="bottom"/>
            <w:shd w:val="clear" w:color="auto" w:fill="00558C"/>
          </w:tcPr>
          <w:p>
            <w:pPr>
              <w:spacing w:after="0"/>
              <w:rPr>
                <w:sz w:val="20"/>
                <w:szCs w:val="20"/>
                <w:color w:val="auto"/>
              </w:rPr>
            </w:pPr>
          </w:p>
        </w:tc>
        <w:tc>
          <w:tcPr>
            <w:tcW w:w="640" w:type="dxa"/>
            <w:vAlign w:val="bottom"/>
            <w:shd w:val="clear" w:color="auto" w:fill="00558C"/>
          </w:tcPr>
          <w:p>
            <w:pPr>
              <w:spacing w:after="0"/>
              <w:rPr>
                <w:sz w:val="20"/>
                <w:szCs w:val="20"/>
                <w:color w:val="auto"/>
              </w:rPr>
            </w:pPr>
          </w:p>
        </w:tc>
        <w:tc>
          <w:tcPr>
            <w:tcW w:w="40" w:type="dxa"/>
            <w:vAlign w:val="bottom"/>
            <w:tcBorders>
              <w:left w:val="single" w:sz="8" w:color="00558C"/>
            </w:tcBorders>
            <w:shd w:val="clear" w:color="auto" w:fill="00558C"/>
          </w:tcPr>
          <w:p>
            <w:pPr>
              <w:spacing w:after="0"/>
              <w:rPr>
                <w:sz w:val="20"/>
                <w:szCs w:val="20"/>
                <w:color w:val="auto"/>
              </w:rPr>
            </w:pPr>
          </w:p>
        </w:tc>
        <w:tc>
          <w:tcPr>
            <w:tcW w:w="1080" w:type="dxa"/>
            <w:vAlign w:val="bottom"/>
            <w:vMerge w:val="restart"/>
            <w:shd w:val="clear" w:color="auto" w:fill="00558C"/>
          </w:tcPr>
          <w:p>
            <w:pPr>
              <w:jc w:val="right"/>
              <w:ind w:right="108"/>
              <w:spacing w:after="0"/>
              <w:rPr>
                <w:sz w:val="20"/>
                <w:szCs w:val="20"/>
                <w:color w:val="auto"/>
              </w:rPr>
            </w:pPr>
            <w:r>
              <w:rPr>
                <w:rFonts w:ascii="Arial" w:cs="Arial" w:eastAsia="Arial" w:hAnsi="Arial"/>
                <w:sz w:val="14"/>
                <w:szCs w:val="14"/>
                <w:b w:val="1"/>
                <w:bCs w:val="1"/>
                <w:color w:val="FFFFFF"/>
              </w:rPr>
              <w:t>Payout % of</w:t>
            </w:r>
          </w:p>
        </w:tc>
        <w:tc>
          <w:tcPr>
            <w:tcW w:w="0" w:type="dxa"/>
            <w:vAlign w:val="bottom"/>
          </w:tcPr>
          <w:p>
            <w:pPr>
              <w:spacing w:after="0"/>
              <w:rPr>
                <w:sz w:val="1"/>
                <w:szCs w:val="1"/>
                <w:color w:val="auto"/>
              </w:rPr>
            </w:pPr>
          </w:p>
        </w:tc>
      </w:tr>
      <w:tr>
        <w:trPr>
          <w:trHeight w:val="29"/>
        </w:trPr>
        <w:tc>
          <w:tcPr>
            <w:tcW w:w="200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FFFFFF"/>
              </w:rPr>
              <w:t>Performance Measure</w:t>
            </w:r>
          </w:p>
        </w:tc>
        <w:tc>
          <w:tcPr>
            <w:tcW w:w="1400" w:type="dxa"/>
            <w:vAlign w:val="bottom"/>
            <w:vMerge w:val="restart"/>
            <w:shd w:val="clear" w:color="auto" w:fill="00558C"/>
          </w:tcPr>
          <w:p>
            <w:pPr>
              <w:ind w:left="320"/>
              <w:spacing w:after="0"/>
              <w:rPr>
                <w:sz w:val="20"/>
                <w:szCs w:val="20"/>
                <w:color w:val="auto"/>
              </w:rPr>
            </w:pPr>
            <w:r>
              <w:rPr>
                <w:rFonts w:ascii="Arial" w:cs="Arial" w:eastAsia="Arial" w:hAnsi="Arial"/>
                <w:sz w:val="14"/>
                <w:szCs w:val="14"/>
                <w:b w:val="1"/>
                <w:bCs w:val="1"/>
                <w:color w:val="FFFFFF"/>
              </w:rPr>
              <w:t>Weighting</w:t>
            </w:r>
          </w:p>
        </w:tc>
        <w:tc>
          <w:tcPr>
            <w:tcW w:w="1620" w:type="dxa"/>
            <w:vAlign w:val="bottom"/>
            <w:tcBorders>
              <w:left w:val="single" w:sz="8" w:color="00558C"/>
            </w:tcBorders>
            <w:gridSpan w:val="2"/>
            <w:vMerge w:val="restart"/>
            <w:shd w:val="clear" w:color="auto" w:fill="00558C"/>
          </w:tcPr>
          <w:p>
            <w:pPr>
              <w:ind w:left="420"/>
              <w:spacing w:after="0"/>
              <w:rPr>
                <w:sz w:val="20"/>
                <w:szCs w:val="20"/>
                <w:color w:val="auto"/>
              </w:rPr>
            </w:pPr>
            <w:r>
              <w:rPr>
                <w:rFonts w:ascii="Arial" w:cs="Arial" w:eastAsia="Arial" w:hAnsi="Arial"/>
                <w:sz w:val="14"/>
                <w:szCs w:val="14"/>
                <w:b w:val="1"/>
                <w:bCs w:val="1"/>
                <w:color w:val="FFFFFF"/>
              </w:rPr>
              <w:t>Threshold</w:t>
            </w:r>
          </w:p>
        </w:tc>
        <w:tc>
          <w:tcPr>
            <w:tcW w:w="1160" w:type="dxa"/>
            <w:vAlign w:val="bottom"/>
            <w:gridSpan w:val="2"/>
            <w:vMerge w:val="restart"/>
            <w:shd w:val="clear" w:color="auto" w:fill="00558C"/>
          </w:tcPr>
          <w:p>
            <w:pPr>
              <w:jc w:val="center"/>
              <w:ind w:left="73"/>
              <w:spacing w:after="0"/>
              <w:rPr>
                <w:sz w:val="20"/>
                <w:szCs w:val="20"/>
                <w:color w:val="auto"/>
              </w:rPr>
            </w:pPr>
            <w:r>
              <w:rPr>
                <w:rFonts w:ascii="Arial" w:cs="Arial" w:eastAsia="Arial" w:hAnsi="Arial"/>
                <w:sz w:val="14"/>
                <w:szCs w:val="14"/>
                <w:b w:val="1"/>
                <w:bCs w:val="1"/>
                <w:color w:val="FFFFFF"/>
                <w:w w:val="98"/>
              </w:rPr>
              <w:t>Target</w:t>
            </w:r>
          </w:p>
        </w:tc>
        <w:tc>
          <w:tcPr>
            <w:tcW w:w="500" w:type="dxa"/>
            <w:vAlign w:val="bottom"/>
            <w:tcBorders>
              <w:right w:val="single" w:sz="8" w:color="00558C"/>
            </w:tcBorders>
            <w:shd w:val="clear" w:color="auto" w:fill="00558C"/>
          </w:tcPr>
          <w:p>
            <w:pPr>
              <w:spacing w:after="0"/>
              <w:rPr>
                <w:sz w:val="2"/>
                <w:szCs w:val="2"/>
                <w:color w:val="auto"/>
              </w:rPr>
            </w:pPr>
          </w:p>
        </w:tc>
        <w:tc>
          <w:tcPr>
            <w:tcW w:w="1300" w:type="dxa"/>
            <w:vAlign w:val="bottom"/>
            <w:gridSpan w:val="3"/>
            <w:vMerge w:val="restart"/>
            <w:shd w:val="clear" w:color="auto" w:fill="00558C"/>
          </w:tcPr>
          <w:p>
            <w:pPr>
              <w:ind w:left="160"/>
              <w:spacing w:after="0"/>
              <w:rPr>
                <w:sz w:val="20"/>
                <w:szCs w:val="20"/>
                <w:color w:val="auto"/>
              </w:rPr>
            </w:pPr>
            <w:r>
              <w:rPr>
                <w:rFonts w:ascii="Arial" w:cs="Arial" w:eastAsia="Arial" w:hAnsi="Arial"/>
                <w:sz w:val="14"/>
                <w:szCs w:val="14"/>
                <w:b w:val="1"/>
                <w:bCs w:val="1"/>
                <w:color w:val="FFFFFF"/>
              </w:rPr>
              <w:t>Maximum</w:t>
            </w:r>
          </w:p>
        </w:tc>
        <w:tc>
          <w:tcPr>
            <w:tcW w:w="1080" w:type="dxa"/>
            <w:vAlign w:val="bottom"/>
            <w:vMerge w:val="continue"/>
            <w:shd w:val="clear" w:color="auto" w:fill="00558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0" w:type="dxa"/>
            <w:vAlign w:val="bottom"/>
            <w:vMerge w:val="continue"/>
            <w:shd w:val="clear" w:color="auto" w:fill="00558C"/>
          </w:tcPr>
          <w:p>
            <w:pPr>
              <w:spacing w:after="0"/>
              <w:rPr>
                <w:sz w:val="18"/>
                <w:szCs w:val="18"/>
                <w:color w:val="auto"/>
              </w:rPr>
            </w:pPr>
          </w:p>
        </w:tc>
        <w:tc>
          <w:tcPr>
            <w:tcW w:w="1400" w:type="dxa"/>
            <w:vAlign w:val="bottom"/>
            <w:vMerge w:val="continue"/>
            <w:shd w:val="clear" w:color="auto" w:fill="00558C"/>
          </w:tcPr>
          <w:p>
            <w:pPr>
              <w:spacing w:after="0"/>
              <w:rPr>
                <w:sz w:val="18"/>
                <w:szCs w:val="18"/>
                <w:color w:val="auto"/>
              </w:rPr>
            </w:pPr>
          </w:p>
        </w:tc>
        <w:tc>
          <w:tcPr>
            <w:tcW w:w="1620" w:type="dxa"/>
            <w:vAlign w:val="bottom"/>
            <w:tcBorders>
              <w:left w:val="single" w:sz="8" w:color="00558C"/>
            </w:tcBorders>
            <w:gridSpan w:val="2"/>
            <w:vMerge w:val="continue"/>
            <w:shd w:val="clear" w:color="auto" w:fill="00558C"/>
          </w:tcPr>
          <w:p>
            <w:pPr>
              <w:spacing w:after="0"/>
              <w:rPr>
                <w:sz w:val="18"/>
                <w:szCs w:val="18"/>
                <w:color w:val="auto"/>
              </w:rPr>
            </w:pPr>
          </w:p>
        </w:tc>
        <w:tc>
          <w:tcPr>
            <w:tcW w:w="1160" w:type="dxa"/>
            <w:vAlign w:val="bottom"/>
            <w:gridSpan w:val="2"/>
            <w:vMerge w:val="continue"/>
            <w:shd w:val="clear" w:color="auto" w:fill="00558C"/>
          </w:tcPr>
          <w:p>
            <w:pPr>
              <w:spacing w:after="0"/>
              <w:rPr>
                <w:sz w:val="18"/>
                <w:szCs w:val="18"/>
                <w:color w:val="auto"/>
              </w:rPr>
            </w:pPr>
          </w:p>
        </w:tc>
        <w:tc>
          <w:tcPr>
            <w:tcW w:w="500" w:type="dxa"/>
            <w:vAlign w:val="bottom"/>
            <w:tcBorders>
              <w:right w:val="single" w:sz="8" w:color="00558C"/>
            </w:tcBorders>
            <w:shd w:val="clear" w:color="auto" w:fill="00558C"/>
          </w:tcPr>
          <w:p>
            <w:pPr>
              <w:spacing w:after="0"/>
              <w:rPr>
                <w:sz w:val="18"/>
                <w:szCs w:val="18"/>
                <w:color w:val="auto"/>
              </w:rPr>
            </w:pPr>
          </w:p>
        </w:tc>
        <w:tc>
          <w:tcPr>
            <w:tcW w:w="1300" w:type="dxa"/>
            <w:vAlign w:val="bottom"/>
            <w:gridSpan w:val="3"/>
            <w:vMerge w:val="continue"/>
            <w:shd w:val="clear" w:color="auto" w:fill="00558C"/>
          </w:tcPr>
          <w:p>
            <w:pPr>
              <w:spacing w:after="0"/>
              <w:rPr>
                <w:sz w:val="18"/>
                <w:szCs w:val="18"/>
                <w:color w:val="auto"/>
              </w:rPr>
            </w:pPr>
          </w:p>
        </w:tc>
        <w:tc>
          <w:tcPr>
            <w:tcW w:w="1080" w:type="dxa"/>
            <w:vAlign w:val="bottom"/>
            <w:shd w:val="clear" w:color="auto" w:fill="00558C"/>
          </w:tcPr>
          <w:p>
            <w:pPr>
              <w:jc w:val="right"/>
              <w:ind w:right="288"/>
              <w:spacing w:after="0"/>
              <w:rPr>
                <w:sz w:val="20"/>
                <w:szCs w:val="20"/>
                <w:color w:val="auto"/>
              </w:rPr>
            </w:pPr>
            <w:r>
              <w:rPr>
                <w:rFonts w:ascii="Arial" w:cs="Arial" w:eastAsia="Arial" w:hAnsi="Arial"/>
                <w:sz w:val="14"/>
                <w:szCs w:val="14"/>
                <w:b w:val="1"/>
                <w:bCs w:val="1"/>
                <w:color w:val="FFFFFF"/>
              </w:rPr>
              <w:t>Target</w:t>
            </w:r>
          </w:p>
        </w:tc>
        <w:tc>
          <w:tcPr>
            <w:tcW w:w="0" w:type="dxa"/>
            <w:vAlign w:val="bottom"/>
          </w:tcPr>
          <w:p>
            <w:pPr>
              <w:spacing w:after="0"/>
              <w:rPr>
                <w:sz w:val="1"/>
                <w:szCs w:val="1"/>
                <w:color w:val="auto"/>
              </w:rPr>
            </w:pPr>
          </w:p>
        </w:tc>
      </w:tr>
      <w:tr>
        <w:trPr>
          <w:trHeight w:val="70"/>
        </w:trPr>
        <w:tc>
          <w:tcPr>
            <w:tcW w:w="2000" w:type="dxa"/>
            <w:vAlign w:val="bottom"/>
            <w:shd w:val="clear" w:color="auto" w:fill="00558C"/>
          </w:tcPr>
          <w:p>
            <w:pPr>
              <w:spacing w:after="0"/>
              <w:rPr>
                <w:sz w:val="6"/>
                <w:szCs w:val="6"/>
                <w:color w:val="auto"/>
              </w:rPr>
            </w:pPr>
          </w:p>
        </w:tc>
        <w:tc>
          <w:tcPr>
            <w:tcW w:w="1400" w:type="dxa"/>
            <w:vAlign w:val="bottom"/>
            <w:shd w:val="clear" w:color="auto" w:fill="00558C"/>
          </w:tcPr>
          <w:p>
            <w:pPr>
              <w:spacing w:after="0"/>
              <w:rPr>
                <w:sz w:val="6"/>
                <w:szCs w:val="6"/>
                <w:color w:val="auto"/>
              </w:rPr>
            </w:pPr>
          </w:p>
        </w:tc>
        <w:tc>
          <w:tcPr>
            <w:tcW w:w="1300" w:type="dxa"/>
            <w:vAlign w:val="bottom"/>
            <w:tcBorders>
              <w:left w:val="single" w:sz="8" w:color="00558C"/>
              <w:right w:val="single" w:sz="8" w:color="00558C"/>
            </w:tcBorders>
            <w:shd w:val="clear" w:color="auto" w:fill="00558C"/>
          </w:tcPr>
          <w:p>
            <w:pPr>
              <w:spacing w:after="0"/>
              <w:rPr>
                <w:sz w:val="6"/>
                <w:szCs w:val="6"/>
                <w:color w:val="auto"/>
              </w:rPr>
            </w:pPr>
          </w:p>
        </w:tc>
        <w:tc>
          <w:tcPr>
            <w:tcW w:w="320" w:type="dxa"/>
            <w:vAlign w:val="bottom"/>
            <w:shd w:val="clear" w:color="auto" w:fill="00558C"/>
          </w:tcPr>
          <w:p>
            <w:pPr>
              <w:spacing w:after="0"/>
              <w:rPr>
                <w:sz w:val="6"/>
                <w:szCs w:val="6"/>
                <w:color w:val="auto"/>
              </w:rPr>
            </w:pPr>
          </w:p>
        </w:tc>
        <w:tc>
          <w:tcPr>
            <w:tcW w:w="700" w:type="dxa"/>
            <w:vAlign w:val="bottom"/>
            <w:tcBorders>
              <w:right w:val="single" w:sz="8" w:color="00558C"/>
            </w:tcBorders>
            <w:shd w:val="clear" w:color="auto" w:fill="00558C"/>
          </w:tcPr>
          <w:p>
            <w:pPr>
              <w:spacing w:after="0"/>
              <w:rPr>
                <w:sz w:val="6"/>
                <w:szCs w:val="6"/>
                <w:color w:val="auto"/>
              </w:rPr>
            </w:pPr>
          </w:p>
        </w:tc>
        <w:tc>
          <w:tcPr>
            <w:tcW w:w="960" w:type="dxa"/>
            <w:vAlign w:val="bottom"/>
            <w:tcBorders>
              <w:right w:val="single" w:sz="8" w:color="00558C"/>
            </w:tcBorders>
            <w:gridSpan w:val="2"/>
            <w:shd w:val="clear" w:color="auto" w:fill="00558C"/>
          </w:tcPr>
          <w:p>
            <w:pPr>
              <w:spacing w:after="0"/>
              <w:rPr>
                <w:sz w:val="6"/>
                <w:szCs w:val="6"/>
                <w:color w:val="auto"/>
              </w:rPr>
            </w:pPr>
          </w:p>
        </w:tc>
        <w:tc>
          <w:tcPr>
            <w:tcW w:w="620" w:type="dxa"/>
            <w:vAlign w:val="bottom"/>
            <w:shd w:val="clear" w:color="auto" w:fill="00558C"/>
          </w:tcPr>
          <w:p>
            <w:pPr>
              <w:spacing w:after="0"/>
              <w:rPr>
                <w:sz w:val="6"/>
                <w:szCs w:val="6"/>
                <w:color w:val="auto"/>
              </w:rPr>
            </w:pPr>
          </w:p>
        </w:tc>
        <w:tc>
          <w:tcPr>
            <w:tcW w:w="640" w:type="dxa"/>
            <w:vAlign w:val="bottom"/>
            <w:shd w:val="clear" w:color="auto" w:fill="00558C"/>
          </w:tcPr>
          <w:p>
            <w:pPr>
              <w:spacing w:after="0"/>
              <w:rPr>
                <w:sz w:val="6"/>
                <w:szCs w:val="6"/>
                <w:color w:val="auto"/>
              </w:rPr>
            </w:pPr>
          </w:p>
        </w:tc>
        <w:tc>
          <w:tcPr>
            <w:tcW w:w="40" w:type="dxa"/>
            <w:vAlign w:val="bottom"/>
            <w:tcBorders>
              <w:left w:val="single" w:sz="8" w:color="00558C"/>
            </w:tcBorders>
            <w:shd w:val="clear" w:color="auto" w:fill="00558C"/>
          </w:tcPr>
          <w:p>
            <w:pPr>
              <w:spacing w:after="0"/>
              <w:rPr>
                <w:sz w:val="6"/>
                <w:szCs w:val="6"/>
                <w:color w:val="auto"/>
              </w:rPr>
            </w:pPr>
          </w:p>
        </w:tc>
        <w:tc>
          <w:tcPr>
            <w:tcW w:w="1080" w:type="dxa"/>
            <w:vAlign w:val="bottom"/>
            <w:shd w:val="clear" w:color="auto" w:fill="00558C"/>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00" w:type="dxa"/>
            <w:vAlign w:val="bottom"/>
            <w:shd w:val="clear" w:color="auto" w:fill="F2F3F2"/>
          </w:tcPr>
          <w:p>
            <w:pPr>
              <w:spacing w:after="0"/>
              <w:rPr>
                <w:sz w:val="8"/>
                <w:szCs w:val="8"/>
                <w:color w:val="auto"/>
              </w:rPr>
            </w:pPr>
          </w:p>
        </w:tc>
        <w:tc>
          <w:tcPr>
            <w:tcW w:w="1400" w:type="dxa"/>
            <w:vAlign w:val="bottom"/>
            <w:shd w:val="clear" w:color="auto" w:fill="F2F3F2"/>
          </w:tcPr>
          <w:p>
            <w:pPr>
              <w:spacing w:after="0"/>
              <w:rPr>
                <w:sz w:val="8"/>
                <w:szCs w:val="8"/>
                <w:color w:val="auto"/>
              </w:rPr>
            </w:pPr>
          </w:p>
        </w:tc>
        <w:tc>
          <w:tcPr>
            <w:tcW w:w="1300" w:type="dxa"/>
            <w:vAlign w:val="bottom"/>
            <w:tcBorders>
              <w:left w:val="single" w:sz="8" w:color="F2F3F2"/>
              <w:right w:val="single" w:sz="8" w:color="F2F3F2"/>
            </w:tcBorders>
            <w:shd w:val="clear" w:color="auto" w:fill="F2F3F2"/>
          </w:tcPr>
          <w:p>
            <w:pPr>
              <w:spacing w:after="0"/>
              <w:rPr>
                <w:sz w:val="8"/>
                <w:szCs w:val="8"/>
                <w:color w:val="auto"/>
              </w:rPr>
            </w:pPr>
          </w:p>
        </w:tc>
        <w:tc>
          <w:tcPr>
            <w:tcW w:w="320" w:type="dxa"/>
            <w:vAlign w:val="bottom"/>
            <w:shd w:val="clear" w:color="auto" w:fill="F2F3F2"/>
          </w:tcPr>
          <w:p>
            <w:pPr>
              <w:spacing w:after="0"/>
              <w:rPr>
                <w:sz w:val="8"/>
                <w:szCs w:val="8"/>
                <w:color w:val="auto"/>
              </w:rPr>
            </w:pPr>
          </w:p>
        </w:tc>
        <w:tc>
          <w:tcPr>
            <w:tcW w:w="700" w:type="dxa"/>
            <w:vAlign w:val="bottom"/>
            <w:tcBorders>
              <w:right w:val="single" w:sz="8" w:color="F2F3F2"/>
            </w:tcBorders>
            <w:shd w:val="clear" w:color="auto" w:fill="F2F3F2"/>
          </w:tcPr>
          <w:p>
            <w:pPr>
              <w:spacing w:after="0"/>
              <w:rPr>
                <w:sz w:val="8"/>
                <w:szCs w:val="8"/>
                <w:color w:val="auto"/>
              </w:rPr>
            </w:pPr>
          </w:p>
        </w:tc>
        <w:tc>
          <w:tcPr>
            <w:tcW w:w="960" w:type="dxa"/>
            <w:vAlign w:val="bottom"/>
            <w:tcBorders>
              <w:right w:val="single" w:sz="8" w:color="F2F3F2"/>
            </w:tcBorders>
            <w:gridSpan w:val="2"/>
            <w:shd w:val="clear" w:color="auto" w:fill="F2F3F2"/>
          </w:tcPr>
          <w:p>
            <w:pPr>
              <w:spacing w:after="0"/>
              <w:rPr>
                <w:sz w:val="8"/>
                <w:szCs w:val="8"/>
                <w:color w:val="auto"/>
              </w:rPr>
            </w:pPr>
          </w:p>
        </w:tc>
        <w:tc>
          <w:tcPr>
            <w:tcW w:w="1260" w:type="dxa"/>
            <w:vAlign w:val="bottom"/>
            <w:gridSpan w:val="2"/>
            <w:shd w:val="clear" w:color="auto" w:fill="F2F3F2"/>
          </w:tcPr>
          <w:p>
            <w:pPr>
              <w:spacing w:after="0"/>
              <w:rPr>
                <w:sz w:val="8"/>
                <w:szCs w:val="8"/>
                <w:color w:val="auto"/>
              </w:rPr>
            </w:pPr>
          </w:p>
        </w:tc>
        <w:tc>
          <w:tcPr>
            <w:tcW w:w="40" w:type="dxa"/>
            <w:vAlign w:val="bottom"/>
            <w:tcBorders>
              <w:left w:val="single" w:sz="8" w:color="F2F3F2"/>
            </w:tcBorders>
            <w:shd w:val="clear" w:color="auto" w:fill="F2F3F2"/>
          </w:tcPr>
          <w:p>
            <w:pPr>
              <w:spacing w:after="0"/>
              <w:rPr>
                <w:sz w:val="8"/>
                <w:szCs w:val="8"/>
                <w:color w:val="auto"/>
              </w:rPr>
            </w:pPr>
          </w:p>
        </w:tc>
        <w:tc>
          <w:tcPr>
            <w:tcW w:w="1080" w:type="dxa"/>
            <w:vAlign w:val="bottom"/>
            <w:shd w:val="clear" w:color="auto" w:fill="6AAA37"/>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F2F3F2"/>
          </w:tcPr>
          <w:p>
            <w:pPr>
              <w:spacing w:after="0"/>
              <w:rPr>
                <w:sz w:val="15"/>
                <w:szCs w:val="15"/>
                <w:color w:val="auto"/>
              </w:rPr>
            </w:pPr>
          </w:p>
        </w:tc>
        <w:tc>
          <w:tcPr>
            <w:tcW w:w="1400" w:type="dxa"/>
            <w:vAlign w:val="bottom"/>
            <w:shd w:val="clear" w:color="auto" w:fill="F2F3F2"/>
          </w:tcPr>
          <w:p>
            <w:pPr>
              <w:spacing w:after="0"/>
              <w:rPr>
                <w:sz w:val="15"/>
                <w:szCs w:val="15"/>
                <w:color w:val="auto"/>
              </w:rPr>
            </w:pPr>
          </w:p>
        </w:tc>
        <w:tc>
          <w:tcPr>
            <w:tcW w:w="1300" w:type="dxa"/>
            <w:vAlign w:val="bottom"/>
            <w:tcBorders>
              <w:left w:val="single" w:sz="8" w:color="F2F3F2"/>
              <w:right w:val="single" w:sz="8" w:color="F2F3F2"/>
            </w:tcBorders>
            <w:shd w:val="clear" w:color="auto" w:fill="F2F3F2"/>
          </w:tcPr>
          <w:p>
            <w:pPr>
              <w:spacing w:after="0"/>
              <w:rPr>
                <w:sz w:val="15"/>
                <w:szCs w:val="15"/>
                <w:color w:val="auto"/>
              </w:rPr>
            </w:pPr>
          </w:p>
        </w:tc>
        <w:tc>
          <w:tcPr>
            <w:tcW w:w="320" w:type="dxa"/>
            <w:vAlign w:val="bottom"/>
            <w:shd w:val="clear" w:color="auto" w:fill="F2F3F2"/>
          </w:tcPr>
          <w:p>
            <w:pPr>
              <w:spacing w:after="0"/>
              <w:rPr>
                <w:sz w:val="15"/>
                <w:szCs w:val="15"/>
                <w:color w:val="auto"/>
              </w:rPr>
            </w:pPr>
          </w:p>
        </w:tc>
        <w:tc>
          <w:tcPr>
            <w:tcW w:w="700" w:type="dxa"/>
            <w:vAlign w:val="bottom"/>
            <w:tcBorders>
              <w:right w:val="single" w:sz="8" w:color="6AAA37"/>
            </w:tcBorders>
            <w:shd w:val="clear" w:color="auto" w:fill="F2F3F2"/>
          </w:tcPr>
          <w:p>
            <w:pPr>
              <w:spacing w:after="0"/>
              <w:rPr>
                <w:sz w:val="15"/>
                <w:szCs w:val="15"/>
                <w:color w:val="auto"/>
              </w:rPr>
            </w:pPr>
          </w:p>
        </w:tc>
        <w:tc>
          <w:tcPr>
            <w:tcW w:w="1580" w:type="dxa"/>
            <w:vAlign w:val="bottom"/>
            <w:gridSpan w:val="3"/>
            <w:shd w:val="clear" w:color="auto" w:fill="6AAA37"/>
          </w:tcPr>
          <w:p>
            <w:pPr>
              <w:ind w:left="140"/>
              <w:spacing w:after="0"/>
              <w:rPr>
                <w:sz w:val="20"/>
                <w:szCs w:val="20"/>
                <w:color w:val="auto"/>
              </w:rPr>
            </w:pPr>
            <w:r>
              <w:rPr>
                <w:rFonts w:ascii="Arial" w:cs="Arial" w:eastAsia="Arial" w:hAnsi="Arial"/>
                <w:sz w:val="11"/>
                <w:szCs w:val="11"/>
                <w:color w:val="FFFFFF"/>
                <w:w w:val="98"/>
              </w:rPr>
              <w:t>Actual Performance: $4,511B</w:t>
            </w:r>
          </w:p>
        </w:tc>
        <w:tc>
          <w:tcPr>
            <w:tcW w:w="640" w:type="dxa"/>
            <w:vAlign w:val="bottom"/>
            <w:shd w:val="clear" w:color="auto" w:fill="F2F3F2"/>
          </w:tcPr>
          <w:p>
            <w:pPr>
              <w:spacing w:after="0"/>
              <w:rPr>
                <w:sz w:val="15"/>
                <w:szCs w:val="15"/>
                <w:color w:val="auto"/>
              </w:rPr>
            </w:pPr>
          </w:p>
        </w:tc>
        <w:tc>
          <w:tcPr>
            <w:tcW w:w="40" w:type="dxa"/>
            <w:vAlign w:val="bottom"/>
            <w:tcBorders>
              <w:left w:val="single" w:sz="8" w:color="F2F3F2"/>
            </w:tcBorders>
            <w:shd w:val="clear" w:color="auto" w:fill="F2F3F2"/>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Revenues before</w:t>
            </w:r>
          </w:p>
        </w:tc>
        <w:tc>
          <w:tcPr>
            <w:tcW w:w="1400" w:type="dxa"/>
            <w:vAlign w:val="bottom"/>
            <w:vMerge w:val="restart"/>
            <w:shd w:val="clear" w:color="auto" w:fill="F2F3F2"/>
          </w:tcPr>
          <w:p>
            <w:pPr>
              <w:jc w:val="center"/>
              <w:spacing w:after="0"/>
              <w:rPr>
                <w:sz w:val="20"/>
                <w:szCs w:val="20"/>
                <w:color w:val="auto"/>
              </w:rPr>
            </w:pPr>
            <w:r>
              <w:rPr>
                <w:rFonts w:ascii="Arial" w:cs="Arial" w:eastAsia="Arial" w:hAnsi="Arial"/>
                <w:sz w:val="14"/>
                <w:szCs w:val="14"/>
                <w:b w:val="1"/>
                <w:bCs w:val="1"/>
                <w:color w:val="6AAA37"/>
                <w:w w:val="99"/>
              </w:rPr>
              <w:t>50%</w:t>
            </w:r>
          </w:p>
        </w:tc>
        <w:tc>
          <w:tcPr>
            <w:tcW w:w="1300" w:type="dxa"/>
            <w:vAlign w:val="bottom"/>
            <w:tcBorders>
              <w:left w:val="single" w:sz="8" w:color="F2F3F2"/>
              <w:right w:val="single" w:sz="8" w:color="F2F3F2"/>
            </w:tcBorders>
            <w:shd w:val="clear" w:color="auto" w:fill="F2F3F2"/>
          </w:tcPr>
          <w:p>
            <w:pPr>
              <w:spacing w:after="0"/>
              <w:rPr>
                <w:sz w:val="9"/>
                <w:szCs w:val="9"/>
                <w:color w:val="auto"/>
              </w:rPr>
            </w:pPr>
          </w:p>
        </w:tc>
        <w:tc>
          <w:tcPr>
            <w:tcW w:w="320" w:type="dxa"/>
            <w:vAlign w:val="bottom"/>
            <w:shd w:val="clear" w:color="auto" w:fill="F2F3F2"/>
          </w:tcPr>
          <w:p>
            <w:pPr>
              <w:spacing w:after="0"/>
              <w:rPr>
                <w:sz w:val="9"/>
                <w:szCs w:val="9"/>
                <w:color w:val="auto"/>
              </w:rPr>
            </w:pPr>
          </w:p>
        </w:tc>
        <w:tc>
          <w:tcPr>
            <w:tcW w:w="700" w:type="dxa"/>
            <w:vAlign w:val="bottom"/>
            <w:tcBorders>
              <w:right w:val="single" w:sz="8" w:color="F2F3F2"/>
            </w:tcBorders>
            <w:shd w:val="clear" w:color="auto" w:fill="F2F3F2"/>
          </w:tcPr>
          <w:p>
            <w:pPr>
              <w:spacing w:after="0"/>
              <w:rPr>
                <w:sz w:val="9"/>
                <w:szCs w:val="9"/>
                <w:color w:val="auto"/>
              </w:rPr>
            </w:pPr>
          </w:p>
        </w:tc>
        <w:tc>
          <w:tcPr>
            <w:tcW w:w="460" w:type="dxa"/>
            <w:vAlign w:val="bottom"/>
            <w:shd w:val="clear" w:color="auto" w:fill="F2F3F2"/>
          </w:tcPr>
          <w:p>
            <w:pPr>
              <w:spacing w:after="0"/>
              <w:rPr>
                <w:sz w:val="9"/>
                <w:szCs w:val="9"/>
                <w:color w:val="auto"/>
              </w:rPr>
            </w:pPr>
          </w:p>
        </w:tc>
        <w:tc>
          <w:tcPr>
            <w:tcW w:w="1120" w:type="dxa"/>
            <w:vAlign w:val="bottom"/>
            <w:gridSpan w:val="2"/>
            <w:shd w:val="clear" w:color="auto" w:fill="F2F3F2"/>
          </w:tcPr>
          <w:p>
            <w:pPr>
              <w:ind w:left="180"/>
              <w:spacing w:after="0" w:line="108" w:lineRule="exact"/>
              <w:rPr>
                <w:sz w:val="20"/>
                <w:szCs w:val="20"/>
                <w:color w:val="auto"/>
              </w:rPr>
            </w:pPr>
            <w:r>
              <w:rPr>
                <w:rFonts w:ascii="Arial" w:cs="Arial" w:eastAsia="Arial" w:hAnsi="Arial"/>
                <w:sz w:val="11"/>
                <w:szCs w:val="11"/>
                <w:color w:val="6AAA37"/>
              </w:rPr>
              <w:t>q</w:t>
            </w:r>
          </w:p>
        </w:tc>
        <w:tc>
          <w:tcPr>
            <w:tcW w:w="640" w:type="dxa"/>
            <w:vAlign w:val="bottom"/>
            <w:shd w:val="clear" w:color="auto" w:fill="F2F3F2"/>
          </w:tcPr>
          <w:p>
            <w:pPr>
              <w:spacing w:after="0"/>
              <w:rPr>
                <w:sz w:val="9"/>
                <w:szCs w:val="9"/>
                <w:color w:val="auto"/>
              </w:rPr>
            </w:pPr>
          </w:p>
        </w:tc>
        <w:tc>
          <w:tcPr>
            <w:tcW w:w="40" w:type="dxa"/>
            <w:vAlign w:val="bottom"/>
            <w:tcBorders>
              <w:left w:val="single" w:sz="8" w:color="F2F3F2"/>
            </w:tcBorders>
            <w:shd w:val="clear" w:color="auto" w:fill="F2F3F2"/>
          </w:tcPr>
          <w:p>
            <w:pPr>
              <w:spacing w:after="0"/>
              <w:rPr>
                <w:sz w:val="9"/>
                <w:szCs w:val="9"/>
                <w:color w:val="auto"/>
              </w:rPr>
            </w:pPr>
          </w:p>
        </w:tc>
        <w:tc>
          <w:tcPr>
            <w:tcW w:w="1080" w:type="dxa"/>
            <w:vAlign w:val="bottom"/>
            <w:vMerge w:val="restart"/>
            <w:shd w:val="clear" w:color="auto" w:fill="6AAA37"/>
          </w:tcPr>
          <w:p>
            <w:pPr>
              <w:jc w:val="right"/>
              <w:ind w:right="268"/>
              <w:spacing w:after="0"/>
              <w:rPr>
                <w:sz w:val="20"/>
                <w:szCs w:val="20"/>
                <w:color w:val="auto"/>
              </w:rPr>
            </w:pPr>
            <w:r>
              <w:rPr>
                <w:rFonts w:ascii="Arial" w:cs="Arial" w:eastAsia="Arial" w:hAnsi="Arial"/>
                <w:sz w:val="14"/>
                <w:szCs w:val="14"/>
                <w:color w:val="FFFFFF"/>
              </w:rPr>
              <w:t>160%</w:t>
            </w:r>
          </w:p>
        </w:tc>
        <w:tc>
          <w:tcPr>
            <w:tcW w:w="0" w:type="dxa"/>
            <w:vAlign w:val="bottom"/>
          </w:tcPr>
          <w:p>
            <w:pPr>
              <w:spacing w:after="0"/>
              <w:rPr>
                <w:sz w:val="1"/>
                <w:szCs w:val="1"/>
                <w:color w:val="auto"/>
              </w:rPr>
            </w:pPr>
          </w:p>
        </w:tc>
      </w:tr>
      <w:tr>
        <w:trPr>
          <w:trHeight w:val="72"/>
        </w:trPr>
        <w:tc>
          <w:tcPr>
            <w:tcW w:w="2000" w:type="dxa"/>
            <w:vAlign w:val="bottom"/>
            <w:vMerge w:val="continue"/>
            <w:shd w:val="clear" w:color="auto" w:fill="F2F3F2"/>
          </w:tcPr>
          <w:p>
            <w:pPr>
              <w:spacing w:after="0"/>
              <w:rPr>
                <w:sz w:val="6"/>
                <w:szCs w:val="6"/>
                <w:color w:val="auto"/>
              </w:rPr>
            </w:pPr>
          </w:p>
        </w:tc>
        <w:tc>
          <w:tcPr>
            <w:tcW w:w="1400" w:type="dxa"/>
            <w:vAlign w:val="bottom"/>
            <w:vMerge w:val="continue"/>
            <w:shd w:val="clear" w:color="auto" w:fill="F2F3F2"/>
          </w:tcPr>
          <w:p>
            <w:pPr>
              <w:spacing w:after="0"/>
              <w:rPr>
                <w:sz w:val="6"/>
                <w:szCs w:val="6"/>
                <w:color w:val="auto"/>
              </w:rPr>
            </w:pPr>
          </w:p>
        </w:tc>
        <w:tc>
          <w:tcPr>
            <w:tcW w:w="1300" w:type="dxa"/>
            <w:vAlign w:val="bottom"/>
            <w:tcBorders>
              <w:left w:val="single" w:sz="8" w:color="00558C"/>
              <w:right w:val="single" w:sz="8" w:color="B2B3B6"/>
            </w:tcBorders>
            <w:vMerge w:val="restart"/>
            <w:shd w:val="clear" w:color="auto" w:fill="00558C"/>
          </w:tcPr>
          <w:p>
            <w:pPr>
              <w:ind w:left="120"/>
              <w:spacing w:after="0"/>
              <w:rPr>
                <w:sz w:val="20"/>
                <w:szCs w:val="20"/>
                <w:color w:val="auto"/>
              </w:rPr>
            </w:pPr>
            <w:r>
              <w:rPr>
                <w:rFonts w:ascii="Arial" w:cs="Arial" w:eastAsia="Arial" w:hAnsi="Arial"/>
                <w:sz w:val="13"/>
                <w:szCs w:val="13"/>
                <w:b w:val="1"/>
                <w:bCs w:val="1"/>
                <w:color w:val="FFFFFF"/>
              </w:rPr>
              <w:t>No Payout Earned</w:t>
            </w:r>
          </w:p>
        </w:tc>
        <w:tc>
          <w:tcPr>
            <w:tcW w:w="320" w:type="dxa"/>
            <w:vAlign w:val="bottom"/>
            <w:shd w:val="clear" w:color="auto" w:fill="00558C"/>
          </w:tcPr>
          <w:p>
            <w:pPr>
              <w:spacing w:after="0"/>
              <w:rPr>
                <w:sz w:val="6"/>
                <w:szCs w:val="6"/>
                <w:color w:val="auto"/>
              </w:rPr>
            </w:pPr>
          </w:p>
        </w:tc>
        <w:tc>
          <w:tcPr>
            <w:tcW w:w="700" w:type="dxa"/>
            <w:vAlign w:val="bottom"/>
            <w:tcBorders>
              <w:right w:val="single" w:sz="8" w:color="B2B3B6"/>
            </w:tcBorders>
            <w:shd w:val="clear" w:color="auto" w:fill="00558C"/>
          </w:tcPr>
          <w:p>
            <w:pPr>
              <w:spacing w:after="0"/>
              <w:rPr>
                <w:sz w:val="6"/>
                <w:szCs w:val="6"/>
                <w:color w:val="auto"/>
              </w:rPr>
            </w:pPr>
          </w:p>
        </w:tc>
        <w:tc>
          <w:tcPr>
            <w:tcW w:w="460" w:type="dxa"/>
            <w:vAlign w:val="bottom"/>
            <w:shd w:val="clear" w:color="auto" w:fill="00558C"/>
          </w:tcPr>
          <w:p>
            <w:pPr>
              <w:spacing w:after="0"/>
              <w:rPr>
                <w:sz w:val="6"/>
                <w:szCs w:val="6"/>
                <w:color w:val="auto"/>
              </w:rPr>
            </w:pPr>
          </w:p>
        </w:tc>
        <w:tc>
          <w:tcPr>
            <w:tcW w:w="500" w:type="dxa"/>
            <w:vAlign w:val="bottom"/>
            <w:tcBorders>
              <w:right w:val="single" w:sz="8" w:color="B2B3B6"/>
            </w:tcBorders>
            <w:shd w:val="clear" w:color="auto" w:fill="00558C"/>
          </w:tcPr>
          <w:p>
            <w:pPr>
              <w:spacing w:after="0"/>
              <w:rPr>
                <w:sz w:val="6"/>
                <w:szCs w:val="6"/>
                <w:color w:val="auto"/>
              </w:rPr>
            </w:pPr>
          </w:p>
        </w:tc>
        <w:tc>
          <w:tcPr>
            <w:tcW w:w="1260" w:type="dxa"/>
            <w:vAlign w:val="bottom"/>
            <w:gridSpan w:val="2"/>
            <w:vMerge w:val="restart"/>
            <w:shd w:val="clear" w:color="auto" w:fill="00558C"/>
          </w:tcPr>
          <w:p>
            <w:pPr>
              <w:ind w:left="40"/>
              <w:spacing w:after="0"/>
              <w:rPr>
                <w:sz w:val="20"/>
                <w:szCs w:val="20"/>
                <w:color w:val="auto"/>
              </w:rPr>
            </w:pPr>
            <w:r>
              <w:rPr>
                <w:rFonts w:ascii="Arial" w:cs="Arial" w:eastAsia="Arial" w:hAnsi="Arial"/>
                <w:sz w:val="13"/>
                <w:szCs w:val="13"/>
                <w:b w:val="1"/>
                <w:bCs w:val="1"/>
                <w:color w:val="FFFFFF"/>
                <w:w w:val="98"/>
              </w:rPr>
              <w:t>Max Payout Earned</w:t>
            </w:r>
          </w:p>
        </w:tc>
        <w:tc>
          <w:tcPr>
            <w:tcW w:w="40" w:type="dxa"/>
            <w:vAlign w:val="bottom"/>
            <w:tcBorders>
              <w:left w:val="single" w:sz="8" w:color="B2B3B6"/>
            </w:tcBorders>
            <w:shd w:val="clear" w:color="auto" w:fill="F2F3F2"/>
          </w:tcPr>
          <w:p>
            <w:pPr>
              <w:spacing w:after="0"/>
              <w:rPr>
                <w:sz w:val="6"/>
                <w:szCs w:val="6"/>
                <w:color w:val="auto"/>
              </w:rPr>
            </w:pPr>
          </w:p>
        </w:tc>
        <w:tc>
          <w:tcPr>
            <w:tcW w:w="1080" w:type="dxa"/>
            <w:vAlign w:val="bottom"/>
            <w:vMerge w:val="continue"/>
            <w:shd w:val="clear" w:color="auto" w:fill="6AAA37"/>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0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Reimbursable Expenses</w:t>
            </w:r>
          </w:p>
        </w:tc>
        <w:tc>
          <w:tcPr>
            <w:tcW w:w="1400" w:type="dxa"/>
            <w:vAlign w:val="bottom"/>
            <w:vMerge w:val="continue"/>
            <w:shd w:val="clear" w:color="auto" w:fill="F2F3F2"/>
          </w:tcPr>
          <w:p>
            <w:pPr>
              <w:spacing w:after="0"/>
              <w:rPr>
                <w:sz w:val="10"/>
                <w:szCs w:val="10"/>
                <w:color w:val="auto"/>
              </w:rPr>
            </w:pPr>
          </w:p>
        </w:tc>
        <w:tc>
          <w:tcPr>
            <w:tcW w:w="1300" w:type="dxa"/>
            <w:vAlign w:val="bottom"/>
            <w:tcBorders>
              <w:left w:val="single" w:sz="8" w:color="00558C"/>
              <w:right w:val="single" w:sz="8" w:color="B2B3B6"/>
            </w:tcBorders>
            <w:vMerge w:val="continue"/>
            <w:shd w:val="clear" w:color="auto" w:fill="00558C"/>
          </w:tcPr>
          <w:p>
            <w:pPr>
              <w:spacing w:after="0"/>
              <w:rPr>
                <w:sz w:val="10"/>
                <w:szCs w:val="10"/>
                <w:color w:val="auto"/>
              </w:rPr>
            </w:pPr>
          </w:p>
        </w:tc>
        <w:tc>
          <w:tcPr>
            <w:tcW w:w="320" w:type="dxa"/>
            <w:vAlign w:val="bottom"/>
            <w:shd w:val="clear" w:color="auto" w:fill="00558C"/>
          </w:tcPr>
          <w:p>
            <w:pPr>
              <w:spacing w:after="0"/>
              <w:rPr>
                <w:sz w:val="10"/>
                <w:szCs w:val="10"/>
                <w:color w:val="auto"/>
              </w:rPr>
            </w:pPr>
          </w:p>
        </w:tc>
        <w:tc>
          <w:tcPr>
            <w:tcW w:w="700" w:type="dxa"/>
            <w:vAlign w:val="bottom"/>
            <w:tcBorders>
              <w:right w:val="single" w:sz="8" w:color="B2B3B6"/>
            </w:tcBorders>
            <w:shd w:val="clear" w:color="auto" w:fill="00558C"/>
          </w:tcPr>
          <w:p>
            <w:pPr>
              <w:spacing w:after="0"/>
              <w:rPr>
                <w:sz w:val="10"/>
                <w:szCs w:val="10"/>
                <w:color w:val="auto"/>
              </w:rPr>
            </w:pPr>
          </w:p>
        </w:tc>
        <w:tc>
          <w:tcPr>
            <w:tcW w:w="460" w:type="dxa"/>
            <w:vAlign w:val="bottom"/>
            <w:shd w:val="clear" w:color="auto" w:fill="00558C"/>
          </w:tcPr>
          <w:p>
            <w:pPr>
              <w:spacing w:after="0"/>
              <w:rPr>
                <w:sz w:val="10"/>
                <w:szCs w:val="10"/>
                <w:color w:val="auto"/>
              </w:rPr>
            </w:pPr>
          </w:p>
        </w:tc>
        <w:tc>
          <w:tcPr>
            <w:tcW w:w="500" w:type="dxa"/>
            <w:vAlign w:val="bottom"/>
            <w:tcBorders>
              <w:right w:val="single" w:sz="8" w:color="B2B3B6"/>
            </w:tcBorders>
            <w:shd w:val="clear" w:color="auto" w:fill="00558C"/>
          </w:tcPr>
          <w:p>
            <w:pPr>
              <w:spacing w:after="0"/>
              <w:rPr>
                <w:sz w:val="10"/>
                <w:szCs w:val="10"/>
                <w:color w:val="auto"/>
              </w:rPr>
            </w:pPr>
          </w:p>
        </w:tc>
        <w:tc>
          <w:tcPr>
            <w:tcW w:w="1260" w:type="dxa"/>
            <w:vAlign w:val="bottom"/>
            <w:gridSpan w:val="2"/>
            <w:vMerge w:val="continue"/>
            <w:shd w:val="clear" w:color="auto" w:fill="00558C"/>
          </w:tcPr>
          <w:p>
            <w:pPr>
              <w:spacing w:after="0"/>
              <w:rPr>
                <w:sz w:val="10"/>
                <w:szCs w:val="10"/>
                <w:color w:val="auto"/>
              </w:rPr>
            </w:pPr>
          </w:p>
        </w:tc>
        <w:tc>
          <w:tcPr>
            <w:tcW w:w="40" w:type="dxa"/>
            <w:vAlign w:val="bottom"/>
            <w:tcBorders>
              <w:left w:val="single" w:sz="8" w:color="B2B3B6"/>
            </w:tcBorders>
            <w:shd w:val="clear" w:color="auto" w:fill="F2F3F2"/>
          </w:tcPr>
          <w:p>
            <w:pPr>
              <w:spacing w:after="0"/>
              <w:rPr>
                <w:sz w:val="10"/>
                <w:szCs w:val="10"/>
                <w:color w:val="auto"/>
              </w:rPr>
            </w:pPr>
          </w:p>
        </w:tc>
        <w:tc>
          <w:tcPr>
            <w:tcW w:w="1080" w:type="dxa"/>
            <w:vAlign w:val="bottom"/>
            <w:vMerge w:val="continue"/>
            <w:shd w:val="clear" w:color="auto" w:fill="6AAA37"/>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shd w:val="clear" w:color="auto" w:fill="F2F3F2"/>
          </w:tcPr>
          <w:p>
            <w:pPr>
              <w:spacing w:after="0"/>
              <w:rPr>
                <w:sz w:val="5"/>
                <w:szCs w:val="5"/>
                <w:color w:val="auto"/>
              </w:rPr>
            </w:pPr>
          </w:p>
        </w:tc>
        <w:tc>
          <w:tcPr>
            <w:tcW w:w="1400" w:type="dxa"/>
            <w:vAlign w:val="bottom"/>
            <w:shd w:val="clear" w:color="auto" w:fill="F2F3F2"/>
          </w:tcPr>
          <w:p>
            <w:pPr>
              <w:spacing w:after="0"/>
              <w:rPr>
                <w:sz w:val="5"/>
                <w:szCs w:val="5"/>
                <w:color w:val="auto"/>
              </w:rPr>
            </w:pPr>
          </w:p>
        </w:tc>
        <w:tc>
          <w:tcPr>
            <w:tcW w:w="1300" w:type="dxa"/>
            <w:vAlign w:val="bottom"/>
            <w:tcBorders>
              <w:left w:val="single" w:sz="8" w:color="F2F3F2"/>
              <w:right w:val="single" w:sz="8" w:color="B2B3B6"/>
            </w:tcBorders>
            <w:shd w:val="clear" w:color="auto" w:fill="F2F3F2"/>
          </w:tcPr>
          <w:p>
            <w:pPr>
              <w:spacing w:after="0"/>
              <w:rPr>
                <w:sz w:val="5"/>
                <w:szCs w:val="5"/>
                <w:color w:val="auto"/>
              </w:rPr>
            </w:pPr>
          </w:p>
        </w:tc>
        <w:tc>
          <w:tcPr>
            <w:tcW w:w="320" w:type="dxa"/>
            <w:vAlign w:val="bottom"/>
            <w:shd w:val="clear" w:color="auto" w:fill="F2F3F2"/>
          </w:tcPr>
          <w:p>
            <w:pPr>
              <w:spacing w:after="0"/>
              <w:rPr>
                <w:sz w:val="5"/>
                <w:szCs w:val="5"/>
                <w:color w:val="auto"/>
              </w:rPr>
            </w:pPr>
          </w:p>
        </w:tc>
        <w:tc>
          <w:tcPr>
            <w:tcW w:w="700" w:type="dxa"/>
            <w:vAlign w:val="bottom"/>
            <w:tcBorders>
              <w:right w:val="single" w:sz="8" w:color="B2B3B6"/>
            </w:tcBorders>
            <w:shd w:val="clear" w:color="auto" w:fill="F2F3F2"/>
          </w:tcPr>
          <w:p>
            <w:pPr>
              <w:spacing w:after="0"/>
              <w:rPr>
                <w:sz w:val="5"/>
                <w:szCs w:val="5"/>
                <w:color w:val="auto"/>
              </w:rPr>
            </w:pPr>
          </w:p>
        </w:tc>
        <w:tc>
          <w:tcPr>
            <w:tcW w:w="460" w:type="dxa"/>
            <w:vAlign w:val="bottom"/>
            <w:shd w:val="clear" w:color="auto" w:fill="F2F3F2"/>
          </w:tcPr>
          <w:p>
            <w:pPr>
              <w:spacing w:after="0"/>
              <w:rPr>
                <w:sz w:val="5"/>
                <w:szCs w:val="5"/>
                <w:color w:val="auto"/>
              </w:rPr>
            </w:pPr>
          </w:p>
        </w:tc>
        <w:tc>
          <w:tcPr>
            <w:tcW w:w="500" w:type="dxa"/>
            <w:vAlign w:val="bottom"/>
            <w:tcBorders>
              <w:right w:val="single" w:sz="8" w:color="B2B3B6"/>
            </w:tcBorders>
            <w:shd w:val="clear" w:color="auto" w:fill="F2F3F2"/>
          </w:tcPr>
          <w:p>
            <w:pPr>
              <w:spacing w:after="0"/>
              <w:rPr>
                <w:sz w:val="5"/>
                <w:szCs w:val="5"/>
                <w:color w:val="auto"/>
              </w:rPr>
            </w:pPr>
          </w:p>
        </w:tc>
        <w:tc>
          <w:tcPr>
            <w:tcW w:w="620" w:type="dxa"/>
            <w:vAlign w:val="bottom"/>
            <w:shd w:val="clear" w:color="auto" w:fill="F2F3F2"/>
          </w:tcPr>
          <w:p>
            <w:pPr>
              <w:spacing w:after="0"/>
              <w:rPr>
                <w:sz w:val="5"/>
                <w:szCs w:val="5"/>
                <w:color w:val="auto"/>
              </w:rPr>
            </w:pPr>
          </w:p>
        </w:tc>
        <w:tc>
          <w:tcPr>
            <w:tcW w:w="640" w:type="dxa"/>
            <w:vAlign w:val="bottom"/>
            <w:shd w:val="clear" w:color="auto" w:fill="F2F3F2"/>
          </w:tcPr>
          <w:p>
            <w:pPr>
              <w:spacing w:after="0"/>
              <w:rPr>
                <w:sz w:val="5"/>
                <w:szCs w:val="5"/>
                <w:color w:val="auto"/>
              </w:rPr>
            </w:pPr>
          </w:p>
        </w:tc>
        <w:tc>
          <w:tcPr>
            <w:tcW w:w="40" w:type="dxa"/>
            <w:vAlign w:val="bottom"/>
            <w:tcBorders>
              <w:left w:val="single" w:sz="8" w:color="F2F3F2"/>
            </w:tcBorders>
            <w:shd w:val="clear" w:color="auto" w:fill="F2F3F2"/>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F2F3F2"/>
          </w:tcPr>
          <w:p>
            <w:pPr>
              <w:spacing w:after="0"/>
              <w:rPr>
                <w:sz w:val="15"/>
                <w:szCs w:val="15"/>
                <w:color w:val="auto"/>
              </w:rPr>
            </w:pPr>
          </w:p>
        </w:tc>
        <w:tc>
          <w:tcPr>
            <w:tcW w:w="1400" w:type="dxa"/>
            <w:vAlign w:val="bottom"/>
            <w:shd w:val="clear" w:color="auto" w:fill="F2F3F2"/>
          </w:tcPr>
          <w:p>
            <w:pPr>
              <w:spacing w:after="0"/>
              <w:rPr>
                <w:sz w:val="15"/>
                <w:szCs w:val="15"/>
                <w:color w:val="auto"/>
              </w:rPr>
            </w:pPr>
          </w:p>
        </w:tc>
        <w:tc>
          <w:tcPr>
            <w:tcW w:w="1620" w:type="dxa"/>
            <w:vAlign w:val="bottom"/>
            <w:tcBorders>
              <w:left w:val="single" w:sz="8" w:color="F2F3F2"/>
            </w:tcBorders>
            <w:gridSpan w:val="2"/>
            <w:shd w:val="clear" w:color="auto" w:fill="F2F3F2"/>
          </w:tcPr>
          <w:p>
            <w:pPr>
              <w:jc w:val="center"/>
              <w:ind w:left="735"/>
              <w:spacing w:after="0"/>
              <w:rPr>
                <w:sz w:val="20"/>
                <w:szCs w:val="20"/>
                <w:color w:val="auto"/>
              </w:rPr>
            </w:pPr>
            <w:r>
              <w:rPr>
                <w:rFonts w:ascii="Arial" w:cs="Arial" w:eastAsia="Arial" w:hAnsi="Arial"/>
                <w:sz w:val="13"/>
                <w:szCs w:val="13"/>
                <w:color w:val="auto"/>
                <w:w w:val="94"/>
              </w:rPr>
              <w:t>$3.520B</w:t>
            </w:r>
          </w:p>
        </w:tc>
        <w:tc>
          <w:tcPr>
            <w:tcW w:w="1160" w:type="dxa"/>
            <w:vAlign w:val="bottom"/>
            <w:gridSpan w:val="2"/>
            <w:shd w:val="clear" w:color="auto" w:fill="F2F3F2"/>
          </w:tcPr>
          <w:p>
            <w:pPr>
              <w:jc w:val="center"/>
              <w:ind w:left="73"/>
              <w:spacing w:after="0"/>
              <w:rPr>
                <w:sz w:val="20"/>
                <w:szCs w:val="20"/>
                <w:color w:val="auto"/>
              </w:rPr>
            </w:pPr>
            <w:r>
              <w:rPr>
                <w:rFonts w:ascii="Arial" w:cs="Arial" w:eastAsia="Arial" w:hAnsi="Arial"/>
                <w:sz w:val="13"/>
                <w:szCs w:val="13"/>
                <w:color w:val="auto"/>
                <w:w w:val="94"/>
              </w:rPr>
              <w:t>$4.140B</w:t>
            </w:r>
          </w:p>
        </w:tc>
        <w:tc>
          <w:tcPr>
            <w:tcW w:w="1800" w:type="dxa"/>
            <w:vAlign w:val="bottom"/>
            <w:gridSpan w:val="4"/>
            <w:shd w:val="clear" w:color="auto" w:fill="F2F3F2"/>
          </w:tcPr>
          <w:p>
            <w:pPr>
              <w:jc w:val="center"/>
              <w:ind w:right="680"/>
              <w:spacing w:after="0"/>
              <w:rPr>
                <w:sz w:val="20"/>
                <w:szCs w:val="20"/>
                <w:color w:val="auto"/>
              </w:rPr>
            </w:pPr>
            <w:r>
              <w:rPr>
                <w:rFonts w:ascii="Arial" w:cs="Arial" w:eastAsia="Arial" w:hAnsi="Arial"/>
                <w:sz w:val="13"/>
                <w:szCs w:val="13"/>
                <w:color w:val="auto"/>
                <w:w w:val="99"/>
              </w:rPr>
              <w:t>$4.760B</w:t>
            </w: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shd w:val="clear" w:color="auto" w:fill="F2F3F2"/>
          </w:tcPr>
          <w:p>
            <w:pPr>
              <w:spacing w:after="0"/>
              <w:rPr>
                <w:sz w:val="8"/>
                <w:szCs w:val="8"/>
                <w:color w:val="auto"/>
              </w:rPr>
            </w:pPr>
          </w:p>
        </w:tc>
        <w:tc>
          <w:tcPr>
            <w:tcW w:w="1400" w:type="dxa"/>
            <w:vAlign w:val="bottom"/>
            <w:shd w:val="clear" w:color="auto" w:fill="F2F3F2"/>
          </w:tcPr>
          <w:p>
            <w:pPr>
              <w:spacing w:after="0"/>
              <w:rPr>
                <w:sz w:val="8"/>
                <w:szCs w:val="8"/>
                <w:color w:val="auto"/>
              </w:rPr>
            </w:pPr>
          </w:p>
        </w:tc>
        <w:tc>
          <w:tcPr>
            <w:tcW w:w="1300" w:type="dxa"/>
            <w:vAlign w:val="bottom"/>
            <w:tcBorders>
              <w:left w:val="single" w:sz="8" w:color="F2F3F2"/>
              <w:right w:val="single" w:sz="8" w:color="F2F3F2"/>
            </w:tcBorders>
            <w:shd w:val="clear" w:color="auto" w:fill="F2F3F2"/>
          </w:tcPr>
          <w:p>
            <w:pPr>
              <w:spacing w:after="0"/>
              <w:rPr>
                <w:sz w:val="8"/>
                <w:szCs w:val="8"/>
                <w:color w:val="auto"/>
              </w:rPr>
            </w:pPr>
          </w:p>
        </w:tc>
        <w:tc>
          <w:tcPr>
            <w:tcW w:w="320" w:type="dxa"/>
            <w:vAlign w:val="bottom"/>
            <w:shd w:val="clear" w:color="auto" w:fill="F2F3F2"/>
          </w:tcPr>
          <w:p>
            <w:pPr>
              <w:spacing w:after="0"/>
              <w:rPr>
                <w:sz w:val="8"/>
                <w:szCs w:val="8"/>
                <w:color w:val="auto"/>
              </w:rPr>
            </w:pPr>
          </w:p>
        </w:tc>
        <w:tc>
          <w:tcPr>
            <w:tcW w:w="700" w:type="dxa"/>
            <w:vAlign w:val="bottom"/>
            <w:tcBorders>
              <w:right w:val="single" w:sz="8" w:color="F2F3F2"/>
            </w:tcBorders>
            <w:shd w:val="clear" w:color="auto" w:fill="F2F3F2"/>
          </w:tcPr>
          <w:p>
            <w:pPr>
              <w:spacing w:after="0"/>
              <w:rPr>
                <w:sz w:val="8"/>
                <w:szCs w:val="8"/>
                <w:color w:val="auto"/>
              </w:rPr>
            </w:pPr>
          </w:p>
        </w:tc>
        <w:tc>
          <w:tcPr>
            <w:tcW w:w="460" w:type="dxa"/>
            <w:vAlign w:val="bottom"/>
            <w:shd w:val="clear" w:color="auto" w:fill="F2F3F2"/>
          </w:tcPr>
          <w:p>
            <w:pPr>
              <w:spacing w:after="0"/>
              <w:rPr>
                <w:sz w:val="8"/>
                <w:szCs w:val="8"/>
                <w:color w:val="auto"/>
              </w:rPr>
            </w:pPr>
          </w:p>
        </w:tc>
        <w:tc>
          <w:tcPr>
            <w:tcW w:w="500" w:type="dxa"/>
            <w:vAlign w:val="bottom"/>
            <w:tcBorders>
              <w:right w:val="single" w:sz="8" w:color="F2F3F2"/>
            </w:tcBorders>
            <w:shd w:val="clear" w:color="auto" w:fill="F2F3F2"/>
          </w:tcPr>
          <w:p>
            <w:pPr>
              <w:spacing w:after="0"/>
              <w:rPr>
                <w:sz w:val="8"/>
                <w:szCs w:val="8"/>
                <w:color w:val="auto"/>
              </w:rPr>
            </w:pPr>
          </w:p>
        </w:tc>
        <w:tc>
          <w:tcPr>
            <w:tcW w:w="620" w:type="dxa"/>
            <w:vAlign w:val="bottom"/>
            <w:shd w:val="clear" w:color="auto" w:fill="F2F3F2"/>
          </w:tcPr>
          <w:p>
            <w:pPr>
              <w:spacing w:after="0"/>
              <w:rPr>
                <w:sz w:val="8"/>
                <w:szCs w:val="8"/>
                <w:color w:val="auto"/>
              </w:rPr>
            </w:pPr>
          </w:p>
        </w:tc>
        <w:tc>
          <w:tcPr>
            <w:tcW w:w="640" w:type="dxa"/>
            <w:vAlign w:val="bottom"/>
            <w:shd w:val="clear" w:color="auto" w:fill="F2F3F2"/>
          </w:tcPr>
          <w:p>
            <w:pPr>
              <w:spacing w:after="0"/>
              <w:rPr>
                <w:sz w:val="8"/>
                <w:szCs w:val="8"/>
                <w:color w:val="auto"/>
              </w:rPr>
            </w:pPr>
          </w:p>
        </w:tc>
        <w:tc>
          <w:tcPr>
            <w:tcW w:w="40" w:type="dxa"/>
            <w:vAlign w:val="bottom"/>
            <w:tcBorders>
              <w:left w:val="single" w:sz="8" w:color="F2F3F2"/>
            </w:tcBorders>
            <w:shd w:val="clear" w:color="auto" w:fill="F2F3F2"/>
          </w:tcPr>
          <w:p>
            <w:pPr>
              <w:spacing w:after="0"/>
              <w:rPr>
                <w:sz w:val="8"/>
                <w:szCs w:val="8"/>
                <w:color w:val="auto"/>
              </w:rPr>
            </w:pPr>
          </w:p>
        </w:tc>
        <w:tc>
          <w:tcPr>
            <w:tcW w:w="1080" w:type="dxa"/>
            <w:vAlign w:val="bottom"/>
            <w:shd w:val="clear" w:color="auto" w:fill="6AAA37"/>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0" w:type="dxa"/>
            <w:vAlign w:val="bottom"/>
            <w:gridSpan w:val="4"/>
          </w:tcPr>
          <w:p>
            <w:pPr>
              <w:spacing w:after="0"/>
              <w:rPr>
                <w:sz w:val="9"/>
                <w:szCs w:val="9"/>
                <w:color w:val="auto"/>
              </w:rPr>
            </w:pPr>
          </w:p>
        </w:tc>
        <w:tc>
          <w:tcPr>
            <w:tcW w:w="1080" w:type="dxa"/>
            <w:vAlign w:val="bottom"/>
            <w:shd w:val="clear" w:color="auto" w:fill="6AAA37"/>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3"/>
            <w:shd w:val="clear" w:color="auto" w:fill="6AAA37"/>
          </w:tcPr>
          <w:p>
            <w:pPr>
              <w:ind w:left="200"/>
              <w:spacing w:after="0"/>
              <w:rPr>
                <w:sz w:val="20"/>
                <w:szCs w:val="20"/>
                <w:color w:val="auto"/>
              </w:rPr>
            </w:pPr>
            <w:r>
              <w:rPr>
                <w:rFonts w:ascii="Arial" w:cs="Arial" w:eastAsia="Arial" w:hAnsi="Arial"/>
                <w:sz w:val="11"/>
                <w:szCs w:val="11"/>
                <w:color w:val="FFFFFF"/>
              </w:rPr>
              <w:t>Actual Performance: $19.21</w:t>
            </w:r>
          </w:p>
        </w:tc>
        <w:tc>
          <w:tcPr>
            <w:tcW w:w="40" w:type="dxa"/>
            <w:vAlign w:val="bottom"/>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Diluted EPS</w:t>
            </w:r>
            <w:r>
              <w:rPr>
                <w:rFonts w:ascii="Arial" w:cs="Arial" w:eastAsia="Arial" w:hAnsi="Arial"/>
                <w:sz w:val="18"/>
                <w:szCs w:val="18"/>
                <w:b w:val="1"/>
                <w:bCs w:val="1"/>
                <w:color w:val="auto"/>
                <w:vertAlign w:val="superscript"/>
              </w:rPr>
              <w:t>10</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6AAA37"/>
                <w:w w:val="99"/>
              </w:rPr>
              <w:t>50%</w:t>
            </w: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ind w:left="40"/>
              <w:spacing w:after="0" w:line="108" w:lineRule="exact"/>
              <w:rPr>
                <w:sz w:val="20"/>
                <w:szCs w:val="20"/>
                <w:color w:val="auto"/>
              </w:rPr>
            </w:pPr>
            <w:r>
              <w:rPr>
                <w:rFonts w:ascii="Arial" w:cs="Arial" w:eastAsia="Arial" w:hAnsi="Arial"/>
                <w:sz w:val="11"/>
                <w:szCs w:val="11"/>
                <w:color w:val="6AAA37"/>
              </w:rPr>
              <w:t>q</w:t>
            </w:r>
          </w:p>
        </w:tc>
        <w:tc>
          <w:tcPr>
            <w:tcW w:w="40" w:type="dxa"/>
            <w:vAlign w:val="bottom"/>
          </w:tcPr>
          <w:p>
            <w:pPr>
              <w:spacing w:after="0"/>
              <w:rPr>
                <w:sz w:val="9"/>
                <w:szCs w:val="9"/>
                <w:color w:val="auto"/>
              </w:rPr>
            </w:pPr>
          </w:p>
        </w:tc>
        <w:tc>
          <w:tcPr>
            <w:tcW w:w="1080" w:type="dxa"/>
            <w:vAlign w:val="bottom"/>
            <w:vMerge w:val="restart"/>
            <w:shd w:val="clear" w:color="auto" w:fill="6AAA37"/>
          </w:tcPr>
          <w:p>
            <w:pPr>
              <w:jc w:val="right"/>
              <w:ind w:right="268"/>
              <w:spacing w:after="0"/>
              <w:rPr>
                <w:sz w:val="20"/>
                <w:szCs w:val="20"/>
                <w:color w:val="auto"/>
              </w:rPr>
            </w:pPr>
            <w:r>
              <w:rPr>
                <w:rFonts w:ascii="Arial" w:cs="Arial" w:eastAsia="Arial" w:hAnsi="Arial"/>
                <w:sz w:val="14"/>
                <w:szCs w:val="14"/>
                <w:color w:val="FFFFFF"/>
              </w:rPr>
              <w:t>200%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00" w:type="dxa"/>
            <w:vAlign w:val="bottom"/>
            <w:tcBorders>
              <w:left w:val="single" w:sz="8" w:color="00558C"/>
              <w:right w:val="single" w:sz="8" w:color="B2B3B6"/>
            </w:tcBorders>
            <w:shd w:val="clear" w:color="auto" w:fill="00558C"/>
          </w:tcPr>
          <w:p>
            <w:pPr>
              <w:ind w:left="120"/>
              <w:spacing w:after="0"/>
              <w:rPr>
                <w:sz w:val="20"/>
                <w:szCs w:val="20"/>
                <w:color w:val="auto"/>
              </w:rPr>
            </w:pPr>
            <w:r>
              <w:rPr>
                <w:rFonts w:ascii="Arial" w:cs="Arial" w:eastAsia="Arial" w:hAnsi="Arial"/>
                <w:sz w:val="13"/>
                <w:szCs w:val="13"/>
                <w:b w:val="1"/>
                <w:bCs w:val="1"/>
                <w:color w:val="FFFFFF"/>
              </w:rPr>
              <w:t>No Payout Earned</w:t>
            </w:r>
          </w:p>
        </w:tc>
        <w:tc>
          <w:tcPr>
            <w:tcW w:w="320" w:type="dxa"/>
            <w:vAlign w:val="bottom"/>
            <w:shd w:val="clear" w:color="auto" w:fill="00558C"/>
          </w:tcPr>
          <w:p>
            <w:pPr>
              <w:spacing w:after="0"/>
              <w:rPr>
                <w:sz w:val="16"/>
                <w:szCs w:val="16"/>
                <w:color w:val="auto"/>
              </w:rPr>
            </w:pPr>
          </w:p>
        </w:tc>
        <w:tc>
          <w:tcPr>
            <w:tcW w:w="700" w:type="dxa"/>
            <w:vAlign w:val="bottom"/>
            <w:tcBorders>
              <w:right w:val="single" w:sz="8" w:color="B2B3B6"/>
            </w:tcBorders>
            <w:shd w:val="clear" w:color="auto" w:fill="00558C"/>
          </w:tcPr>
          <w:p>
            <w:pPr>
              <w:spacing w:after="0"/>
              <w:rPr>
                <w:sz w:val="16"/>
                <w:szCs w:val="16"/>
                <w:color w:val="auto"/>
              </w:rPr>
            </w:pPr>
          </w:p>
        </w:tc>
        <w:tc>
          <w:tcPr>
            <w:tcW w:w="460" w:type="dxa"/>
            <w:vAlign w:val="bottom"/>
            <w:shd w:val="clear" w:color="auto" w:fill="00558C"/>
          </w:tcPr>
          <w:p>
            <w:pPr>
              <w:spacing w:after="0"/>
              <w:rPr>
                <w:sz w:val="16"/>
                <w:szCs w:val="16"/>
                <w:color w:val="auto"/>
              </w:rPr>
            </w:pPr>
          </w:p>
        </w:tc>
        <w:tc>
          <w:tcPr>
            <w:tcW w:w="500" w:type="dxa"/>
            <w:vAlign w:val="bottom"/>
            <w:tcBorders>
              <w:right w:val="single" w:sz="8" w:color="B2B3B6"/>
            </w:tcBorders>
            <w:shd w:val="clear" w:color="auto" w:fill="00558C"/>
          </w:tcPr>
          <w:p>
            <w:pPr>
              <w:spacing w:after="0"/>
              <w:rPr>
                <w:sz w:val="16"/>
                <w:szCs w:val="16"/>
                <w:color w:val="auto"/>
              </w:rPr>
            </w:pPr>
          </w:p>
        </w:tc>
        <w:tc>
          <w:tcPr>
            <w:tcW w:w="1260" w:type="dxa"/>
            <w:vAlign w:val="bottom"/>
            <w:gridSpan w:val="2"/>
            <w:shd w:val="clear" w:color="auto" w:fill="00558C"/>
          </w:tcPr>
          <w:p>
            <w:pPr>
              <w:ind w:left="40"/>
              <w:spacing w:after="0"/>
              <w:rPr>
                <w:sz w:val="20"/>
                <w:szCs w:val="20"/>
                <w:color w:val="auto"/>
              </w:rPr>
            </w:pPr>
            <w:r>
              <w:rPr>
                <w:rFonts w:ascii="Arial" w:cs="Arial" w:eastAsia="Arial" w:hAnsi="Arial"/>
                <w:sz w:val="13"/>
                <w:szCs w:val="13"/>
                <w:b w:val="1"/>
                <w:bCs w:val="1"/>
                <w:color w:val="FFFFFF"/>
                <w:w w:val="98"/>
              </w:rPr>
              <w:t>Max Payout Earned</w:t>
            </w:r>
          </w:p>
        </w:tc>
        <w:tc>
          <w:tcPr>
            <w:tcW w:w="40" w:type="dxa"/>
            <w:vAlign w:val="bottom"/>
            <w:tcBorders>
              <w:left w:val="single" w:sz="8" w:color="B2B3B6"/>
            </w:tcBorders>
          </w:tcPr>
          <w:p>
            <w:pPr>
              <w:spacing w:after="0"/>
              <w:rPr>
                <w:sz w:val="16"/>
                <w:szCs w:val="16"/>
                <w:color w:val="auto"/>
              </w:rPr>
            </w:pPr>
          </w:p>
        </w:tc>
        <w:tc>
          <w:tcPr>
            <w:tcW w:w="1080" w:type="dxa"/>
            <w:vAlign w:val="bottom"/>
            <w:vMerge w:val="continue"/>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Borders>
              <w:right w:val="single" w:sz="8" w:color="B2B3B6"/>
            </w:tcBorders>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Borders>
              <w:right w:val="single" w:sz="8" w:color="B2B3B6"/>
            </w:tcBorders>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B2B3B6"/>
            </w:tcBorders>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3"/>
                <w:szCs w:val="13"/>
                <w:color w:val="auto"/>
              </w:rPr>
              <w:t>$11.80</w:t>
            </w:r>
          </w:p>
        </w:tc>
        <w:tc>
          <w:tcPr>
            <w:tcW w:w="116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$13.90</w:t>
            </w:r>
          </w:p>
        </w:tc>
        <w:tc>
          <w:tcPr>
            <w:tcW w:w="1120" w:type="dxa"/>
            <w:vAlign w:val="bottom"/>
            <w:gridSpan w:val="2"/>
          </w:tcPr>
          <w:p>
            <w:pPr>
              <w:jc w:val="right"/>
              <w:ind w:right="294"/>
              <w:spacing w:after="0"/>
              <w:rPr>
                <w:sz w:val="20"/>
                <w:szCs w:val="20"/>
                <w:color w:val="auto"/>
              </w:rPr>
            </w:pPr>
            <w:r>
              <w:rPr>
                <w:rFonts w:ascii="Arial" w:cs="Arial" w:eastAsia="Arial" w:hAnsi="Arial"/>
                <w:sz w:val="13"/>
                <w:szCs w:val="13"/>
                <w:color w:val="auto"/>
              </w:rPr>
              <w:t>$16.00</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shd w:val="clear" w:color="auto" w:fill="6AAA37"/>
          </w:tcPr>
          <w:p>
            <w:pPr>
              <w:spacing w:after="0"/>
              <w:rPr>
                <w:sz w:val="7"/>
                <w:szCs w:val="7"/>
                <w:color w:val="auto"/>
              </w:rPr>
            </w:pPr>
          </w:p>
        </w:tc>
        <w:tc>
          <w:tcPr>
            <w:tcW w:w="0" w:type="dxa"/>
            <w:vAlign w:val="bottom"/>
          </w:tcPr>
          <w:p>
            <w:pPr>
              <w:spacing w:after="0"/>
              <w:rPr>
                <w:sz w:val="1"/>
                <w:szCs w:val="1"/>
                <w:color w:val="auto"/>
              </w:rPr>
            </w:pPr>
          </w:p>
        </w:tc>
      </w:tr>
      <w:tr>
        <w:trPr>
          <w:trHeight w:val="565"/>
        </w:trPr>
        <w:tc>
          <w:tcPr>
            <w:tcW w:w="20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Total</w:t>
            </w:r>
          </w:p>
        </w:tc>
        <w:tc>
          <w:tcPr>
            <w:tcW w:w="1400" w:type="dxa"/>
            <w:vAlign w:val="bottom"/>
            <w:shd w:val="clear" w:color="auto" w:fill="F2F3F2"/>
          </w:tcPr>
          <w:p>
            <w:pPr>
              <w:jc w:val="center"/>
              <w:spacing w:after="0"/>
              <w:rPr>
                <w:sz w:val="20"/>
                <w:szCs w:val="20"/>
                <w:color w:val="auto"/>
              </w:rPr>
            </w:pPr>
            <w:r>
              <w:rPr>
                <w:rFonts w:ascii="Arial" w:cs="Arial" w:eastAsia="Arial" w:hAnsi="Arial"/>
                <w:sz w:val="14"/>
                <w:szCs w:val="14"/>
                <w:b w:val="1"/>
                <w:bCs w:val="1"/>
                <w:color w:val="6AAA37"/>
              </w:rPr>
              <w:t>100%</w:t>
            </w:r>
          </w:p>
        </w:tc>
        <w:tc>
          <w:tcPr>
            <w:tcW w:w="1300" w:type="dxa"/>
            <w:vAlign w:val="bottom"/>
            <w:tcBorders>
              <w:left w:val="single" w:sz="8" w:color="F2F3F2"/>
              <w:right w:val="single" w:sz="8" w:color="F2F3F2"/>
            </w:tcBorders>
            <w:shd w:val="clear" w:color="auto" w:fill="F2F3F2"/>
          </w:tcPr>
          <w:p>
            <w:pPr>
              <w:spacing w:after="0"/>
              <w:rPr>
                <w:sz w:val="24"/>
                <w:szCs w:val="24"/>
                <w:color w:val="auto"/>
              </w:rPr>
            </w:pPr>
          </w:p>
        </w:tc>
        <w:tc>
          <w:tcPr>
            <w:tcW w:w="320" w:type="dxa"/>
            <w:vAlign w:val="bottom"/>
            <w:shd w:val="clear" w:color="auto" w:fill="F2F3F2"/>
          </w:tcPr>
          <w:p>
            <w:pPr>
              <w:spacing w:after="0"/>
              <w:rPr>
                <w:sz w:val="24"/>
                <w:szCs w:val="24"/>
                <w:color w:val="auto"/>
              </w:rPr>
            </w:pPr>
          </w:p>
        </w:tc>
        <w:tc>
          <w:tcPr>
            <w:tcW w:w="700" w:type="dxa"/>
            <w:vAlign w:val="bottom"/>
            <w:tcBorders>
              <w:right w:val="single" w:sz="8" w:color="F2F3F2"/>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500" w:type="dxa"/>
            <w:vAlign w:val="bottom"/>
            <w:tcBorders>
              <w:right w:val="single" w:sz="8" w:color="F2F3F2"/>
            </w:tcBorders>
            <w:shd w:val="clear" w:color="auto" w:fill="F2F3F2"/>
          </w:tcPr>
          <w:p>
            <w:pPr>
              <w:spacing w:after="0"/>
              <w:rPr>
                <w:sz w:val="24"/>
                <w:szCs w:val="24"/>
                <w:color w:val="auto"/>
              </w:rPr>
            </w:pPr>
          </w:p>
        </w:tc>
        <w:tc>
          <w:tcPr>
            <w:tcW w:w="620" w:type="dxa"/>
            <w:vAlign w:val="bottom"/>
            <w:shd w:val="clear" w:color="auto" w:fill="F2F3F2"/>
          </w:tcPr>
          <w:p>
            <w:pPr>
              <w:spacing w:after="0"/>
              <w:rPr>
                <w:sz w:val="24"/>
                <w:szCs w:val="24"/>
                <w:color w:val="auto"/>
              </w:rPr>
            </w:pPr>
          </w:p>
        </w:tc>
        <w:tc>
          <w:tcPr>
            <w:tcW w:w="640" w:type="dxa"/>
            <w:vAlign w:val="bottom"/>
            <w:shd w:val="clear" w:color="auto" w:fill="F2F3F2"/>
          </w:tcPr>
          <w:p>
            <w:pPr>
              <w:spacing w:after="0"/>
              <w:rPr>
                <w:sz w:val="24"/>
                <w:szCs w:val="24"/>
                <w:color w:val="auto"/>
              </w:rPr>
            </w:pPr>
          </w:p>
        </w:tc>
        <w:tc>
          <w:tcPr>
            <w:tcW w:w="40" w:type="dxa"/>
            <w:vAlign w:val="bottom"/>
            <w:tcBorders>
              <w:left w:val="single" w:sz="8" w:color="F2F3F2"/>
            </w:tcBorders>
            <w:shd w:val="clear" w:color="auto" w:fill="F2F3F2"/>
          </w:tcPr>
          <w:p>
            <w:pPr>
              <w:spacing w:after="0"/>
              <w:rPr>
                <w:sz w:val="24"/>
                <w:szCs w:val="24"/>
                <w:color w:val="auto"/>
              </w:rPr>
            </w:pPr>
          </w:p>
        </w:tc>
        <w:tc>
          <w:tcPr>
            <w:tcW w:w="1080" w:type="dxa"/>
            <w:vAlign w:val="bottom"/>
            <w:shd w:val="clear" w:color="auto" w:fill="6AAA37"/>
          </w:tcPr>
          <w:p>
            <w:pPr>
              <w:jc w:val="right"/>
              <w:ind w:right="268"/>
              <w:spacing w:after="0"/>
              <w:rPr>
                <w:sz w:val="20"/>
                <w:szCs w:val="20"/>
                <w:color w:val="auto"/>
              </w:rPr>
            </w:pPr>
            <w:r>
              <w:rPr>
                <w:rFonts w:ascii="Arial" w:cs="Arial" w:eastAsia="Arial" w:hAnsi="Arial"/>
                <w:sz w:val="14"/>
                <w:szCs w:val="14"/>
                <w:b w:val="1"/>
                <w:bCs w:val="1"/>
                <w:color w:val="FFFFFF"/>
              </w:rPr>
              <w:t>180%</w:t>
            </w:r>
          </w:p>
        </w:tc>
        <w:tc>
          <w:tcPr>
            <w:tcW w:w="0" w:type="dxa"/>
            <w:vAlign w:val="bottom"/>
          </w:tcPr>
          <w:p>
            <w:pPr>
              <w:spacing w:after="0"/>
              <w:rPr>
                <w:sz w:val="1"/>
                <w:szCs w:val="1"/>
                <w:color w:val="auto"/>
              </w:rPr>
            </w:pPr>
          </w:p>
        </w:tc>
      </w:tr>
      <w:tr>
        <w:trPr>
          <w:trHeight w:val="340"/>
        </w:trPr>
        <w:tc>
          <w:tcPr>
            <w:tcW w:w="2000" w:type="dxa"/>
            <w:vAlign w:val="bottom"/>
            <w:tcBorders>
              <w:bottom w:val="single" w:sz="8" w:color="B2B3B6"/>
            </w:tcBorders>
            <w:shd w:val="clear" w:color="auto" w:fill="F2F3F2"/>
          </w:tcPr>
          <w:p>
            <w:pPr>
              <w:spacing w:after="0"/>
              <w:rPr>
                <w:sz w:val="24"/>
                <w:szCs w:val="24"/>
                <w:color w:val="auto"/>
              </w:rPr>
            </w:pPr>
          </w:p>
        </w:tc>
        <w:tc>
          <w:tcPr>
            <w:tcW w:w="1400" w:type="dxa"/>
            <w:vAlign w:val="bottom"/>
            <w:tcBorders>
              <w:bottom w:val="single" w:sz="8" w:color="B2B3B6"/>
            </w:tcBorders>
            <w:shd w:val="clear" w:color="auto" w:fill="F2F3F2"/>
          </w:tcPr>
          <w:p>
            <w:pPr>
              <w:spacing w:after="0"/>
              <w:rPr>
                <w:sz w:val="24"/>
                <w:szCs w:val="24"/>
                <w:color w:val="auto"/>
              </w:rPr>
            </w:pPr>
          </w:p>
        </w:tc>
        <w:tc>
          <w:tcPr>
            <w:tcW w:w="1300" w:type="dxa"/>
            <w:vAlign w:val="bottom"/>
            <w:tcBorders>
              <w:left w:val="single" w:sz="8" w:color="F2F3F2"/>
              <w:bottom w:val="single" w:sz="8" w:color="B2B3B6"/>
              <w:right w:val="single" w:sz="8" w:color="F2F3F2"/>
            </w:tcBorders>
            <w:shd w:val="clear" w:color="auto" w:fill="F2F3F2"/>
          </w:tcPr>
          <w:p>
            <w:pPr>
              <w:spacing w:after="0"/>
              <w:rPr>
                <w:sz w:val="24"/>
                <w:szCs w:val="24"/>
                <w:color w:val="auto"/>
              </w:rPr>
            </w:pPr>
          </w:p>
        </w:tc>
        <w:tc>
          <w:tcPr>
            <w:tcW w:w="320" w:type="dxa"/>
            <w:vAlign w:val="bottom"/>
            <w:tcBorders>
              <w:bottom w:val="single" w:sz="8" w:color="B2B3B6"/>
            </w:tcBorders>
            <w:shd w:val="clear" w:color="auto" w:fill="F2F3F2"/>
          </w:tcPr>
          <w:p>
            <w:pPr>
              <w:spacing w:after="0"/>
              <w:rPr>
                <w:sz w:val="24"/>
                <w:szCs w:val="24"/>
                <w:color w:val="auto"/>
              </w:rPr>
            </w:pPr>
          </w:p>
        </w:tc>
        <w:tc>
          <w:tcPr>
            <w:tcW w:w="700" w:type="dxa"/>
            <w:vAlign w:val="bottom"/>
            <w:tcBorders>
              <w:bottom w:val="single" w:sz="8" w:color="B2B3B6"/>
              <w:right w:val="single" w:sz="8" w:color="F2F3F2"/>
            </w:tcBorders>
            <w:shd w:val="clear" w:color="auto" w:fill="F2F3F2"/>
          </w:tcPr>
          <w:p>
            <w:pPr>
              <w:spacing w:after="0"/>
              <w:rPr>
                <w:sz w:val="24"/>
                <w:szCs w:val="24"/>
                <w:color w:val="auto"/>
              </w:rPr>
            </w:pPr>
          </w:p>
        </w:tc>
        <w:tc>
          <w:tcPr>
            <w:tcW w:w="460" w:type="dxa"/>
            <w:vAlign w:val="bottom"/>
            <w:tcBorders>
              <w:bottom w:val="single" w:sz="8" w:color="B2B3B6"/>
            </w:tcBorders>
            <w:shd w:val="clear" w:color="auto" w:fill="F2F3F2"/>
          </w:tcPr>
          <w:p>
            <w:pPr>
              <w:spacing w:after="0"/>
              <w:rPr>
                <w:sz w:val="24"/>
                <w:szCs w:val="24"/>
                <w:color w:val="auto"/>
              </w:rPr>
            </w:pPr>
          </w:p>
        </w:tc>
        <w:tc>
          <w:tcPr>
            <w:tcW w:w="500" w:type="dxa"/>
            <w:vAlign w:val="bottom"/>
            <w:tcBorders>
              <w:bottom w:val="single" w:sz="8" w:color="B2B3B6"/>
              <w:right w:val="single" w:sz="8" w:color="F2F3F2"/>
            </w:tcBorders>
            <w:shd w:val="clear" w:color="auto" w:fill="F2F3F2"/>
          </w:tcPr>
          <w:p>
            <w:pPr>
              <w:spacing w:after="0"/>
              <w:rPr>
                <w:sz w:val="24"/>
                <w:szCs w:val="24"/>
                <w:color w:val="auto"/>
              </w:rPr>
            </w:pPr>
          </w:p>
        </w:tc>
        <w:tc>
          <w:tcPr>
            <w:tcW w:w="620" w:type="dxa"/>
            <w:vAlign w:val="bottom"/>
            <w:tcBorders>
              <w:bottom w:val="single" w:sz="8" w:color="B2B3B6"/>
            </w:tcBorders>
            <w:shd w:val="clear" w:color="auto" w:fill="F2F3F2"/>
          </w:tcPr>
          <w:p>
            <w:pPr>
              <w:spacing w:after="0"/>
              <w:rPr>
                <w:sz w:val="24"/>
                <w:szCs w:val="24"/>
                <w:color w:val="auto"/>
              </w:rPr>
            </w:pPr>
          </w:p>
        </w:tc>
        <w:tc>
          <w:tcPr>
            <w:tcW w:w="640" w:type="dxa"/>
            <w:vAlign w:val="bottom"/>
            <w:tcBorders>
              <w:bottom w:val="single" w:sz="8" w:color="B2B3B6"/>
            </w:tcBorders>
            <w:shd w:val="clear" w:color="auto" w:fill="F2F3F2"/>
          </w:tcPr>
          <w:p>
            <w:pPr>
              <w:spacing w:after="0"/>
              <w:rPr>
                <w:sz w:val="24"/>
                <w:szCs w:val="24"/>
                <w:color w:val="auto"/>
              </w:rPr>
            </w:pPr>
          </w:p>
        </w:tc>
        <w:tc>
          <w:tcPr>
            <w:tcW w:w="40" w:type="dxa"/>
            <w:vAlign w:val="bottom"/>
            <w:tcBorders>
              <w:left w:val="single" w:sz="8" w:color="F2F3F2"/>
              <w:bottom w:val="single" w:sz="8" w:color="B2B3B6"/>
            </w:tcBorders>
            <w:shd w:val="clear" w:color="auto" w:fill="F2F3F2"/>
          </w:tcPr>
          <w:p>
            <w:pPr>
              <w:spacing w:after="0"/>
              <w:rPr>
                <w:sz w:val="24"/>
                <w:szCs w:val="24"/>
                <w:color w:val="auto"/>
              </w:rPr>
            </w:pPr>
          </w:p>
        </w:tc>
        <w:tc>
          <w:tcPr>
            <w:tcW w:w="108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2024-2026 Performance Cycle</w:t>
      </w:r>
    </w:p>
    <w:p>
      <w:pPr>
        <w:spacing w:after="0" w:line="14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the 2024 long-term incentive program, 70% of the target long-term incentive program value was granted in the form of PSUs with a three-year performance period that ends on December 31, 2026, and 30% was granted in the form of RSUs with a three-year vesting period. The final payout of the PSUs granted in 2024 will be determined at the end of the full three-year performance period based on performance against the predetermined, cumulative three-year goals for Revenues before Reimbursable Expenses and Adjusted Diluted EPS, with 50-50 weighting. As in prior years, we cannot disclose the details of the three-year goals at this time due to their material, non-public nature.</w:t>
      </w:r>
    </w:p>
    <w:p>
      <w:pPr>
        <w:spacing w:after="0" w:line="243" w:lineRule="exact"/>
        <w:rPr>
          <w:sz w:val="20"/>
          <w:szCs w:val="20"/>
          <w:color w:val="auto"/>
        </w:rPr>
      </w:pPr>
    </w:p>
    <w:p>
      <w:pPr>
        <w:ind w:right="600" w:firstLine="8"/>
        <w:spacing w:after="0" w:line="271" w:lineRule="auto"/>
        <w:tabs>
          <w:tab w:leader="none" w:pos="136" w:val="left"/>
        </w:tabs>
        <w:numPr>
          <w:ilvl w:val="0"/>
          <w:numId w:val="6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A for the definitions of Adjusted Diluted EPS, and other non-GAAP financial measures included in this Proxy Statement, as well as their reconciliation to the most directly comparable GAAP financial measure.</w:t>
      </w:r>
    </w:p>
    <w:p>
      <w:pPr>
        <w:spacing w:after="0" w:line="29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45</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5596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10375" cy="5596890"/>
                    </a:xfrm>
                    <a:prstGeom prst="rect">
                      <a:avLst/>
                    </a:prstGeom>
                    <a:noFill/>
                  </pic:spPr>
                </pic:pic>
              </a:graphicData>
            </a:graphic>
          </wp:anchor>
        </w:drawing>
      </w:r>
    </w:p>
    <w:p>
      <w:pPr>
        <w:sectPr>
          <w:pgSz w:w="11900" w:h="16838"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14" w:right="1419" w:bottom="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Equity and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 Grant Practices</w:t>
      </w:r>
    </w:p>
    <w:p>
      <w:pPr>
        <w:spacing w:after="0" w:line="106" w:lineRule="exact"/>
        <w:rPr>
          <w:sz w:val="20"/>
          <w:szCs w:val="20"/>
          <w:color w:val="auto"/>
        </w:rPr>
      </w:pPr>
    </w:p>
    <w:p>
      <w:pPr>
        <w:sectPr>
          <w:pgSz w:w="11900" w:h="16838" w:orient="portrait"/>
          <w:cols w:equalWidth="0" w:num="2">
            <w:col w:w="1520" w:space="200"/>
            <w:col w:w="7360"/>
          </w:cols>
          <w:pgMar w:left="1400" w:top="114" w:right="1419" w:bottom="0" w:gutter="0" w:footer="0" w:header="0"/>
          <w:type w:val="continuous"/>
        </w:sectPr>
      </w:pPr>
    </w:p>
    <w:p>
      <w:pPr>
        <w:ind w:right="340"/>
        <w:spacing w:after="0" w:line="310" w:lineRule="auto"/>
        <w:rPr>
          <w:sz w:val="20"/>
          <w:szCs w:val="20"/>
          <w:color w:val="auto"/>
        </w:rPr>
      </w:pPr>
      <w:r>
        <w:rPr>
          <w:rFonts w:ascii="Arial" w:cs="Arial" w:eastAsia="Arial" w:hAnsi="Arial"/>
          <w:sz w:val="16"/>
          <w:szCs w:val="16"/>
          <w:color w:val="auto"/>
        </w:rPr>
        <w:t>The use of equity in the long-term incentive (LTI) program is critical to the execution of our overall executive compensation strategy as it aligns our executives’ interests with the Company and stockholders, reinforces accountability for long-term results and encourages decision-making aligned with sustainable stockholder value creation.</w:t>
      </w:r>
    </w:p>
    <w:p>
      <w:pPr>
        <w:spacing w:after="0" w:line="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Furthermore, the significance of executing our compensation philosophy extends beyond our executive leadership team to our highly qualified workforce, including our revenue-generating managing directors, principals and industry and capability leaders who directly influence our growth, innovation, and client outcomes. In fact, on average, approximately 84% of equity granted annually is provided to these revenue-generating managing directors, principals and industry and capability leaders as part of their incentive compensation.</w:t>
      </w:r>
    </w:p>
    <w:p>
      <w:pPr>
        <w:spacing w:after="0" w:line="113"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Annual awards under our long-term incentive (LTI) program for our named executive officers, revenue-generating managing directors, principals and industry and capability leaders are typically approved by the Compensation Committee during its February meeting, with a grant date of March 1, in accordance with our pre-established equity award grant schedule. The target LTI value is converted into grants based on the stock price on the date of grant.</w:t>
      </w:r>
    </w:p>
    <w:p>
      <w:pPr>
        <w:spacing w:after="0" w:line="10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do not grant equity awards in anticipation of the release of material, nonpublic information, nor do we time such releases of material, nonpublic information based on equity award grant dates, vesting events or sale events. In 2025, we have not timed the disclosure of material, nonpublic information for the purpose of affecting the value of executive compensation for our named executive officers. Additionally, no stock options were granted to our named executive officers in 2025.</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Additional Executive Compensation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stockholder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or she resigns for good reason, the executive will 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w:t>
      </w:r>
    </w:p>
    <w:p>
      <w:pPr>
        <w:sectPr>
          <w:pgSz w:w="11900" w:h="16838" w:orient="portrait"/>
          <w:cols w:equalWidth="0" w:num="1">
            <w:col w:w="9080"/>
          </w:cols>
          <w:pgMar w:left="1400" w:top="114" w:right="1419" w:bottom="0" w:gutter="0" w:footer="0" w:header="0"/>
          <w:type w:val="continuous"/>
        </w:sectPr>
      </w:pPr>
    </w:p>
    <w:bookmarkStart w:id="49" w:name="page50"/>
    <w:bookmarkEnd w:id="49"/>
    <w:p>
      <w:pPr>
        <w:ind w:right="20"/>
        <w:spacing w:after="0" w:line="245"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is provided under the "Potential Payments Upon Termination or Change of Control" section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-221615</wp:posOffset>
            </wp:positionV>
            <wp:extent cx="6810375" cy="32594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32594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95"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Huron offers a tax-qualified retirement plan under Section 401(k) of the Internal Revenue Code of 1986, as amended (the “Code”), to all U.S. employees, including the NEOs, who meet specific eligibility criteria, such as age and length of service requirements. In 2025, we matched 100% of an employee’s 401(k) salary deferrals, up to a maximum of 6% of an employee’s eligible earnings and IRS limits.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Huron offers a nonqualified deferred compensation plan (the "DCP") to all principals,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cash compensation into the DCP. Earnings are credited based on the returns of the investment options selected by the participant. Any amounts contributed may</w:t>
      </w:r>
    </w:p>
    <w:p>
      <w:pPr>
        <w:spacing w:after="0" w:line="30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46</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71742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10375" cy="7174230"/>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Proposal Stockholder Other Governance Two </w:t>
      </w:r>
      <w:r>
        <w:rPr>
          <w:rFonts w:ascii="Arial" w:cs="Arial" w:eastAsia="Arial" w:hAnsi="Arial"/>
          <w:sz w:val="13"/>
          <w:szCs w:val="13"/>
          <w:b w:val="1"/>
          <w:bCs w:val="1"/>
          <w:color w:val="6AAA37"/>
        </w:rPr>
        <w:t>Compensation</w:t>
      </w:r>
      <w:r>
        <w:rPr>
          <w:rFonts w:ascii="Arial" w:cs="Arial" w:eastAsia="Arial" w:hAnsi="Arial"/>
          <w:sz w:val="13"/>
          <w:szCs w:val="13"/>
          <w:b w:val="1"/>
          <w:bCs w:val="1"/>
          <w:color w:val="B2B3B6"/>
        </w:rPr>
        <w:t xml:space="preserve"> Three Proposals Matters</w:t>
      </w:r>
    </w:p>
    <w:p>
      <w:pPr>
        <w:spacing w:after="0" w:line="200" w:lineRule="exact"/>
        <w:rPr>
          <w:sz w:val="20"/>
          <w:szCs w:val="20"/>
          <w:color w:val="auto"/>
        </w:rPr>
      </w:pPr>
    </w:p>
    <w:p>
      <w:pPr>
        <w:sectPr>
          <w:pgSz w:w="11900" w:h="16838" w:orient="portrait"/>
          <w:cols w:equalWidth="0" w:num="2">
            <w:col w:w="1600" w:space="300"/>
            <w:col w:w="7180"/>
          </w:cols>
          <w:pgMar w:left="1400" w:top="114" w:right="1419" w:bottom="1440" w:gutter="0" w:footer="0" w:header="0"/>
          <w:type w:val="continuous"/>
        </w:sectPr>
      </w:pPr>
    </w:p>
    <w:p>
      <w:pPr>
        <w:spacing w:after="0" w:line="97"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be deferred until a later date or may become payable in connection with a participant's retirement, death, disability or other separation from service.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executive contributions made to the DCP for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95" w:lineRule="exact"/>
        <w:rPr>
          <w:sz w:val="20"/>
          <w:szCs w:val="20"/>
          <w:color w:val="auto"/>
        </w:rPr>
      </w:pPr>
    </w:p>
    <w:p>
      <w:pPr>
        <w:ind w:right="720"/>
        <w:spacing w:after="0" w:line="321" w:lineRule="auto"/>
        <w:rPr>
          <w:sz w:val="20"/>
          <w:szCs w:val="20"/>
          <w:color w:val="auto"/>
        </w:rPr>
      </w:pPr>
      <w:r>
        <w:rPr>
          <w:rFonts w:ascii="Arial" w:cs="Arial" w:eastAsia="Arial" w:hAnsi="Arial"/>
          <w:sz w:val="16"/>
          <w:szCs w:val="16"/>
          <w:color w:val="auto"/>
        </w:rPr>
        <w:t>Huron did not provide material perquisites over and above those commonly available to the broader Huron employee population or similarly situated key management employees to any named executive officer in 2025.</w:t>
      </w:r>
    </w:p>
    <w:p>
      <w:pPr>
        <w:spacing w:after="0" w:line="88" w:lineRule="exact"/>
        <w:rPr>
          <w:sz w:val="20"/>
          <w:szCs w:val="20"/>
          <w:color w:val="auto"/>
        </w:rPr>
      </w:pPr>
    </w:p>
    <w:p>
      <w:pPr>
        <w:ind w:right="740"/>
        <w:spacing w:after="0" w:line="310" w:lineRule="auto"/>
        <w:rPr>
          <w:sz w:val="20"/>
          <w:szCs w:val="20"/>
          <w:color w:val="auto"/>
        </w:rPr>
      </w:pPr>
      <w:r>
        <w:rPr>
          <w:rFonts w:ascii="Arial" w:cs="Arial" w:eastAsia="Arial" w:hAnsi="Arial"/>
          <w:sz w:val="16"/>
          <w:szCs w:val="16"/>
          <w:color w:val="auto"/>
        </w:rPr>
        <w:t>The Company provides enhanced disability and life insurance benefits to all of its managing directors, corporate vice presidents and executive officers. Named executive officers and industry and capability leaders are also offered reimbursement of the cost of an annual executive physical examination.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Provisions</w:t>
      </w:r>
    </w:p>
    <w:p>
      <w:pPr>
        <w:spacing w:after="0" w:line="95"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The Company's incentive compensation recoupment policy (commonly referred to as a "clawback policy") was amended and restated effective October 27, 2023 in accordance with Rule 10D-1 of the Securities Exchange Act of 1934 and Nasdaq listing standards. Furthermore, on February 14, 2025, the clawback policy was further amended to provide the ability to recover compensation in connection with certain acts of misconduct by a covered executive.</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clawback policy, as amended, requires the recoupment of incentive-based compensation paid to executive officers and such other individuals designated by the policy in the event of a restatement of our quarterly or annual financial results. In such an event, our non-employee directors will review all incentive-based compensation awarded to those individuals covered by the policy based upon the achievement of financial results that were the subject of the restatement and will recoup the incentive-based compensation to the extent the amount of such compensation would have been lower than the amount actually awarded, granted, paid, earned, deferred or vested based on the achievement of financial results that were subsequently reduced due to such restatement.</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Additionally, if the board determines that a covered executive has engaged in misconduct, the board may seek the recovery and/or forfeiture of all or a portion of any equity-based awards granted to the executive during the fiscal year in which the misconduct occurred, including those that have vested, been settled, or are scheduled to vest. Under the clawback policy, as amended, "misconduct" includes acts constituting: (i) a felony; (ii) fraud, including any act involving moral turpitude or dishonesty related to the Company that causes material and adverse reputational or financial harm to the Company; or (iii) any act that involves a felony, fraud, moral turpitude, dishonesty, or a breach of fiduciary duty that contributes to the necessity of a financial restatement. The determination of whether misconduct has occurred, and the decision to seek recovery or forfeiture, is in the board’s sole discretion.</w:t>
      </w:r>
    </w:p>
    <w:p>
      <w:pPr>
        <w:sectPr>
          <w:pgSz w:w="11900" w:h="16838" w:orient="portrait"/>
          <w:cols w:equalWidth="0" w:num="1">
            <w:col w:w="9080"/>
          </w:cols>
          <w:pgMar w:left="1400" w:top="114" w:right="141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682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0375" cy="168211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47</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7515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0375" cy="875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and Holding Requirements</w:t>
      </w:r>
    </w:p>
    <w:p>
      <w:pPr>
        <w:spacing w:after="0" w:line="9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maintain stock ownership guidelines for Huron's named executive officers and non-employee directors, which are consistent with the practices of our peer group and are designed to align the interests of our stockholders, directors and executive officers. Until the relevant stock ownership target is achieved, executive officers and non-employee directors are required to retain a number of shares equal to at least 60% of the net after tax proceeds from the exercise of stock options or vesting of restricted stock units and performance share units. Only shares owned outright count towards ownership requirements. Unexercised stock options and unvested performance share units or unvested restricted stock units do not count.</w:t>
      </w:r>
    </w:p>
    <w:p>
      <w:pPr>
        <w:spacing w:after="0" w:line="112"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As of December 31, 2025, each of our named executive officers and non-employee directors are in compliance with the terms of our share ownership guidelines, such that they either meet the stock ownership guidelines below or are on track to meet them within their initial period for compliance.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5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Position</w:t>
            </w:r>
          </w:p>
        </w:tc>
        <w:tc>
          <w:tcPr>
            <w:tcW w:w="45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Stock Ownership Guideline</w:t>
            </w:r>
          </w:p>
        </w:tc>
      </w:tr>
      <w:tr>
        <w:trPr>
          <w:trHeight w:val="110"/>
        </w:trPr>
        <w:tc>
          <w:tcPr>
            <w:tcW w:w="4540" w:type="dxa"/>
            <w:vAlign w:val="bottom"/>
            <w:shd w:val="clear" w:color="auto" w:fill="00558C"/>
          </w:tcPr>
          <w:p>
            <w:pPr>
              <w:spacing w:after="0"/>
              <w:rPr>
                <w:sz w:val="9"/>
                <w:szCs w:val="9"/>
                <w:color w:val="auto"/>
              </w:rPr>
            </w:pPr>
          </w:p>
        </w:tc>
        <w:tc>
          <w:tcPr>
            <w:tcW w:w="4540" w:type="dxa"/>
            <w:vAlign w:val="bottom"/>
            <w:shd w:val="clear" w:color="auto" w:fill="00558C"/>
          </w:tcPr>
          <w:p>
            <w:pPr>
              <w:spacing w:after="0"/>
              <w:rPr>
                <w:sz w:val="9"/>
                <w:szCs w:val="9"/>
                <w:color w:val="auto"/>
              </w:rPr>
            </w:pPr>
          </w:p>
        </w:tc>
      </w:tr>
      <w:tr>
        <w:trPr>
          <w:trHeight w:val="345"/>
        </w:trPr>
        <w:tc>
          <w:tcPr>
            <w:tcW w:w="454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CEO</w:t>
            </w:r>
          </w:p>
        </w:tc>
        <w:tc>
          <w:tcPr>
            <w:tcW w:w="454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color w:val="auto"/>
              </w:rPr>
              <w:t>5x salary</w:t>
            </w:r>
          </w:p>
        </w:tc>
      </w:tr>
      <w:tr>
        <w:trPr>
          <w:trHeight w:val="309"/>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CFO and COO</w:t>
            </w:r>
          </w:p>
        </w:tc>
        <w:tc>
          <w:tcPr>
            <w:tcW w:w="4540" w:type="dxa"/>
            <w:vAlign w:val="bottom"/>
          </w:tcPr>
          <w:p>
            <w:pPr>
              <w:ind w:left="140"/>
              <w:spacing w:after="0"/>
              <w:rPr>
                <w:sz w:val="20"/>
                <w:szCs w:val="20"/>
                <w:color w:val="auto"/>
              </w:rPr>
            </w:pPr>
            <w:r>
              <w:rPr>
                <w:rFonts w:ascii="Arial" w:cs="Arial" w:eastAsia="Arial" w:hAnsi="Arial"/>
                <w:sz w:val="14"/>
                <w:szCs w:val="14"/>
                <w:color w:val="auto"/>
              </w:rPr>
              <w:t>2x salary</w:t>
            </w:r>
          </w:p>
        </w:tc>
      </w:tr>
      <w:tr>
        <w:trPr>
          <w:trHeight w:val="56"/>
        </w:trPr>
        <w:tc>
          <w:tcPr>
            <w:tcW w:w="454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44"/>
        </w:trPr>
        <w:tc>
          <w:tcPr>
            <w:tcW w:w="454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Other Executive Officers</w:t>
            </w:r>
          </w:p>
        </w:tc>
        <w:tc>
          <w:tcPr>
            <w:tcW w:w="454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color w:val="auto"/>
              </w:rPr>
              <w:t>1x salary</w:t>
            </w:r>
          </w:p>
        </w:tc>
      </w:tr>
      <w:tr>
        <w:trPr>
          <w:trHeight w:val="309"/>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Non-employee Directors</w:t>
            </w:r>
          </w:p>
        </w:tc>
        <w:tc>
          <w:tcPr>
            <w:tcW w:w="4540" w:type="dxa"/>
            <w:vAlign w:val="bottom"/>
          </w:tcPr>
          <w:p>
            <w:pPr>
              <w:ind w:left="140"/>
              <w:spacing w:after="0"/>
              <w:rPr>
                <w:sz w:val="20"/>
                <w:szCs w:val="20"/>
                <w:color w:val="auto"/>
              </w:rPr>
            </w:pPr>
            <w:r>
              <w:rPr>
                <w:rFonts w:ascii="Arial" w:cs="Arial" w:eastAsia="Arial" w:hAnsi="Arial"/>
                <w:sz w:val="14"/>
                <w:szCs w:val="14"/>
                <w:color w:val="auto"/>
              </w:rPr>
              <w:t>5x annual retainer</w:t>
            </w:r>
          </w:p>
        </w:tc>
      </w:tr>
      <w:tr>
        <w:trPr>
          <w:trHeight w:val="56"/>
        </w:trPr>
        <w:tc>
          <w:tcPr>
            <w:tcW w:w="4540" w:type="dxa"/>
            <w:vAlign w:val="bottom"/>
            <w:tcBorders>
              <w:bottom w:val="single" w:sz="8" w:color="B2B3B6"/>
            </w:tcBorders>
          </w:tcPr>
          <w:p>
            <w:pPr>
              <w:spacing w:after="0"/>
              <w:rPr>
                <w:sz w:val="4"/>
                <w:szCs w:val="4"/>
                <w:color w:val="auto"/>
              </w:rPr>
            </w:pPr>
          </w:p>
        </w:tc>
        <w:tc>
          <w:tcPr>
            <w:tcW w:w="4540" w:type="dxa"/>
            <w:vAlign w:val="bottom"/>
            <w:tcBorders>
              <w:bottom w:val="single" w:sz="8" w:color="B2B3B6"/>
            </w:tcBorders>
          </w:tcPr>
          <w:p>
            <w:pPr>
              <w:spacing w:after="0"/>
              <w:rPr>
                <w:sz w:val="4"/>
                <w:szCs w:val="4"/>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0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adopted an Insider Trading policy and procedures governing the purchase, sale and/or other disposition of our securities by directors, officers and employees that we believe are reasonably designed to promote compliance with insider trading laws, rules and regulations, and applicable Nasdaq listing standards. Huron’s Insider Trading Policy is incorporated by reference to the Company’s Annual Report on Form 10-K for the year ended December 31, 2024 ("2024 Annual Report on Form 10-K"), filed with the Securities and Exchange Commission on February 25,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w:t>
      </w:r>
    </w:p>
    <w:p>
      <w:pPr>
        <w:spacing w:after="0" w:line="95"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Under the Company’s insider trading policy, directors, officers, employees and contractors are prohibited from entering into transactions in publicly-traded puts, calls or other derivative securities with respect to Huron’s stock and any other transaction that "hedges" the ownership in Huron’s stock or holding Company securities in a margin account or pledging Company securities as collateral for a loan is prohibited.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9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 xml:space="preserve">Section 162(m). </w:t>
      </w:r>
      <w:r>
        <w:rPr>
          <w:rFonts w:ascii="Arial" w:cs="Arial" w:eastAsia="Arial" w:hAnsi="Arial"/>
          <w:sz w:val="16"/>
          <w:szCs w:val="16"/>
          <w:color w:val="auto"/>
        </w:rPr>
        <w:t>Section 162(m) of the Internal Revenue Code generally disallows a tax deduction to public companies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paid in excess of $1 million in a taxable year to certain “covered employees.” Under current law, covered employees include the Company’s Chief Executive Officer, Chief Financial Officer and the next three highest-paid executive officers whose compensation must be disclosed in the proxy statement for the year, as well as any individual who became a covered employee in a prior year.</w:t>
      </w:r>
    </w:p>
    <w:p>
      <w:pPr>
        <w:spacing w:after="0" w:line="10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Compensation Committee expects to continue authorizing compensation that may not be deductible under Section 162(m) when it believes doing so is in the best interests of the Company and its stockholders, retaining flexibility to design compensation programs that support long-term performance.</w:t>
      </w:r>
    </w:p>
    <w:p>
      <w:pPr>
        <w:spacing w:after="0" w:line="104"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b w:val="1"/>
          <w:bCs w:val="1"/>
          <w:color w:val="auto"/>
        </w:rPr>
        <w:t xml:space="preserve">Section 280G. </w:t>
      </w:r>
      <w:r>
        <w:rPr>
          <w:rFonts w:ascii="Arial" w:cs="Arial" w:eastAsia="Arial" w:hAnsi="Arial"/>
          <w:sz w:val="16"/>
          <w:szCs w:val="16"/>
          <w:color w:val="auto"/>
        </w:rPr>
        <w:t>Section 280G of the Code disallows a company’s tax deduction for certain payments in connection with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of control defined as "excess parachute payments," and Section 4999 of the Code imposes a 20% excise tax on certain persons who receive excess parachute payments. The senior management agreements in effect provide that any covered payments would be reduced to the extent necessary so that no portion of such payments is subject to the excise tax.</w:t>
      </w:r>
    </w:p>
    <w:p>
      <w:pPr>
        <w:sectPr>
          <w:pgSz w:w="11900" w:h="16838" w:orient="portrait"/>
          <w:cols w:equalWidth="0" w:num="1">
            <w:col w:w="9080"/>
          </w:cols>
          <w:pgMar w:left="1400" w:top="14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48</w:t>
      </w:r>
      <w:r>
        <w:rPr>
          <w:sz w:val="20"/>
          <w:szCs w:val="20"/>
          <w:color w:val="auto"/>
        </w:rPr>
        <w:tab/>
      </w:r>
      <w:r>
        <w:rPr>
          <w:rFonts w:ascii="Arial" w:cs="Arial" w:eastAsia="Arial" w:hAnsi="Arial"/>
          <w:sz w:val="12"/>
          <w:szCs w:val="12"/>
          <w:color w:val="auto"/>
        </w:rPr>
        <w:t>2026 Proxy Statement</w:t>
      </w:r>
    </w:p>
    <w:p>
      <w:pPr>
        <w:sectPr>
          <w:pgSz w:w="11900" w:h="16838" w:orient="portrait"/>
          <w:cols w:equalWidth="0" w:num="1">
            <w:col w:w="9080"/>
          </w:cols>
          <w:pgMar w:left="1400" w:top="1440" w:right="1419" w:bottom="0" w:gutter="0" w:footer="0" w:header="0"/>
          <w:type w:val="continuous"/>
        </w:sectPr>
      </w:pPr>
    </w:p>
    <w:bookmarkStart w:id="51" w:name="page52"/>
    <w:bookmarkEnd w:id="51"/>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54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0375" cy="9054465"/>
                    </a:xfrm>
                    <a:prstGeom prst="rect">
                      <a:avLst/>
                    </a:prstGeom>
                    <a:noFill/>
                  </pic:spPr>
                </pic:pic>
              </a:graphicData>
            </a:graphic>
          </wp:anchor>
        </w:drawing>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95" w:lineRule="exact"/>
        <w:rPr>
          <w:sz w:val="20"/>
          <w:szCs w:val="20"/>
          <w:color w:val="auto"/>
        </w:rPr>
      </w:pPr>
    </w:p>
    <w:p>
      <w:pPr>
        <w:ind w:right="119"/>
        <w:spacing w:after="0" w:line="291" w:lineRule="auto"/>
        <w:rPr>
          <w:sz w:val="20"/>
          <w:szCs w:val="20"/>
          <w:color w:val="auto"/>
        </w:rPr>
      </w:pPr>
      <w:r>
        <w:rPr>
          <w:rFonts w:ascii="Arial" w:cs="Arial" w:eastAsia="Arial" w:hAnsi="Arial"/>
          <w:sz w:val="16"/>
          <w:szCs w:val="16"/>
          <w:color w:val="auto"/>
        </w:rPr>
        <w:t>The Compensation Committee considers accounting implications in designing our executive compensation program, such as ASC Topic 718, the standard which governs the accounting treatment of stock-based compensation awards.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Compensation Committee Report</w:t>
      </w:r>
    </w:p>
    <w:p>
      <w:pPr>
        <w:spacing w:after="0" w:line="153" w:lineRule="exact"/>
        <w:rPr>
          <w:sz w:val="20"/>
          <w:szCs w:val="20"/>
          <w:color w:val="auto"/>
        </w:rPr>
      </w:pPr>
    </w:p>
    <w:p>
      <w:pPr>
        <w:ind w:right="99"/>
        <w:spacing w:after="0" w:line="301"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that it be included in this Proxy Statement and incorporated by reference into our 2025 Annual Report on Form 10-K.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Ekta Singh-Bushell, 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Joy T. Brown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 Eugene Lockhart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Debra Zumwalt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49</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13792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1037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59"/>
          </w:cols>
          <w:pgMar w:left="1400" w:top="891" w:right="1440" w:bottom="423"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00558C"/>
        </w:rPr>
        <w:t>2025 Summary Compensation Table</w:t>
      </w:r>
    </w:p>
    <w:p>
      <w:pPr>
        <w:sectPr>
          <w:pgSz w:w="11900" w:h="16838" w:orient="portrait"/>
          <w:cols w:equalWidth="0" w:num="1">
            <w:col w:w="9059"/>
          </w:cols>
          <w:pgMar w:left="1400" w:top="891" w:right="1440" w:bottom="423"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342"/>
        </w:trPr>
        <w:tc>
          <w:tcPr>
            <w:tcW w:w="1220" w:type="dxa"/>
            <w:vAlign w:val="bottom"/>
            <w:shd w:val="clear" w:color="auto" w:fill="00558C"/>
          </w:tcPr>
          <w:p>
            <w:pPr>
              <w:spacing w:after="0"/>
              <w:rPr>
                <w:sz w:val="24"/>
                <w:szCs w:val="24"/>
                <w:color w:val="auto"/>
              </w:rPr>
            </w:pPr>
          </w:p>
        </w:tc>
        <w:tc>
          <w:tcPr>
            <w:tcW w:w="720" w:type="dxa"/>
            <w:vAlign w:val="bottom"/>
            <w:shd w:val="clear" w:color="auto" w:fill="00558C"/>
          </w:tcPr>
          <w:p>
            <w:pPr>
              <w:spacing w:after="0"/>
              <w:rPr>
                <w:sz w:val="24"/>
                <w:szCs w:val="24"/>
                <w:color w:val="auto"/>
              </w:rPr>
            </w:pPr>
          </w:p>
        </w:tc>
        <w:tc>
          <w:tcPr>
            <w:tcW w:w="720" w:type="dxa"/>
            <w:vAlign w:val="bottom"/>
            <w:shd w:val="clear" w:color="auto" w:fill="00558C"/>
          </w:tcPr>
          <w:p>
            <w:pPr>
              <w:spacing w:after="0"/>
              <w:rPr>
                <w:sz w:val="24"/>
                <w:szCs w:val="24"/>
                <w:color w:val="auto"/>
              </w:rPr>
            </w:pPr>
          </w:p>
        </w:tc>
        <w:tc>
          <w:tcPr>
            <w:tcW w:w="760" w:type="dxa"/>
            <w:vAlign w:val="bottom"/>
            <w:shd w:val="clear" w:color="auto" w:fill="00558C"/>
          </w:tcPr>
          <w:p>
            <w:pPr>
              <w:spacing w:after="0"/>
              <w:rPr>
                <w:sz w:val="24"/>
                <w:szCs w:val="24"/>
                <w:color w:val="auto"/>
              </w:rPr>
            </w:pPr>
          </w:p>
        </w:tc>
        <w:tc>
          <w:tcPr>
            <w:tcW w:w="40" w:type="dxa"/>
            <w:vAlign w:val="bottom"/>
            <w:shd w:val="clear" w:color="auto" w:fill="00558C"/>
          </w:tcPr>
          <w:p>
            <w:pPr>
              <w:spacing w:after="0"/>
              <w:rPr>
                <w:sz w:val="24"/>
                <w:szCs w:val="24"/>
                <w:color w:val="auto"/>
              </w:rPr>
            </w:pPr>
          </w:p>
        </w:tc>
        <w:tc>
          <w:tcPr>
            <w:tcW w:w="1020" w:type="dxa"/>
            <w:vAlign w:val="bottom"/>
            <w:shd w:val="clear" w:color="auto" w:fill="00558C"/>
          </w:tcPr>
          <w:p>
            <w:pPr>
              <w:spacing w:after="0"/>
              <w:rPr>
                <w:sz w:val="24"/>
                <w:szCs w:val="24"/>
                <w:color w:val="auto"/>
              </w:rPr>
            </w:pPr>
          </w:p>
        </w:tc>
        <w:tc>
          <w:tcPr>
            <w:tcW w:w="660" w:type="dxa"/>
            <w:vAlign w:val="bottom"/>
            <w:shd w:val="clear" w:color="auto" w:fill="00558C"/>
          </w:tcPr>
          <w:p>
            <w:pPr>
              <w:spacing w:after="0"/>
              <w:rPr>
                <w:sz w:val="24"/>
                <w:szCs w:val="24"/>
                <w:color w:val="auto"/>
              </w:rPr>
            </w:pPr>
          </w:p>
        </w:tc>
        <w:tc>
          <w:tcPr>
            <w:tcW w:w="1320" w:type="dxa"/>
            <w:vAlign w:val="bottom"/>
            <w:shd w:val="clear" w:color="auto" w:fill="00558C"/>
          </w:tcPr>
          <w:p>
            <w:pPr>
              <w:jc w:val="right"/>
              <w:ind w:right="92"/>
              <w:spacing w:after="0"/>
              <w:rPr>
                <w:sz w:val="20"/>
                <w:szCs w:val="20"/>
                <w:color w:val="auto"/>
              </w:rPr>
            </w:pPr>
            <w:r>
              <w:rPr>
                <w:rFonts w:ascii="Arial" w:cs="Arial" w:eastAsia="Arial" w:hAnsi="Arial"/>
                <w:sz w:val="14"/>
                <w:szCs w:val="14"/>
                <w:b w:val="1"/>
                <w:bCs w:val="1"/>
                <w:color w:val="FFFFFF"/>
              </w:rPr>
              <w:t>Non-Equity</w:t>
            </w:r>
          </w:p>
        </w:tc>
        <w:tc>
          <w:tcPr>
            <w:tcW w:w="1500" w:type="dxa"/>
            <w:vAlign w:val="bottom"/>
            <w:shd w:val="clear" w:color="auto" w:fill="00558C"/>
          </w:tcPr>
          <w:p>
            <w:pPr>
              <w:spacing w:after="0"/>
              <w:rPr>
                <w:sz w:val="24"/>
                <w:szCs w:val="24"/>
                <w:color w:val="auto"/>
              </w:rPr>
            </w:pPr>
          </w:p>
        </w:tc>
        <w:tc>
          <w:tcPr>
            <w:tcW w:w="110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00558C"/>
          </w:tcPr>
          <w:p>
            <w:pPr>
              <w:spacing w:after="0"/>
              <w:rPr>
                <w:sz w:val="12"/>
                <w:szCs w:val="12"/>
                <w:color w:val="auto"/>
              </w:rPr>
            </w:pPr>
          </w:p>
        </w:tc>
        <w:tc>
          <w:tcPr>
            <w:tcW w:w="720" w:type="dxa"/>
            <w:vAlign w:val="bottom"/>
            <w:shd w:val="clear" w:color="auto" w:fill="00558C"/>
          </w:tcPr>
          <w:p>
            <w:pPr>
              <w:spacing w:after="0"/>
              <w:rPr>
                <w:sz w:val="12"/>
                <w:szCs w:val="12"/>
                <w:color w:val="auto"/>
              </w:rPr>
            </w:pPr>
          </w:p>
        </w:tc>
        <w:tc>
          <w:tcPr>
            <w:tcW w:w="720" w:type="dxa"/>
            <w:vAlign w:val="bottom"/>
            <w:vMerge w:val="restart"/>
            <w:shd w:val="clear" w:color="auto" w:fill="00558C"/>
          </w:tcPr>
          <w:p>
            <w:pPr>
              <w:ind w:left="200"/>
              <w:spacing w:after="0"/>
              <w:rPr>
                <w:sz w:val="20"/>
                <w:szCs w:val="20"/>
                <w:color w:val="auto"/>
              </w:rPr>
            </w:pPr>
            <w:r>
              <w:rPr>
                <w:rFonts w:ascii="Arial" w:cs="Arial" w:eastAsia="Arial" w:hAnsi="Arial"/>
                <w:sz w:val="14"/>
                <w:szCs w:val="14"/>
                <w:b w:val="1"/>
                <w:bCs w:val="1"/>
                <w:color w:val="auto"/>
              </w:rPr>
              <w:t>2025</w:t>
            </w:r>
          </w:p>
        </w:tc>
        <w:tc>
          <w:tcPr>
            <w:tcW w:w="760" w:type="dxa"/>
            <w:vAlign w:val="bottom"/>
            <w:vMerge w:val="restart"/>
            <w:shd w:val="clear" w:color="auto" w:fill="00558C"/>
          </w:tcPr>
          <w:p>
            <w:pPr>
              <w:jc w:val="right"/>
              <w:spacing w:after="0"/>
              <w:rPr>
                <w:sz w:val="20"/>
                <w:szCs w:val="20"/>
                <w:color w:val="auto"/>
              </w:rPr>
            </w:pPr>
            <w:r>
              <w:rPr>
                <w:rFonts w:ascii="Arial" w:cs="Arial" w:eastAsia="Arial" w:hAnsi="Arial"/>
                <w:sz w:val="14"/>
                <w:szCs w:val="14"/>
                <w:b w:val="1"/>
                <w:bCs w:val="1"/>
                <w:color w:val="auto"/>
              </w:rPr>
              <w:t>1,021,875</w:t>
            </w:r>
          </w:p>
        </w:tc>
        <w:tc>
          <w:tcPr>
            <w:tcW w:w="40" w:type="dxa"/>
            <w:vAlign w:val="bottom"/>
            <w:shd w:val="clear" w:color="auto" w:fill="00558C"/>
          </w:tcPr>
          <w:p>
            <w:pPr>
              <w:spacing w:after="0"/>
              <w:rPr>
                <w:sz w:val="12"/>
                <w:szCs w:val="12"/>
                <w:color w:val="auto"/>
              </w:rPr>
            </w:pPr>
          </w:p>
        </w:tc>
        <w:tc>
          <w:tcPr>
            <w:tcW w:w="1020" w:type="dxa"/>
            <w:vAlign w:val="bottom"/>
            <w:vMerge w:val="restart"/>
            <w:shd w:val="clear" w:color="auto" w:fill="00558C"/>
          </w:tcPr>
          <w:p>
            <w:pPr>
              <w:jc w:val="right"/>
              <w:ind w:right="195"/>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00558C"/>
          </w:tcPr>
          <w:p>
            <w:pPr>
              <w:jc w:val="right"/>
              <w:spacing w:after="0" w:line="145" w:lineRule="exact"/>
              <w:rPr>
                <w:sz w:val="20"/>
                <w:szCs w:val="20"/>
                <w:color w:val="auto"/>
              </w:rPr>
            </w:pPr>
            <w:r>
              <w:rPr>
                <w:rFonts w:ascii="Arial" w:cs="Arial" w:eastAsia="Arial" w:hAnsi="Arial"/>
                <w:sz w:val="14"/>
                <w:szCs w:val="14"/>
                <w:b w:val="1"/>
                <w:bCs w:val="1"/>
                <w:color w:val="FFFFFF"/>
              </w:rPr>
              <w:t>Stock</w:t>
            </w:r>
          </w:p>
        </w:tc>
        <w:tc>
          <w:tcPr>
            <w:tcW w:w="1320" w:type="dxa"/>
            <w:vAlign w:val="bottom"/>
            <w:shd w:val="clear" w:color="auto" w:fill="00558C"/>
          </w:tcPr>
          <w:p>
            <w:pPr>
              <w:jc w:val="right"/>
              <w:ind w:right="112"/>
              <w:spacing w:after="0" w:line="145" w:lineRule="exact"/>
              <w:rPr>
                <w:sz w:val="20"/>
                <w:szCs w:val="20"/>
                <w:color w:val="auto"/>
              </w:rPr>
            </w:pPr>
            <w:r>
              <w:rPr>
                <w:rFonts w:ascii="Arial" w:cs="Arial" w:eastAsia="Arial" w:hAnsi="Arial"/>
                <w:sz w:val="14"/>
                <w:szCs w:val="14"/>
                <w:b w:val="1"/>
                <w:bCs w:val="1"/>
                <w:color w:val="FFFFFF"/>
              </w:rPr>
              <w:t>Incentive Plan</w:t>
            </w:r>
          </w:p>
        </w:tc>
        <w:tc>
          <w:tcPr>
            <w:tcW w:w="1500" w:type="dxa"/>
            <w:vAlign w:val="bottom"/>
            <w:shd w:val="clear" w:color="auto" w:fill="00558C"/>
          </w:tcPr>
          <w:p>
            <w:pPr>
              <w:jc w:val="right"/>
              <w:ind w:right="315"/>
              <w:spacing w:after="0" w:line="145" w:lineRule="exact"/>
              <w:rPr>
                <w:sz w:val="20"/>
                <w:szCs w:val="20"/>
                <w:color w:val="auto"/>
              </w:rPr>
            </w:pPr>
            <w:r>
              <w:rPr>
                <w:rFonts w:ascii="Arial" w:cs="Arial" w:eastAsia="Arial" w:hAnsi="Arial"/>
                <w:sz w:val="14"/>
                <w:szCs w:val="14"/>
                <w:b w:val="1"/>
                <w:bCs w:val="1"/>
                <w:color w:val="FFFFFF"/>
              </w:rPr>
              <w:t>All Other</w:t>
            </w:r>
          </w:p>
        </w:tc>
        <w:tc>
          <w:tcPr>
            <w:tcW w:w="1100" w:type="dxa"/>
            <w:vAlign w:val="bottom"/>
            <w:vMerge w:val="restart"/>
            <w:shd w:val="clear" w:color="auto" w:fill="00558C"/>
          </w:tcPr>
          <w:p>
            <w:pPr>
              <w:jc w:val="right"/>
              <w:ind w:right="92"/>
              <w:spacing w:after="0"/>
              <w:rPr>
                <w:sz w:val="20"/>
                <w:szCs w:val="20"/>
                <w:color w:val="auto"/>
              </w:rPr>
            </w:pPr>
            <w:r>
              <w:rPr>
                <w:rFonts w:ascii="Arial" w:cs="Arial" w:eastAsia="Arial" w:hAnsi="Arial"/>
                <w:sz w:val="14"/>
                <w:szCs w:val="14"/>
                <w:b w:val="1"/>
                <w:bCs w:val="1"/>
                <w:color w:val="auto"/>
              </w:rPr>
              <w:t>7,198,354</w:t>
            </w:r>
          </w:p>
        </w:tc>
        <w:tc>
          <w:tcPr>
            <w:tcW w:w="0" w:type="dxa"/>
            <w:vAlign w:val="bottom"/>
          </w:tcPr>
          <w:p>
            <w:pPr>
              <w:spacing w:after="0"/>
              <w:rPr>
                <w:sz w:val="1"/>
                <w:szCs w:val="1"/>
                <w:color w:val="auto"/>
              </w:rPr>
            </w:pPr>
          </w:p>
        </w:tc>
      </w:tr>
      <w:tr>
        <w:trPr>
          <w:trHeight w:val="135"/>
        </w:trPr>
        <w:tc>
          <w:tcPr>
            <w:tcW w:w="1940" w:type="dxa"/>
            <w:vAlign w:val="bottom"/>
            <w:gridSpan w:val="2"/>
            <w:vMerge w:val="restart"/>
            <w:shd w:val="clear" w:color="auto" w:fill="00558C"/>
          </w:tcPr>
          <w:p>
            <w:pPr>
              <w:ind w:left="140"/>
              <w:spacing w:after="0"/>
              <w:rPr>
                <w:sz w:val="20"/>
                <w:szCs w:val="20"/>
                <w:color w:val="auto"/>
              </w:rPr>
            </w:pPr>
            <w:r>
              <w:rPr>
                <w:rFonts w:ascii="Arial" w:cs="Arial" w:eastAsia="Arial" w:hAnsi="Arial"/>
                <w:sz w:val="14"/>
                <w:szCs w:val="14"/>
                <w:b w:val="1"/>
                <w:bCs w:val="1"/>
                <w:color w:val="FFFFFF"/>
              </w:rPr>
              <w:t>Name and Principal</w:t>
            </w:r>
          </w:p>
        </w:tc>
        <w:tc>
          <w:tcPr>
            <w:tcW w:w="720" w:type="dxa"/>
            <w:vAlign w:val="bottom"/>
            <w:vMerge w:val="continue"/>
            <w:shd w:val="clear" w:color="auto" w:fill="00558C"/>
          </w:tcPr>
          <w:p>
            <w:pPr>
              <w:spacing w:after="0"/>
              <w:rPr>
                <w:sz w:val="11"/>
                <w:szCs w:val="11"/>
                <w:color w:val="auto"/>
              </w:rPr>
            </w:pPr>
          </w:p>
        </w:tc>
        <w:tc>
          <w:tcPr>
            <w:tcW w:w="760" w:type="dxa"/>
            <w:vAlign w:val="bottom"/>
            <w:vMerge w:val="continue"/>
            <w:shd w:val="clear" w:color="auto" w:fill="00558C"/>
          </w:tcPr>
          <w:p>
            <w:pPr>
              <w:spacing w:after="0"/>
              <w:rPr>
                <w:sz w:val="11"/>
                <w:szCs w:val="11"/>
                <w:color w:val="auto"/>
              </w:rPr>
            </w:pPr>
          </w:p>
        </w:tc>
        <w:tc>
          <w:tcPr>
            <w:tcW w:w="40" w:type="dxa"/>
            <w:vAlign w:val="bottom"/>
            <w:shd w:val="clear" w:color="auto" w:fill="00558C"/>
          </w:tcPr>
          <w:p>
            <w:pPr>
              <w:spacing w:after="0"/>
              <w:rPr>
                <w:sz w:val="11"/>
                <w:szCs w:val="11"/>
                <w:color w:val="auto"/>
              </w:rPr>
            </w:pPr>
          </w:p>
        </w:tc>
        <w:tc>
          <w:tcPr>
            <w:tcW w:w="1020" w:type="dxa"/>
            <w:vAlign w:val="bottom"/>
            <w:vMerge w:val="continue"/>
            <w:shd w:val="clear" w:color="auto" w:fill="00558C"/>
          </w:tcPr>
          <w:p>
            <w:pPr>
              <w:spacing w:after="0"/>
              <w:rPr>
                <w:sz w:val="11"/>
                <w:szCs w:val="11"/>
                <w:color w:val="auto"/>
              </w:rPr>
            </w:pPr>
          </w:p>
        </w:tc>
        <w:tc>
          <w:tcPr>
            <w:tcW w:w="660" w:type="dxa"/>
            <w:vAlign w:val="bottom"/>
            <w:shd w:val="clear" w:color="auto" w:fill="00558C"/>
          </w:tcPr>
          <w:p>
            <w:pPr>
              <w:jc w:val="right"/>
              <w:spacing w:after="0" w:line="135" w:lineRule="exact"/>
              <w:rPr>
                <w:sz w:val="20"/>
                <w:szCs w:val="20"/>
                <w:color w:val="auto"/>
              </w:rPr>
            </w:pPr>
            <w:r>
              <w:rPr>
                <w:rFonts w:ascii="Arial" w:cs="Arial" w:eastAsia="Arial" w:hAnsi="Arial"/>
                <w:sz w:val="14"/>
                <w:szCs w:val="14"/>
                <w:b w:val="1"/>
                <w:bCs w:val="1"/>
                <w:color w:val="auto"/>
              </w:rPr>
              <w:t>4,612,525</w:t>
            </w:r>
          </w:p>
        </w:tc>
        <w:tc>
          <w:tcPr>
            <w:tcW w:w="1320" w:type="dxa"/>
            <w:vAlign w:val="bottom"/>
            <w:shd w:val="clear" w:color="auto" w:fill="00558C"/>
          </w:tcPr>
          <w:p>
            <w:pPr>
              <w:jc w:val="right"/>
              <w:ind w:right="12"/>
              <w:spacing w:after="0" w:line="135" w:lineRule="exact"/>
              <w:rPr>
                <w:sz w:val="20"/>
                <w:szCs w:val="20"/>
                <w:color w:val="auto"/>
              </w:rPr>
            </w:pPr>
            <w:r>
              <w:rPr>
                <w:rFonts w:ascii="Arial" w:cs="Arial" w:eastAsia="Arial" w:hAnsi="Arial"/>
                <w:sz w:val="14"/>
                <w:szCs w:val="14"/>
                <w:b w:val="1"/>
                <w:bCs w:val="1"/>
                <w:color w:val="auto"/>
              </w:rPr>
              <w:t>1,515,975</w:t>
            </w:r>
          </w:p>
        </w:tc>
        <w:tc>
          <w:tcPr>
            <w:tcW w:w="1500" w:type="dxa"/>
            <w:vAlign w:val="bottom"/>
            <w:shd w:val="clear" w:color="auto" w:fill="00558C"/>
          </w:tcPr>
          <w:p>
            <w:pPr>
              <w:jc w:val="right"/>
              <w:ind w:right="255"/>
              <w:spacing w:after="0" w:line="135" w:lineRule="exact"/>
              <w:rPr>
                <w:sz w:val="20"/>
                <w:szCs w:val="20"/>
                <w:color w:val="auto"/>
              </w:rPr>
            </w:pPr>
            <w:r>
              <w:rPr>
                <w:rFonts w:ascii="Arial" w:cs="Arial" w:eastAsia="Arial" w:hAnsi="Arial"/>
                <w:sz w:val="14"/>
                <w:szCs w:val="14"/>
                <w:b w:val="1"/>
                <w:bCs w:val="1"/>
                <w:color w:val="auto"/>
              </w:rPr>
              <w:t>47,979</w:t>
            </w:r>
          </w:p>
        </w:tc>
        <w:tc>
          <w:tcPr>
            <w:tcW w:w="1100" w:type="dxa"/>
            <w:vAlign w:val="bottom"/>
            <w:vMerge w:val="continue"/>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940" w:type="dxa"/>
            <w:vAlign w:val="bottom"/>
            <w:gridSpan w:val="2"/>
            <w:vMerge w:val="continue"/>
            <w:shd w:val="clear" w:color="auto" w:fill="00558C"/>
          </w:tcPr>
          <w:p>
            <w:pPr>
              <w:spacing w:after="0"/>
              <w:rPr>
                <w:sz w:val="3"/>
                <w:szCs w:val="3"/>
                <w:color w:val="auto"/>
              </w:rPr>
            </w:pPr>
          </w:p>
        </w:tc>
        <w:tc>
          <w:tcPr>
            <w:tcW w:w="720" w:type="dxa"/>
            <w:vAlign w:val="bottom"/>
            <w:shd w:val="clear" w:color="auto" w:fill="00558C"/>
          </w:tcPr>
          <w:p>
            <w:pPr>
              <w:spacing w:after="0"/>
              <w:rPr>
                <w:sz w:val="3"/>
                <w:szCs w:val="3"/>
                <w:color w:val="auto"/>
              </w:rPr>
            </w:pPr>
          </w:p>
        </w:tc>
        <w:tc>
          <w:tcPr>
            <w:tcW w:w="800" w:type="dxa"/>
            <w:vAlign w:val="bottom"/>
            <w:gridSpan w:val="2"/>
            <w:shd w:val="clear" w:color="auto" w:fill="00558C"/>
          </w:tcPr>
          <w:p>
            <w:pPr>
              <w:ind w:left="300"/>
              <w:spacing w:after="0" w:line="43" w:lineRule="exact"/>
              <w:rPr>
                <w:sz w:val="20"/>
                <w:szCs w:val="20"/>
                <w:color w:val="auto"/>
              </w:rPr>
            </w:pPr>
            <w:r>
              <w:rPr>
                <w:rFonts w:ascii="Arial" w:cs="Arial" w:eastAsia="Arial" w:hAnsi="Arial"/>
                <w:sz w:val="4"/>
                <w:szCs w:val="4"/>
                <w:b w:val="1"/>
                <w:bCs w:val="1"/>
                <w:color w:val="FFFFFF"/>
              </w:rPr>
              <w:t>Salary</w:t>
            </w:r>
          </w:p>
        </w:tc>
        <w:tc>
          <w:tcPr>
            <w:tcW w:w="1020" w:type="dxa"/>
            <w:vAlign w:val="bottom"/>
            <w:shd w:val="clear" w:color="auto" w:fill="00558C"/>
          </w:tcPr>
          <w:p>
            <w:pPr>
              <w:jc w:val="right"/>
              <w:ind w:right="215"/>
              <w:spacing w:after="0" w:line="43" w:lineRule="exact"/>
              <w:rPr>
                <w:sz w:val="20"/>
                <w:szCs w:val="20"/>
                <w:color w:val="auto"/>
              </w:rPr>
            </w:pPr>
            <w:r>
              <w:rPr>
                <w:rFonts w:ascii="Arial" w:cs="Arial" w:eastAsia="Arial" w:hAnsi="Arial"/>
                <w:sz w:val="4"/>
                <w:szCs w:val="4"/>
                <w:b w:val="1"/>
                <w:bCs w:val="1"/>
                <w:color w:val="FFFFFF"/>
              </w:rPr>
              <w:t>Bonus</w:t>
            </w:r>
          </w:p>
        </w:tc>
        <w:tc>
          <w:tcPr>
            <w:tcW w:w="660" w:type="dxa"/>
            <w:vAlign w:val="bottom"/>
            <w:shd w:val="clear" w:color="auto" w:fill="00558C"/>
          </w:tcPr>
          <w:p>
            <w:pPr>
              <w:jc w:val="right"/>
              <w:spacing w:after="0" w:line="43" w:lineRule="exact"/>
              <w:rPr>
                <w:sz w:val="20"/>
                <w:szCs w:val="20"/>
                <w:color w:val="auto"/>
              </w:rPr>
            </w:pPr>
            <w:r>
              <w:rPr>
                <w:rFonts w:ascii="Arial" w:cs="Arial" w:eastAsia="Arial" w:hAnsi="Arial"/>
                <w:sz w:val="4"/>
                <w:szCs w:val="4"/>
                <w:b w:val="1"/>
                <w:bCs w:val="1"/>
                <w:color w:val="FFFFFF"/>
              </w:rPr>
              <w:t>Awards</w:t>
            </w:r>
          </w:p>
        </w:tc>
        <w:tc>
          <w:tcPr>
            <w:tcW w:w="1320" w:type="dxa"/>
            <w:vAlign w:val="bottom"/>
            <w:shd w:val="clear" w:color="auto" w:fill="00558C"/>
          </w:tcPr>
          <w:p>
            <w:pPr>
              <w:jc w:val="right"/>
              <w:ind w:right="112"/>
              <w:spacing w:after="0" w:line="43" w:lineRule="exact"/>
              <w:rPr>
                <w:sz w:val="20"/>
                <w:szCs w:val="20"/>
                <w:color w:val="auto"/>
              </w:rPr>
            </w:pPr>
            <w:r>
              <w:rPr>
                <w:rFonts w:ascii="Arial" w:cs="Arial" w:eastAsia="Arial" w:hAnsi="Arial"/>
                <w:sz w:val="4"/>
                <w:szCs w:val="4"/>
                <w:b w:val="1"/>
                <w:bCs w:val="1"/>
                <w:color w:val="FFFFFF"/>
              </w:rPr>
              <w:t>Compensation</w:t>
            </w:r>
          </w:p>
        </w:tc>
        <w:tc>
          <w:tcPr>
            <w:tcW w:w="1500" w:type="dxa"/>
            <w:vAlign w:val="bottom"/>
            <w:shd w:val="clear" w:color="auto" w:fill="00558C"/>
          </w:tcPr>
          <w:p>
            <w:pPr>
              <w:jc w:val="right"/>
              <w:ind w:right="355"/>
              <w:spacing w:after="0" w:line="43" w:lineRule="exact"/>
              <w:rPr>
                <w:sz w:val="20"/>
                <w:szCs w:val="20"/>
                <w:color w:val="auto"/>
              </w:rPr>
            </w:pPr>
            <w:r>
              <w:rPr>
                <w:rFonts w:ascii="Arial" w:cs="Arial" w:eastAsia="Arial" w:hAnsi="Arial"/>
                <w:sz w:val="4"/>
                <w:szCs w:val="4"/>
                <w:b w:val="1"/>
                <w:bCs w:val="1"/>
                <w:color w:val="FFFFFF"/>
              </w:rPr>
              <w:t>Compensation</w:t>
            </w:r>
          </w:p>
        </w:tc>
        <w:tc>
          <w:tcPr>
            <w:tcW w:w="1100" w:type="dxa"/>
            <w:vAlign w:val="bottom"/>
            <w:shd w:val="clear" w:color="auto" w:fill="00558C"/>
          </w:tcPr>
          <w:p>
            <w:pPr>
              <w:jc w:val="right"/>
              <w:ind w:right="132"/>
              <w:spacing w:after="0" w:line="43" w:lineRule="exact"/>
              <w:rPr>
                <w:sz w:val="20"/>
                <w:szCs w:val="20"/>
                <w:color w:val="auto"/>
              </w:rPr>
            </w:pPr>
            <w:r>
              <w:rPr>
                <w:rFonts w:ascii="Arial" w:cs="Arial" w:eastAsia="Arial" w:hAnsi="Arial"/>
                <w:sz w:val="4"/>
                <w:szCs w:val="4"/>
                <w:b w:val="1"/>
                <w:bCs w:val="1"/>
                <w:color w:val="FFFFFF"/>
              </w:rPr>
              <w:t>Total</w:t>
            </w:r>
          </w:p>
        </w:tc>
        <w:tc>
          <w:tcPr>
            <w:tcW w:w="0" w:type="dxa"/>
            <w:vAlign w:val="bottom"/>
          </w:tcPr>
          <w:p>
            <w:pPr>
              <w:spacing w:after="0"/>
              <w:rPr>
                <w:sz w:val="1"/>
                <w:szCs w:val="1"/>
                <w:color w:val="auto"/>
              </w:rPr>
            </w:pPr>
          </w:p>
        </w:tc>
      </w:tr>
      <w:tr>
        <w:trPr>
          <w:trHeight w:val="174"/>
        </w:trPr>
        <w:tc>
          <w:tcPr>
            <w:tcW w:w="12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Position</w:t>
            </w:r>
          </w:p>
        </w:tc>
        <w:tc>
          <w:tcPr>
            <w:tcW w:w="720" w:type="dxa"/>
            <w:vAlign w:val="bottom"/>
            <w:shd w:val="clear" w:color="auto" w:fill="00558C"/>
          </w:tcPr>
          <w:p>
            <w:pPr>
              <w:jc w:val="right"/>
              <w:ind w:right="553"/>
              <w:spacing w:after="0"/>
              <w:rPr>
                <w:sz w:val="20"/>
                <w:szCs w:val="20"/>
                <w:color w:val="auto"/>
              </w:rPr>
            </w:pPr>
            <w:r>
              <w:rPr>
                <w:rFonts w:ascii="Arial" w:cs="Arial" w:eastAsia="Arial" w:hAnsi="Arial"/>
                <w:sz w:val="9"/>
                <w:szCs w:val="9"/>
                <w:b w:val="1"/>
                <w:bCs w:val="1"/>
                <w:color w:val="00558C"/>
                <w:w w:val="90"/>
              </w:rPr>
              <w:t>(4)</w:t>
            </w:r>
          </w:p>
        </w:tc>
        <w:tc>
          <w:tcPr>
            <w:tcW w:w="720" w:type="dxa"/>
            <w:vAlign w:val="bottom"/>
            <w:shd w:val="clear" w:color="auto" w:fill="00558C"/>
          </w:tcPr>
          <w:p>
            <w:pPr>
              <w:ind w:left="180"/>
              <w:spacing w:after="0"/>
              <w:rPr>
                <w:sz w:val="20"/>
                <w:szCs w:val="20"/>
                <w:color w:val="auto"/>
              </w:rPr>
            </w:pPr>
            <w:r>
              <w:rPr>
                <w:rFonts w:ascii="Arial" w:cs="Arial" w:eastAsia="Arial" w:hAnsi="Arial"/>
                <w:sz w:val="14"/>
                <w:szCs w:val="14"/>
                <w:b w:val="1"/>
                <w:bCs w:val="1"/>
                <w:color w:val="FFFFFF"/>
              </w:rPr>
              <w:t>Year</w:t>
            </w:r>
          </w:p>
        </w:tc>
        <w:tc>
          <w:tcPr>
            <w:tcW w:w="76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40" w:type="dxa"/>
            <w:vAlign w:val="bottom"/>
            <w:shd w:val="clear" w:color="auto" w:fill="00558C"/>
          </w:tcPr>
          <w:p>
            <w:pPr>
              <w:spacing w:after="0"/>
              <w:rPr>
                <w:sz w:val="15"/>
                <w:szCs w:val="15"/>
                <w:color w:val="auto"/>
              </w:rPr>
            </w:pPr>
          </w:p>
        </w:tc>
        <w:tc>
          <w:tcPr>
            <w:tcW w:w="1020" w:type="dxa"/>
            <w:vAlign w:val="bottom"/>
            <w:shd w:val="clear" w:color="auto" w:fill="00558C"/>
          </w:tcPr>
          <w:p>
            <w:pPr>
              <w:jc w:val="right"/>
              <w:ind w:right="175"/>
              <w:spacing w:after="0" w:line="174"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8"/>
                <w:szCs w:val="8"/>
                <w:b w:val="1"/>
                <w:bCs w:val="1"/>
                <w:color w:val="FFFFFF"/>
              </w:rPr>
              <w:t xml:space="preserve"> (1)</w:t>
            </w:r>
          </w:p>
        </w:tc>
        <w:tc>
          <w:tcPr>
            <w:tcW w:w="660" w:type="dxa"/>
            <w:vAlign w:val="bottom"/>
            <w:shd w:val="clear" w:color="auto" w:fill="00558C"/>
          </w:tcPr>
          <w:p>
            <w:pPr>
              <w:jc w:val="right"/>
              <w:spacing w:after="0" w:line="174"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8"/>
                <w:szCs w:val="8"/>
                <w:b w:val="1"/>
                <w:bCs w:val="1"/>
                <w:color w:val="FFFFFF"/>
              </w:rPr>
              <w:t xml:space="preserve"> (2)</w:t>
            </w:r>
          </w:p>
        </w:tc>
        <w:tc>
          <w:tcPr>
            <w:tcW w:w="1320" w:type="dxa"/>
            <w:vAlign w:val="bottom"/>
            <w:shd w:val="clear" w:color="auto" w:fill="00558C"/>
          </w:tcPr>
          <w:p>
            <w:pPr>
              <w:jc w:val="right"/>
              <w:ind w:right="32"/>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558C"/>
          </w:tcPr>
          <w:p>
            <w:pPr>
              <w:jc w:val="right"/>
              <w:ind w:right="255"/>
              <w:spacing w:after="0" w:line="174"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8"/>
                <w:szCs w:val="8"/>
                <w:b w:val="1"/>
                <w:bCs w:val="1"/>
                <w:color w:val="FFFFFF"/>
              </w:rPr>
              <w:t xml:space="preserve"> (3)</w:t>
            </w:r>
          </w:p>
        </w:tc>
        <w:tc>
          <w:tcPr>
            <w:tcW w:w="1100" w:type="dxa"/>
            <w:vAlign w:val="bottom"/>
            <w:shd w:val="clear" w:color="auto" w:fill="00558C"/>
          </w:tcPr>
          <w:p>
            <w:pPr>
              <w:jc w:val="right"/>
              <w:ind w:right="11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8"/>
        </w:trPr>
        <w:tc>
          <w:tcPr>
            <w:tcW w:w="1220" w:type="dxa"/>
            <w:vAlign w:val="bottom"/>
            <w:shd w:val="clear" w:color="auto" w:fill="00558C"/>
          </w:tcPr>
          <w:p>
            <w:pPr>
              <w:ind w:left="140"/>
              <w:spacing w:after="0" w:line="68" w:lineRule="exact"/>
              <w:rPr>
                <w:sz w:val="20"/>
                <w:szCs w:val="20"/>
                <w:color w:val="auto"/>
              </w:rPr>
            </w:pPr>
            <w:r>
              <w:rPr>
                <w:rFonts w:ascii="Arial" w:cs="Arial" w:eastAsia="Arial" w:hAnsi="Arial"/>
                <w:sz w:val="7"/>
                <w:szCs w:val="7"/>
                <w:b w:val="1"/>
                <w:bCs w:val="1"/>
                <w:color w:val="00558C"/>
              </w:rPr>
              <w:t>C. Mark Hussey</w:t>
            </w:r>
          </w:p>
        </w:tc>
        <w:tc>
          <w:tcPr>
            <w:tcW w:w="720" w:type="dxa"/>
            <w:vAlign w:val="bottom"/>
            <w:shd w:val="clear" w:color="auto" w:fill="00558C"/>
          </w:tcPr>
          <w:p>
            <w:pPr>
              <w:spacing w:after="0"/>
              <w:rPr>
                <w:sz w:val="5"/>
                <w:szCs w:val="5"/>
                <w:color w:val="auto"/>
              </w:rPr>
            </w:pPr>
          </w:p>
        </w:tc>
        <w:tc>
          <w:tcPr>
            <w:tcW w:w="720" w:type="dxa"/>
            <w:vAlign w:val="bottom"/>
            <w:shd w:val="clear" w:color="auto" w:fill="00558C"/>
          </w:tcPr>
          <w:p>
            <w:pPr>
              <w:spacing w:after="0"/>
              <w:rPr>
                <w:sz w:val="5"/>
                <w:szCs w:val="5"/>
                <w:color w:val="auto"/>
              </w:rPr>
            </w:pPr>
          </w:p>
        </w:tc>
        <w:tc>
          <w:tcPr>
            <w:tcW w:w="760" w:type="dxa"/>
            <w:vAlign w:val="bottom"/>
            <w:shd w:val="clear" w:color="auto" w:fill="00558C"/>
          </w:tcPr>
          <w:p>
            <w:pPr>
              <w:spacing w:after="0"/>
              <w:rPr>
                <w:sz w:val="5"/>
                <w:szCs w:val="5"/>
                <w:color w:val="auto"/>
              </w:rPr>
            </w:pPr>
          </w:p>
        </w:tc>
        <w:tc>
          <w:tcPr>
            <w:tcW w:w="40" w:type="dxa"/>
            <w:vAlign w:val="bottom"/>
            <w:shd w:val="clear" w:color="auto" w:fill="00558C"/>
          </w:tcPr>
          <w:p>
            <w:pPr>
              <w:spacing w:after="0"/>
              <w:rPr>
                <w:sz w:val="5"/>
                <w:szCs w:val="5"/>
                <w:color w:val="auto"/>
              </w:rPr>
            </w:pPr>
          </w:p>
        </w:tc>
        <w:tc>
          <w:tcPr>
            <w:tcW w:w="1020" w:type="dxa"/>
            <w:vAlign w:val="bottom"/>
            <w:shd w:val="clear" w:color="auto" w:fill="00558C"/>
          </w:tcPr>
          <w:p>
            <w:pPr>
              <w:spacing w:after="0"/>
              <w:rPr>
                <w:sz w:val="5"/>
                <w:szCs w:val="5"/>
                <w:color w:val="auto"/>
              </w:rPr>
            </w:pPr>
          </w:p>
        </w:tc>
        <w:tc>
          <w:tcPr>
            <w:tcW w:w="660" w:type="dxa"/>
            <w:vAlign w:val="bottom"/>
            <w:shd w:val="clear" w:color="auto" w:fill="00558C"/>
          </w:tcPr>
          <w:p>
            <w:pPr>
              <w:spacing w:after="0"/>
              <w:rPr>
                <w:sz w:val="5"/>
                <w:szCs w:val="5"/>
                <w:color w:val="auto"/>
              </w:rPr>
            </w:pPr>
          </w:p>
        </w:tc>
        <w:tc>
          <w:tcPr>
            <w:tcW w:w="1320" w:type="dxa"/>
            <w:vAlign w:val="bottom"/>
            <w:shd w:val="clear" w:color="auto" w:fill="00558C"/>
          </w:tcPr>
          <w:p>
            <w:pPr>
              <w:spacing w:after="0"/>
              <w:rPr>
                <w:sz w:val="5"/>
                <w:szCs w:val="5"/>
                <w:color w:val="auto"/>
              </w:rPr>
            </w:pPr>
          </w:p>
        </w:tc>
        <w:tc>
          <w:tcPr>
            <w:tcW w:w="1500" w:type="dxa"/>
            <w:vAlign w:val="bottom"/>
            <w:shd w:val="clear" w:color="auto" w:fill="00558C"/>
          </w:tcPr>
          <w:p>
            <w:pPr>
              <w:spacing w:after="0"/>
              <w:rPr>
                <w:sz w:val="5"/>
                <w:szCs w:val="5"/>
                <w:color w:val="auto"/>
              </w:rPr>
            </w:pPr>
          </w:p>
        </w:tc>
        <w:tc>
          <w:tcPr>
            <w:tcW w:w="1100" w:type="dxa"/>
            <w:vAlign w:val="bottom"/>
            <w:shd w:val="clear" w:color="auto" w:fill="00558C"/>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Chief Executive Officer and</w:t>
            </w:r>
          </w:p>
        </w:tc>
        <w:tc>
          <w:tcPr>
            <w:tcW w:w="720" w:type="dxa"/>
            <w:vAlign w:val="bottom"/>
          </w:tcPr>
          <w:p>
            <w:pPr>
              <w:ind w:left="200"/>
              <w:spacing w:after="0"/>
              <w:rPr>
                <w:sz w:val="20"/>
                <w:szCs w:val="20"/>
                <w:color w:val="auto"/>
              </w:rPr>
            </w:pPr>
            <w:r>
              <w:rPr>
                <w:rFonts w:ascii="Arial" w:cs="Arial" w:eastAsia="Arial" w:hAnsi="Arial"/>
                <w:sz w:val="14"/>
                <w:szCs w:val="14"/>
                <w:color w:val="auto"/>
              </w:rPr>
              <w:t>2024</w:t>
            </w:r>
          </w:p>
        </w:tc>
        <w:tc>
          <w:tcPr>
            <w:tcW w:w="760" w:type="dxa"/>
            <w:vAlign w:val="bottom"/>
          </w:tcPr>
          <w:p>
            <w:pPr>
              <w:jc w:val="right"/>
              <w:spacing w:after="0"/>
              <w:rPr>
                <w:sz w:val="20"/>
                <w:szCs w:val="20"/>
                <w:color w:val="auto"/>
              </w:rPr>
            </w:pPr>
            <w:r>
              <w:rPr>
                <w:rFonts w:ascii="Arial" w:cs="Arial" w:eastAsia="Arial" w:hAnsi="Arial"/>
                <w:sz w:val="14"/>
                <w:szCs w:val="14"/>
                <w:color w:val="auto"/>
              </w:rPr>
              <w:t>948,958</w:t>
            </w:r>
          </w:p>
        </w:tc>
        <w:tc>
          <w:tcPr>
            <w:tcW w:w="40" w:type="dxa"/>
            <w:vAlign w:val="bottom"/>
          </w:tcPr>
          <w:p>
            <w:pPr>
              <w:spacing w:after="0"/>
              <w:rPr>
                <w:sz w:val="16"/>
                <w:szCs w:val="16"/>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color w:val="auto"/>
              </w:rPr>
              <w:t>430,000</w:t>
            </w:r>
          </w:p>
        </w:tc>
        <w:tc>
          <w:tcPr>
            <w:tcW w:w="660" w:type="dxa"/>
            <w:vAlign w:val="bottom"/>
          </w:tcPr>
          <w:p>
            <w:pPr>
              <w:jc w:val="right"/>
              <w:spacing w:after="0"/>
              <w:rPr>
                <w:sz w:val="20"/>
                <w:szCs w:val="20"/>
                <w:color w:val="auto"/>
              </w:rPr>
            </w:pPr>
            <w:r>
              <w:rPr>
                <w:rFonts w:ascii="Arial" w:cs="Arial" w:eastAsia="Arial" w:hAnsi="Arial"/>
                <w:sz w:val="14"/>
                <w:szCs w:val="14"/>
                <w:color w:val="auto"/>
              </w:rPr>
              <w:t>3,562,496</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1,539,143</w:t>
            </w:r>
          </w:p>
        </w:tc>
        <w:tc>
          <w:tcPr>
            <w:tcW w:w="1500" w:type="dxa"/>
            <w:vAlign w:val="bottom"/>
          </w:tcPr>
          <w:p>
            <w:pPr>
              <w:jc w:val="right"/>
              <w:ind w:right="255"/>
              <w:spacing w:after="0"/>
              <w:rPr>
                <w:sz w:val="20"/>
                <w:szCs w:val="20"/>
                <w:color w:val="auto"/>
              </w:rPr>
            </w:pPr>
            <w:r>
              <w:rPr>
                <w:rFonts w:ascii="Arial" w:cs="Arial" w:eastAsia="Arial" w:hAnsi="Arial"/>
                <w:sz w:val="14"/>
                <w:szCs w:val="14"/>
                <w:color w:val="auto"/>
              </w:rPr>
              <w:t>39,381</w:t>
            </w:r>
          </w:p>
        </w:tc>
        <w:tc>
          <w:tcPr>
            <w:tcW w:w="1100" w:type="dxa"/>
            <w:vAlign w:val="bottom"/>
          </w:tcPr>
          <w:p>
            <w:pPr>
              <w:jc w:val="right"/>
              <w:ind w:right="92"/>
              <w:spacing w:after="0"/>
              <w:rPr>
                <w:sz w:val="20"/>
                <w:szCs w:val="20"/>
                <w:color w:val="auto"/>
              </w:rPr>
            </w:pPr>
            <w:r>
              <w:rPr>
                <w:rFonts w:ascii="Arial" w:cs="Arial" w:eastAsia="Arial" w:hAnsi="Arial"/>
                <w:sz w:val="14"/>
                <w:szCs w:val="14"/>
                <w:color w:val="auto"/>
              </w:rPr>
              <w:t>6,519,978</w:t>
            </w:r>
          </w:p>
        </w:tc>
        <w:tc>
          <w:tcPr>
            <w:tcW w:w="0" w:type="dxa"/>
            <w:vAlign w:val="bottom"/>
          </w:tcPr>
          <w:p>
            <w:pPr>
              <w:spacing w:after="0"/>
              <w:rPr>
                <w:sz w:val="1"/>
                <w:szCs w:val="1"/>
                <w:color w:val="auto"/>
              </w:rPr>
            </w:pPr>
          </w:p>
        </w:tc>
      </w:tr>
      <w:tr>
        <w:trPr>
          <w:trHeight w:val="190"/>
        </w:trPr>
        <w:tc>
          <w:tcPr>
            <w:tcW w:w="1220" w:type="dxa"/>
            <w:vAlign w:val="bottom"/>
          </w:tcPr>
          <w:p>
            <w:pPr>
              <w:ind w:left="140"/>
              <w:spacing w:after="0"/>
              <w:rPr>
                <w:sz w:val="20"/>
                <w:szCs w:val="20"/>
                <w:color w:val="auto"/>
              </w:rPr>
            </w:pPr>
            <w:r>
              <w:rPr>
                <w:rFonts w:ascii="Arial" w:cs="Arial" w:eastAsia="Arial" w:hAnsi="Arial"/>
                <w:sz w:val="14"/>
                <w:szCs w:val="14"/>
                <w:color w:val="auto"/>
              </w:rPr>
              <w:t>President</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919,792</w:t>
            </w:r>
          </w:p>
        </w:tc>
        <w:tc>
          <w:tcPr>
            <w:tcW w:w="40" w:type="dxa"/>
            <w:vAlign w:val="bottom"/>
          </w:tcPr>
          <w:p>
            <w:pPr>
              <w:spacing w:after="0"/>
              <w:rPr>
                <w:sz w:val="23"/>
                <w:szCs w:val="23"/>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color w:val="auto"/>
              </w:rPr>
              <w:t>430,000</w:t>
            </w:r>
          </w:p>
        </w:tc>
        <w:tc>
          <w:tcPr>
            <w:tcW w:w="660" w:type="dxa"/>
            <w:vAlign w:val="bottom"/>
          </w:tcPr>
          <w:p>
            <w:pPr>
              <w:jc w:val="right"/>
              <w:spacing w:after="0"/>
              <w:rPr>
                <w:sz w:val="20"/>
                <w:szCs w:val="20"/>
                <w:color w:val="auto"/>
              </w:rPr>
            </w:pPr>
            <w:r>
              <w:rPr>
                <w:rFonts w:ascii="Arial" w:cs="Arial" w:eastAsia="Arial" w:hAnsi="Arial"/>
                <w:sz w:val="14"/>
                <w:szCs w:val="14"/>
                <w:color w:val="auto"/>
              </w:rPr>
              <w:t>2,642,725</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1,676,563</w:t>
            </w:r>
          </w:p>
        </w:tc>
        <w:tc>
          <w:tcPr>
            <w:tcW w:w="1500" w:type="dxa"/>
            <w:vAlign w:val="bottom"/>
          </w:tcPr>
          <w:p>
            <w:pPr>
              <w:jc w:val="right"/>
              <w:ind w:right="255"/>
              <w:spacing w:after="0"/>
              <w:rPr>
                <w:sz w:val="20"/>
                <w:szCs w:val="20"/>
                <w:color w:val="auto"/>
              </w:rPr>
            </w:pPr>
            <w:r>
              <w:rPr>
                <w:rFonts w:ascii="Arial" w:cs="Arial" w:eastAsia="Arial" w:hAnsi="Arial"/>
                <w:sz w:val="14"/>
                <w:szCs w:val="14"/>
                <w:color w:val="auto"/>
              </w:rPr>
              <w:t>37,323</w:t>
            </w:r>
          </w:p>
        </w:tc>
        <w:tc>
          <w:tcPr>
            <w:tcW w:w="1100" w:type="dxa"/>
            <w:vAlign w:val="bottom"/>
          </w:tcPr>
          <w:p>
            <w:pPr>
              <w:jc w:val="right"/>
              <w:ind w:right="92"/>
              <w:spacing w:after="0"/>
              <w:rPr>
                <w:sz w:val="20"/>
                <w:szCs w:val="20"/>
                <w:color w:val="auto"/>
              </w:rPr>
            </w:pPr>
            <w:r>
              <w:rPr>
                <w:rFonts w:ascii="Arial" w:cs="Arial" w:eastAsia="Arial" w:hAnsi="Arial"/>
                <w:sz w:val="14"/>
                <w:szCs w:val="14"/>
                <w:color w:val="auto"/>
              </w:rPr>
              <w:t>5,706,403</w:t>
            </w:r>
          </w:p>
        </w:tc>
        <w:tc>
          <w:tcPr>
            <w:tcW w:w="0" w:type="dxa"/>
            <w:vAlign w:val="bottom"/>
          </w:tcPr>
          <w:p>
            <w:pPr>
              <w:spacing w:after="0"/>
              <w:rPr>
                <w:sz w:val="1"/>
                <w:szCs w:val="1"/>
                <w:color w:val="auto"/>
              </w:rPr>
            </w:pPr>
          </w:p>
        </w:tc>
      </w:tr>
      <w:tr>
        <w:trPr>
          <w:trHeight w:val="451"/>
        </w:trPr>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00558C"/>
              </w:rPr>
              <w:t>John D. Kelly</w:t>
            </w:r>
          </w:p>
        </w:tc>
        <w:tc>
          <w:tcPr>
            <w:tcW w:w="7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4"/>
                <w:szCs w:val="14"/>
                <w:b w:val="1"/>
                <w:bCs w:val="1"/>
                <w:color w:val="auto"/>
              </w:rPr>
              <w:t>2025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highlight w:val="white"/>
              </w:rPr>
              <w:t>647,917</w:t>
            </w:r>
          </w:p>
        </w:tc>
        <w:tc>
          <w:tcPr>
            <w:tcW w:w="40" w:type="dxa"/>
            <w:vAlign w:val="bottom"/>
          </w:tcPr>
          <w:p>
            <w:pPr>
              <w:spacing w:after="0"/>
              <w:rPr>
                <w:sz w:val="24"/>
                <w:szCs w:val="24"/>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highlight w:val="white"/>
              </w:rPr>
              <w:t>1,625,071</w:t>
            </w:r>
          </w:p>
        </w:tc>
        <w:tc>
          <w:tcPr>
            <w:tcW w:w="1320" w:type="dxa"/>
            <w:vAlign w:val="bottom"/>
          </w:tcPr>
          <w:p>
            <w:pPr>
              <w:jc w:val="right"/>
              <w:ind w:right="12"/>
              <w:spacing w:after="0"/>
              <w:rPr>
                <w:sz w:val="20"/>
                <w:szCs w:val="20"/>
                <w:color w:val="auto"/>
              </w:rPr>
            </w:pPr>
            <w:r>
              <w:rPr>
                <w:rFonts w:ascii="Arial" w:cs="Arial" w:eastAsia="Arial" w:hAnsi="Arial"/>
                <w:sz w:val="14"/>
                <w:szCs w:val="14"/>
                <w:b w:val="1"/>
                <w:bCs w:val="1"/>
                <w:color w:val="auto"/>
              </w:rPr>
              <w:t>795,600</w:t>
            </w:r>
          </w:p>
        </w:tc>
        <w:tc>
          <w:tcPr>
            <w:tcW w:w="1500" w:type="dxa"/>
            <w:vAlign w:val="bottom"/>
          </w:tcPr>
          <w:p>
            <w:pPr>
              <w:jc w:val="right"/>
              <w:ind w:right="255"/>
              <w:spacing w:after="0"/>
              <w:rPr>
                <w:sz w:val="20"/>
                <w:szCs w:val="20"/>
                <w:color w:val="auto"/>
              </w:rPr>
            </w:pPr>
            <w:r>
              <w:rPr>
                <w:rFonts w:ascii="Arial" w:cs="Arial" w:eastAsia="Arial" w:hAnsi="Arial"/>
                <w:sz w:val="14"/>
                <w:szCs w:val="14"/>
                <w:b w:val="1"/>
                <w:bCs w:val="1"/>
                <w:color w:val="auto"/>
              </w:rPr>
              <w:t>39,135</w:t>
            </w: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3,107,723</w:t>
            </w: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Executive Vice President,</w:t>
            </w: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2024</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598,958</w:t>
            </w:r>
          </w:p>
        </w:tc>
        <w:tc>
          <w:tcPr>
            <w:tcW w:w="40" w:type="dxa"/>
            <w:vAlign w:val="bottom"/>
          </w:tcPr>
          <w:p>
            <w:pPr>
              <w:spacing w:after="0"/>
              <w:rPr>
                <w:sz w:val="14"/>
                <w:szCs w:val="14"/>
                <w:color w:val="auto"/>
              </w:rPr>
            </w:pPr>
          </w:p>
        </w:tc>
        <w:tc>
          <w:tcPr>
            <w:tcW w:w="1020" w:type="dxa"/>
            <w:vAlign w:val="bottom"/>
            <w:vMerge w:val="restart"/>
          </w:tcPr>
          <w:p>
            <w:pPr>
              <w:jc w:val="right"/>
              <w:ind w:right="195"/>
              <w:spacing w:after="0"/>
              <w:rPr>
                <w:sz w:val="20"/>
                <w:szCs w:val="20"/>
                <w:color w:val="auto"/>
              </w:rPr>
            </w:pPr>
            <w:r>
              <w:rPr>
                <w:rFonts w:ascii="Arial" w:cs="Arial" w:eastAsia="Arial" w:hAnsi="Arial"/>
                <w:sz w:val="14"/>
                <w:szCs w:val="14"/>
                <w:color w:val="auto"/>
              </w:rPr>
              <w:t>205,000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1,320,032</w:t>
            </w:r>
          </w:p>
        </w:tc>
        <w:tc>
          <w:tcPr>
            <w:tcW w:w="1320" w:type="dxa"/>
            <w:vAlign w:val="bottom"/>
            <w:vMerge w:val="restart"/>
          </w:tcPr>
          <w:p>
            <w:pPr>
              <w:jc w:val="right"/>
              <w:ind w:right="12"/>
              <w:spacing w:after="0"/>
              <w:rPr>
                <w:sz w:val="20"/>
                <w:szCs w:val="20"/>
                <w:color w:val="auto"/>
              </w:rPr>
            </w:pPr>
            <w:r>
              <w:rPr>
                <w:rFonts w:ascii="Arial" w:cs="Arial" w:eastAsia="Arial" w:hAnsi="Arial"/>
                <w:sz w:val="14"/>
                <w:szCs w:val="14"/>
                <w:color w:val="auto"/>
              </w:rPr>
              <w:t>798,503</w:t>
            </w:r>
          </w:p>
        </w:tc>
        <w:tc>
          <w:tcPr>
            <w:tcW w:w="1500" w:type="dxa"/>
            <w:vAlign w:val="bottom"/>
            <w:vMerge w:val="restart"/>
          </w:tcPr>
          <w:p>
            <w:pPr>
              <w:jc w:val="right"/>
              <w:ind w:right="255"/>
              <w:spacing w:after="0"/>
              <w:rPr>
                <w:sz w:val="20"/>
                <w:szCs w:val="20"/>
                <w:color w:val="auto"/>
              </w:rPr>
            </w:pPr>
            <w:r>
              <w:rPr>
                <w:rFonts w:ascii="Arial" w:cs="Arial" w:eastAsia="Arial" w:hAnsi="Arial"/>
                <w:sz w:val="14"/>
                <w:szCs w:val="14"/>
                <w:color w:val="auto"/>
              </w:rPr>
              <w:t>31,440</w:t>
            </w:r>
          </w:p>
        </w:tc>
        <w:tc>
          <w:tcPr>
            <w:tcW w:w="1100" w:type="dxa"/>
            <w:vAlign w:val="bottom"/>
            <w:vMerge w:val="restart"/>
          </w:tcPr>
          <w:p>
            <w:pPr>
              <w:jc w:val="right"/>
              <w:ind w:right="92"/>
              <w:spacing w:after="0"/>
              <w:rPr>
                <w:sz w:val="20"/>
                <w:szCs w:val="20"/>
                <w:color w:val="auto"/>
              </w:rPr>
            </w:pPr>
            <w:r>
              <w:rPr>
                <w:rFonts w:ascii="Arial" w:cs="Arial" w:eastAsia="Arial" w:hAnsi="Arial"/>
                <w:sz w:val="14"/>
                <w:szCs w:val="14"/>
                <w:color w:val="auto"/>
              </w:rPr>
              <w:t>2,953,933</w:t>
            </w:r>
          </w:p>
        </w:tc>
        <w:tc>
          <w:tcPr>
            <w:tcW w:w="0" w:type="dxa"/>
            <w:vAlign w:val="bottom"/>
          </w:tcPr>
          <w:p>
            <w:pPr>
              <w:spacing w:after="0"/>
              <w:rPr>
                <w:sz w:val="1"/>
                <w:szCs w:val="1"/>
                <w:color w:val="auto"/>
              </w:rPr>
            </w:pPr>
          </w:p>
        </w:tc>
      </w:tr>
      <w:tr>
        <w:trPr>
          <w:trHeight w:val="113"/>
        </w:trPr>
        <w:tc>
          <w:tcPr>
            <w:tcW w:w="1940" w:type="dxa"/>
            <w:vAlign w:val="bottom"/>
            <w:gridSpan w:val="2"/>
            <w:vMerge w:val="restart"/>
          </w:tcPr>
          <w:p>
            <w:pPr>
              <w:ind w:left="140"/>
              <w:spacing w:after="0"/>
              <w:rPr>
                <w:sz w:val="20"/>
                <w:szCs w:val="20"/>
                <w:color w:val="auto"/>
              </w:rPr>
            </w:pPr>
            <w:r>
              <w:rPr>
                <w:rFonts w:ascii="Arial" w:cs="Arial" w:eastAsia="Arial" w:hAnsi="Arial"/>
                <w:sz w:val="14"/>
                <w:szCs w:val="14"/>
                <w:color w:val="auto"/>
              </w:rPr>
              <w:t>Chief Financial Officer</w:t>
            </w:r>
          </w:p>
        </w:tc>
        <w:tc>
          <w:tcPr>
            <w:tcW w:w="7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94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140"/>
              <w:spacing w:after="0"/>
              <w:rPr>
                <w:sz w:val="20"/>
                <w:szCs w:val="20"/>
                <w:color w:val="auto"/>
              </w:rPr>
            </w:pPr>
            <w:r>
              <w:rPr>
                <w:rFonts w:ascii="Arial" w:cs="Arial" w:eastAsia="Arial" w:hAnsi="Arial"/>
                <w:sz w:val="14"/>
                <w:szCs w:val="14"/>
                <w:color w:val="auto"/>
              </w:rPr>
              <w:t>and Treasurer</w:t>
            </w:r>
          </w:p>
        </w:tc>
        <w:tc>
          <w:tcPr>
            <w:tcW w:w="720" w:type="dxa"/>
            <w:vAlign w:val="bottom"/>
          </w:tcPr>
          <w:p>
            <w:pPr>
              <w:spacing w:after="0"/>
              <w:rPr>
                <w:sz w:val="16"/>
                <w:szCs w:val="16"/>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2023</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572,917</w:t>
            </w:r>
          </w:p>
        </w:tc>
        <w:tc>
          <w:tcPr>
            <w:tcW w:w="40" w:type="dxa"/>
            <w:vAlign w:val="bottom"/>
          </w:tcPr>
          <w:p>
            <w:pPr>
              <w:spacing w:after="0"/>
              <w:rPr>
                <w:sz w:val="16"/>
                <w:szCs w:val="16"/>
                <w:color w:val="auto"/>
              </w:rPr>
            </w:pPr>
          </w:p>
        </w:tc>
        <w:tc>
          <w:tcPr>
            <w:tcW w:w="1020" w:type="dxa"/>
            <w:vAlign w:val="bottom"/>
            <w:vMerge w:val="restart"/>
          </w:tcPr>
          <w:p>
            <w:pPr>
              <w:jc w:val="right"/>
              <w:ind w:right="195"/>
              <w:spacing w:after="0"/>
              <w:rPr>
                <w:sz w:val="20"/>
                <w:szCs w:val="20"/>
                <w:color w:val="auto"/>
              </w:rPr>
            </w:pPr>
            <w:r>
              <w:rPr>
                <w:rFonts w:ascii="Arial" w:cs="Arial" w:eastAsia="Arial" w:hAnsi="Arial"/>
                <w:sz w:val="14"/>
                <w:szCs w:val="14"/>
                <w:color w:val="auto"/>
              </w:rPr>
              <w:t>205,000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1,322,087</w:t>
            </w:r>
          </w:p>
        </w:tc>
        <w:tc>
          <w:tcPr>
            <w:tcW w:w="1320" w:type="dxa"/>
            <w:vAlign w:val="bottom"/>
            <w:vMerge w:val="restart"/>
          </w:tcPr>
          <w:p>
            <w:pPr>
              <w:jc w:val="right"/>
              <w:ind w:right="12"/>
              <w:spacing w:after="0"/>
              <w:rPr>
                <w:sz w:val="20"/>
                <w:szCs w:val="20"/>
                <w:color w:val="auto"/>
              </w:rPr>
            </w:pPr>
            <w:r>
              <w:rPr>
                <w:rFonts w:ascii="Arial" w:cs="Arial" w:eastAsia="Arial" w:hAnsi="Arial"/>
                <w:sz w:val="14"/>
                <w:szCs w:val="14"/>
                <w:color w:val="auto"/>
              </w:rPr>
              <w:t>833,750</w:t>
            </w:r>
          </w:p>
        </w:tc>
        <w:tc>
          <w:tcPr>
            <w:tcW w:w="1500" w:type="dxa"/>
            <w:vAlign w:val="bottom"/>
            <w:vMerge w:val="restart"/>
          </w:tcPr>
          <w:p>
            <w:pPr>
              <w:jc w:val="right"/>
              <w:ind w:right="255"/>
              <w:spacing w:after="0"/>
              <w:rPr>
                <w:sz w:val="20"/>
                <w:szCs w:val="20"/>
                <w:color w:val="auto"/>
              </w:rPr>
            </w:pPr>
            <w:r>
              <w:rPr>
                <w:rFonts w:ascii="Arial" w:cs="Arial" w:eastAsia="Arial" w:hAnsi="Arial"/>
                <w:sz w:val="14"/>
                <w:szCs w:val="14"/>
                <w:color w:val="auto"/>
              </w:rPr>
              <w:t>29,956</w:t>
            </w:r>
          </w:p>
        </w:tc>
        <w:tc>
          <w:tcPr>
            <w:tcW w:w="1100" w:type="dxa"/>
            <w:vAlign w:val="bottom"/>
            <w:vMerge w:val="restart"/>
          </w:tcPr>
          <w:p>
            <w:pPr>
              <w:jc w:val="right"/>
              <w:ind w:right="92"/>
              <w:spacing w:after="0"/>
              <w:rPr>
                <w:sz w:val="20"/>
                <w:szCs w:val="20"/>
                <w:color w:val="auto"/>
              </w:rPr>
            </w:pPr>
            <w:r>
              <w:rPr>
                <w:rFonts w:ascii="Arial" w:cs="Arial" w:eastAsia="Arial" w:hAnsi="Arial"/>
                <w:sz w:val="14"/>
                <w:szCs w:val="14"/>
                <w:color w:val="auto"/>
              </w:rPr>
              <w:t>2,963,710</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00558C"/>
                <w:w w:val="98"/>
              </w:rPr>
              <w:t>J. Ronald Dail</w:t>
            </w:r>
            <w:r>
              <w:rPr>
                <w:rFonts w:ascii="Arial" w:cs="Arial" w:eastAsia="Arial" w:hAnsi="Arial"/>
                <w:sz w:val="18"/>
                <w:szCs w:val="18"/>
                <w:b w:val="1"/>
                <w:bCs w:val="1"/>
                <w:color w:val="00558C"/>
                <w:w w:val="98"/>
                <w:vertAlign w:val="superscript"/>
              </w:rPr>
              <w:t>(4)</w:t>
            </w:r>
          </w:p>
        </w:tc>
        <w:tc>
          <w:tcPr>
            <w:tcW w:w="72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4"/>
                <w:szCs w:val="14"/>
                <w:b w:val="1"/>
                <w:bCs w:val="1"/>
                <w:color w:val="auto"/>
              </w:rPr>
              <w:t>2025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675,000</w:t>
            </w:r>
          </w:p>
        </w:tc>
        <w:tc>
          <w:tcPr>
            <w:tcW w:w="40" w:type="dxa"/>
            <w:vAlign w:val="bottom"/>
          </w:tcPr>
          <w:p>
            <w:pPr>
              <w:spacing w:after="0"/>
              <w:rPr>
                <w:sz w:val="24"/>
                <w:szCs w:val="24"/>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highlight w:val="white"/>
              </w:rPr>
              <w:t>1,080,027</w:t>
            </w:r>
          </w:p>
        </w:tc>
        <w:tc>
          <w:tcPr>
            <w:tcW w:w="1320" w:type="dxa"/>
            <w:vAlign w:val="bottom"/>
          </w:tcPr>
          <w:p>
            <w:pPr>
              <w:jc w:val="right"/>
              <w:ind w:right="12"/>
              <w:spacing w:after="0"/>
              <w:rPr>
                <w:sz w:val="20"/>
                <w:szCs w:val="20"/>
                <w:color w:val="auto"/>
              </w:rPr>
            </w:pPr>
            <w:r>
              <w:rPr>
                <w:rFonts w:ascii="Arial" w:cs="Arial" w:eastAsia="Arial" w:hAnsi="Arial"/>
                <w:sz w:val="14"/>
                <w:szCs w:val="14"/>
                <w:b w:val="1"/>
                <w:bCs w:val="1"/>
                <w:color w:val="auto"/>
              </w:rPr>
              <w:t>654,075</w:t>
            </w:r>
          </w:p>
        </w:tc>
        <w:tc>
          <w:tcPr>
            <w:tcW w:w="1500" w:type="dxa"/>
            <w:vAlign w:val="bottom"/>
          </w:tcPr>
          <w:p>
            <w:pPr>
              <w:jc w:val="right"/>
              <w:ind w:right="255"/>
              <w:spacing w:after="0"/>
              <w:rPr>
                <w:sz w:val="20"/>
                <w:szCs w:val="20"/>
                <w:color w:val="auto"/>
              </w:rPr>
            </w:pPr>
            <w:r>
              <w:rPr>
                <w:rFonts w:ascii="Arial" w:cs="Arial" w:eastAsia="Arial" w:hAnsi="Arial"/>
                <w:sz w:val="14"/>
                <w:szCs w:val="14"/>
                <w:b w:val="1"/>
                <w:bCs w:val="1"/>
                <w:color w:val="auto"/>
              </w:rPr>
              <w:t>34,004</w:t>
            </w: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2,443,106</w:t>
            </w:r>
          </w:p>
        </w:tc>
        <w:tc>
          <w:tcPr>
            <w:tcW w:w="0" w:type="dxa"/>
            <w:vAlign w:val="bottom"/>
          </w:tcPr>
          <w:p>
            <w:pPr>
              <w:spacing w:after="0"/>
              <w:rPr>
                <w:sz w:val="1"/>
                <w:szCs w:val="1"/>
                <w:color w:val="auto"/>
              </w:rPr>
            </w:pPr>
          </w:p>
        </w:tc>
      </w:tr>
      <w:tr>
        <w:trPr>
          <w:trHeight w:val="249"/>
        </w:trPr>
        <w:tc>
          <w:tcPr>
            <w:tcW w:w="122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Executive Vice President</w:t>
            </w:r>
          </w:p>
        </w:tc>
        <w:tc>
          <w:tcPr>
            <w:tcW w:w="720" w:type="dxa"/>
            <w:vAlign w:val="bottom"/>
          </w:tcPr>
          <w:p>
            <w:pPr>
              <w:ind w:left="200"/>
              <w:spacing w:after="0"/>
              <w:rPr>
                <w:sz w:val="20"/>
                <w:szCs w:val="20"/>
                <w:color w:val="auto"/>
              </w:rPr>
            </w:pPr>
            <w:r>
              <w:rPr>
                <w:rFonts w:ascii="Arial" w:cs="Arial" w:eastAsia="Arial" w:hAnsi="Arial"/>
                <w:sz w:val="14"/>
                <w:szCs w:val="14"/>
                <w:color w:val="auto"/>
              </w:rPr>
              <w:t>2024</w:t>
            </w:r>
          </w:p>
        </w:tc>
        <w:tc>
          <w:tcPr>
            <w:tcW w:w="760" w:type="dxa"/>
            <w:vAlign w:val="bottom"/>
          </w:tcPr>
          <w:p>
            <w:pPr>
              <w:jc w:val="right"/>
              <w:spacing w:after="0"/>
              <w:rPr>
                <w:sz w:val="20"/>
                <w:szCs w:val="20"/>
                <w:color w:val="auto"/>
              </w:rPr>
            </w:pPr>
            <w:r>
              <w:rPr>
                <w:rFonts w:ascii="Arial" w:cs="Arial" w:eastAsia="Arial" w:hAnsi="Arial"/>
                <w:sz w:val="14"/>
                <w:szCs w:val="14"/>
                <w:color w:val="auto"/>
              </w:rPr>
              <w:t>673,958</w:t>
            </w:r>
          </w:p>
        </w:tc>
        <w:tc>
          <w:tcPr>
            <w:tcW w:w="40" w:type="dxa"/>
            <w:vAlign w:val="bottom"/>
          </w:tcPr>
          <w:p>
            <w:pPr>
              <w:spacing w:after="0"/>
              <w:rPr>
                <w:sz w:val="15"/>
                <w:szCs w:val="15"/>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944,996</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833,721</w:t>
            </w:r>
          </w:p>
        </w:tc>
        <w:tc>
          <w:tcPr>
            <w:tcW w:w="1500" w:type="dxa"/>
            <w:vAlign w:val="bottom"/>
          </w:tcPr>
          <w:p>
            <w:pPr>
              <w:jc w:val="right"/>
              <w:ind w:right="255"/>
              <w:spacing w:after="0"/>
              <w:rPr>
                <w:sz w:val="20"/>
                <w:szCs w:val="20"/>
                <w:color w:val="auto"/>
              </w:rPr>
            </w:pPr>
            <w:r>
              <w:rPr>
                <w:rFonts w:ascii="Arial" w:cs="Arial" w:eastAsia="Arial" w:hAnsi="Arial"/>
                <w:sz w:val="14"/>
                <w:szCs w:val="14"/>
                <w:color w:val="auto"/>
              </w:rPr>
              <w:t>28,320</w:t>
            </w:r>
          </w:p>
        </w:tc>
        <w:tc>
          <w:tcPr>
            <w:tcW w:w="1100" w:type="dxa"/>
            <w:vAlign w:val="bottom"/>
          </w:tcPr>
          <w:p>
            <w:pPr>
              <w:jc w:val="right"/>
              <w:ind w:right="92"/>
              <w:spacing w:after="0"/>
              <w:rPr>
                <w:sz w:val="20"/>
                <w:szCs w:val="20"/>
                <w:color w:val="auto"/>
              </w:rPr>
            </w:pPr>
            <w:r>
              <w:rPr>
                <w:rFonts w:ascii="Arial" w:cs="Arial" w:eastAsia="Arial" w:hAnsi="Arial"/>
                <w:sz w:val="14"/>
                <w:szCs w:val="14"/>
                <w:color w:val="auto"/>
              </w:rPr>
              <w:t>2,480,995</w:t>
            </w:r>
          </w:p>
        </w:tc>
        <w:tc>
          <w:tcPr>
            <w:tcW w:w="0" w:type="dxa"/>
            <w:vAlign w:val="bottom"/>
          </w:tcPr>
          <w:p>
            <w:pPr>
              <w:spacing w:after="0"/>
              <w:rPr>
                <w:sz w:val="1"/>
                <w:szCs w:val="1"/>
                <w:color w:val="auto"/>
              </w:rPr>
            </w:pPr>
          </w:p>
        </w:tc>
      </w:tr>
      <w:tr>
        <w:trPr>
          <w:trHeight w:val="190"/>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and Chief Operating Officer</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00558C"/>
              </w:rPr>
              <w:t>Hope Katz</w:t>
            </w:r>
            <w:r>
              <w:rPr>
                <w:rFonts w:ascii="Arial" w:cs="Arial" w:eastAsia="Arial" w:hAnsi="Arial"/>
                <w:sz w:val="18"/>
                <w:szCs w:val="18"/>
                <w:b w:val="1"/>
                <w:bCs w:val="1"/>
                <w:color w:val="00558C"/>
                <w:vertAlign w:val="superscript"/>
              </w:rPr>
              <w:t>(5)</w:t>
            </w:r>
          </w:p>
        </w:tc>
        <w:tc>
          <w:tcPr>
            <w:tcW w:w="720" w:type="dxa"/>
            <w:vAlign w:val="bottom"/>
          </w:tcPr>
          <w:p>
            <w:pPr>
              <w:spacing w:after="0"/>
              <w:rPr>
                <w:sz w:val="23"/>
                <w:szCs w:val="23"/>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650,000</w:t>
            </w:r>
          </w:p>
        </w:tc>
        <w:tc>
          <w:tcPr>
            <w:tcW w:w="40" w:type="dxa"/>
            <w:vAlign w:val="bottom"/>
          </w:tcPr>
          <w:p>
            <w:pPr>
              <w:spacing w:after="0"/>
              <w:rPr>
                <w:sz w:val="23"/>
                <w:szCs w:val="23"/>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812,465</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964,316</w:t>
            </w:r>
          </w:p>
        </w:tc>
        <w:tc>
          <w:tcPr>
            <w:tcW w:w="1500" w:type="dxa"/>
            <w:vAlign w:val="bottom"/>
          </w:tcPr>
          <w:p>
            <w:pPr>
              <w:jc w:val="right"/>
              <w:ind w:right="255"/>
              <w:spacing w:after="0"/>
              <w:rPr>
                <w:sz w:val="20"/>
                <w:szCs w:val="20"/>
                <w:color w:val="auto"/>
              </w:rPr>
            </w:pPr>
            <w:r>
              <w:rPr>
                <w:rFonts w:ascii="Arial" w:cs="Arial" w:eastAsia="Arial" w:hAnsi="Arial"/>
                <w:sz w:val="14"/>
                <w:szCs w:val="14"/>
                <w:color w:val="auto"/>
              </w:rPr>
              <w:t>26,923</w:t>
            </w:r>
          </w:p>
        </w:tc>
        <w:tc>
          <w:tcPr>
            <w:tcW w:w="1100" w:type="dxa"/>
            <w:vAlign w:val="bottom"/>
          </w:tcPr>
          <w:p>
            <w:pPr>
              <w:jc w:val="right"/>
              <w:ind w:right="92"/>
              <w:spacing w:after="0"/>
              <w:rPr>
                <w:sz w:val="20"/>
                <w:szCs w:val="20"/>
                <w:color w:val="auto"/>
              </w:rPr>
            </w:pPr>
            <w:r>
              <w:rPr>
                <w:rFonts w:ascii="Arial" w:cs="Arial" w:eastAsia="Arial" w:hAnsi="Arial"/>
                <w:sz w:val="14"/>
                <w:szCs w:val="14"/>
                <w:color w:val="auto"/>
              </w:rPr>
              <w:t>2,453,704</w:t>
            </w:r>
          </w:p>
        </w:tc>
        <w:tc>
          <w:tcPr>
            <w:tcW w:w="0" w:type="dxa"/>
            <w:vAlign w:val="bottom"/>
          </w:tcPr>
          <w:p>
            <w:pPr>
              <w:spacing w:after="0"/>
              <w:rPr>
                <w:sz w:val="1"/>
                <w:szCs w:val="1"/>
                <w:color w:val="auto"/>
              </w:rPr>
            </w:pPr>
          </w:p>
        </w:tc>
      </w:tr>
      <w:tr>
        <w:trPr>
          <w:trHeight w:val="296"/>
        </w:trPr>
        <w:tc>
          <w:tcPr>
            <w:tcW w:w="1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940" w:type="dxa"/>
            <w:vAlign w:val="bottom"/>
            <w:gridSpan w:val="2"/>
            <w:vMerge w:val="restart"/>
          </w:tcPr>
          <w:p>
            <w:pPr>
              <w:ind w:left="140"/>
              <w:spacing w:after="0"/>
              <w:rPr>
                <w:sz w:val="20"/>
                <w:szCs w:val="20"/>
                <w:color w:val="auto"/>
              </w:rPr>
            </w:pPr>
            <w:r>
              <w:rPr>
                <w:rFonts w:ascii="Arial" w:cs="Arial" w:eastAsia="Arial" w:hAnsi="Arial"/>
                <w:sz w:val="14"/>
                <w:szCs w:val="14"/>
                <w:color w:val="auto"/>
              </w:rPr>
              <w:t>Executive Vice President,</w:t>
            </w:r>
          </w:p>
        </w:tc>
        <w:tc>
          <w:tcPr>
            <w:tcW w:w="720" w:type="dxa"/>
            <w:vAlign w:val="bottom"/>
            <w:tcBorders>
              <w:bottom w:val="single" w:sz="8" w:color="B6B6B6"/>
            </w:tcBorders>
          </w:tcPr>
          <w:p>
            <w:pPr>
              <w:spacing w:after="0"/>
              <w:rPr>
                <w:sz w:val="3"/>
                <w:szCs w:val="3"/>
                <w:color w:val="auto"/>
              </w:rPr>
            </w:pPr>
          </w:p>
        </w:tc>
        <w:tc>
          <w:tcPr>
            <w:tcW w:w="760" w:type="dxa"/>
            <w:vAlign w:val="bottom"/>
            <w:tcBorders>
              <w:bottom w:val="single" w:sz="8" w:color="B6B6B6"/>
            </w:tcBorders>
          </w:tcPr>
          <w:p>
            <w:pPr>
              <w:spacing w:after="0"/>
              <w:rPr>
                <w:sz w:val="3"/>
                <w:szCs w:val="3"/>
                <w:color w:val="auto"/>
              </w:rPr>
            </w:pPr>
          </w:p>
        </w:tc>
        <w:tc>
          <w:tcPr>
            <w:tcW w:w="40" w:type="dxa"/>
            <w:vAlign w:val="bottom"/>
            <w:tcBorders>
              <w:bottom w:val="single" w:sz="8" w:color="B6B6B6"/>
            </w:tcBorders>
          </w:tcPr>
          <w:p>
            <w:pPr>
              <w:spacing w:after="0"/>
              <w:rPr>
                <w:sz w:val="3"/>
                <w:szCs w:val="3"/>
                <w:color w:val="auto"/>
              </w:rPr>
            </w:pPr>
          </w:p>
        </w:tc>
        <w:tc>
          <w:tcPr>
            <w:tcW w:w="1020" w:type="dxa"/>
            <w:vAlign w:val="bottom"/>
            <w:tcBorders>
              <w:bottom w:val="single" w:sz="8" w:color="B6B6B6"/>
            </w:tcBorders>
          </w:tcPr>
          <w:p>
            <w:pPr>
              <w:spacing w:after="0"/>
              <w:rPr>
                <w:sz w:val="3"/>
                <w:szCs w:val="3"/>
                <w:color w:val="auto"/>
              </w:rPr>
            </w:pPr>
          </w:p>
        </w:tc>
        <w:tc>
          <w:tcPr>
            <w:tcW w:w="66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500" w:type="dxa"/>
            <w:vAlign w:val="bottom"/>
            <w:tcBorders>
              <w:bottom w:val="single" w:sz="8" w:color="B6B6B6"/>
            </w:tcBorders>
          </w:tcPr>
          <w:p>
            <w:pPr>
              <w:spacing w:after="0"/>
              <w:rPr>
                <w:sz w:val="3"/>
                <w:szCs w:val="3"/>
                <w:color w:val="auto"/>
              </w:rPr>
            </w:pPr>
          </w:p>
        </w:tc>
        <w:tc>
          <w:tcPr>
            <w:tcW w:w="110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940" w:type="dxa"/>
            <w:vAlign w:val="bottom"/>
            <w:gridSpan w:val="2"/>
            <w:vMerge w:val="continue"/>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2025</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highlight w:val="white"/>
              </w:rPr>
              <w:t>422,292</w:t>
            </w:r>
          </w:p>
        </w:tc>
        <w:tc>
          <w:tcPr>
            <w:tcW w:w="40" w:type="dxa"/>
            <w:vAlign w:val="bottom"/>
          </w:tcPr>
          <w:p>
            <w:pPr>
              <w:spacing w:after="0"/>
              <w:rPr>
                <w:sz w:val="10"/>
                <w:szCs w:val="10"/>
                <w:color w:val="auto"/>
              </w:rPr>
            </w:pPr>
          </w:p>
        </w:tc>
        <w:tc>
          <w:tcPr>
            <w:tcW w:w="10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highlight w:val="white"/>
              </w:rPr>
              <w:t>524,920</w:t>
            </w:r>
          </w:p>
        </w:tc>
        <w:tc>
          <w:tcPr>
            <w:tcW w:w="13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325,125</w:t>
            </w:r>
          </w:p>
        </w:tc>
        <w:tc>
          <w:tcPr>
            <w:tcW w:w="15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43,686</w:t>
            </w:r>
          </w:p>
        </w:tc>
        <w:tc>
          <w:tcPr>
            <w:tcW w:w="11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1,316,023</w:t>
            </w:r>
          </w:p>
        </w:tc>
        <w:tc>
          <w:tcPr>
            <w:tcW w:w="0" w:type="dxa"/>
            <w:vAlign w:val="bottom"/>
          </w:tcPr>
          <w:p>
            <w:pPr>
              <w:spacing w:after="0"/>
              <w:rPr>
                <w:sz w:val="1"/>
                <w:szCs w:val="1"/>
                <w:color w:val="auto"/>
              </w:rPr>
            </w:pPr>
          </w:p>
        </w:tc>
      </w:tr>
      <w:tr>
        <w:trPr>
          <w:trHeight w:val="115"/>
        </w:trPr>
        <w:tc>
          <w:tcPr>
            <w:tcW w:w="1940" w:type="dxa"/>
            <w:vAlign w:val="bottom"/>
            <w:gridSpan w:val="2"/>
            <w:vMerge w:val="restart"/>
          </w:tcPr>
          <w:p>
            <w:pPr>
              <w:ind w:left="140"/>
              <w:spacing w:after="0"/>
              <w:rPr>
                <w:sz w:val="20"/>
                <w:szCs w:val="20"/>
                <w:color w:val="auto"/>
              </w:rPr>
            </w:pPr>
            <w:r>
              <w:rPr>
                <w:rFonts w:ascii="Arial" w:cs="Arial" w:eastAsia="Arial" w:hAnsi="Arial"/>
                <w:sz w:val="14"/>
                <w:szCs w:val="14"/>
                <w:color w:val="auto"/>
              </w:rPr>
              <w:t>General Counsel and</w:t>
            </w: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9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477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7477125"/>
                    </a:xfrm>
                    <a:prstGeom prst="rect">
                      <a:avLst/>
                    </a:prstGeom>
                    <a:noFill/>
                  </pic:spPr>
                </pic:pic>
              </a:graphicData>
            </a:graphic>
          </wp:anchor>
        </w:drawing>
        <w:t>Corporate Secretary</w:t>
      </w:r>
    </w:p>
    <w:p>
      <w:pPr>
        <w:spacing w:after="0" w:line="163" w:lineRule="exact"/>
        <w:rPr>
          <w:sz w:val="20"/>
          <w:szCs w:val="20"/>
          <w:color w:val="auto"/>
        </w:rPr>
      </w:pPr>
    </w:p>
    <w:p>
      <w:pPr>
        <w:jc w:val="both"/>
        <w:ind w:left="420" w:right="120" w:hanging="331"/>
        <w:spacing w:after="0" w:line="273" w:lineRule="auto"/>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bonus amounts paid in 2023 and 2024 represent the final two of three installments of the three-year cash retention bonus made in 2021 to retain NEOs’ continued leadership through the COVID-19 pandemic and in recognition of their exceptional performance during 2020.</w:t>
      </w:r>
    </w:p>
    <w:p>
      <w:pPr>
        <w:spacing w:after="0" w:line="17" w:lineRule="exact"/>
        <w:rPr>
          <w:rFonts w:ascii="Arial" w:cs="Arial" w:eastAsia="Arial" w:hAnsi="Arial"/>
          <w:sz w:val="14"/>
          <w:szCs w:val="14"/>
          <w:color w:val="auto"/>
        </w:rPr>
      </w:pPr>
    </w:p>
    <w:p>
      <w:pPr>
        <w:ind w:left="420" w:hanging="331"/>
        <w:spacing w:after="0" w:line="265" w:lineRule="auto"/>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This column represents the aggregate grant date fair value of restricted stock, restricted stock units and/or performance share units. The value of the performance share units and performance-based stock options in the table is consistent with the estimate of aggregate compensation cost to be recognized over the service period determined as of the grant date under FASB ASC Topic 718. Performance share unit values in the Stock Awards column are based on performance achieved at target levels for the included performance share units, which was the probable outcome of performance conditions as of the grant date for the PSUs. The grant date fair value of each NEO’s performance share unit grants for 2025 if earned at maximum levels was </w:t>
      </w:r>
      <w:r>
        <w:rPr>
          <w:rFonts w:ascii="Arial" w:cs="Arial" w:eastAsia="Arial" w:hAnsi="Arial"/>
          <w:sz w:val="14"/>
          <w:szCs w:val="14"/>
          <w:color w:val="auto"/>
          <w:highlight w:val="white"/>
        </w:rPr>
        <w:t>$6,457,596, $2,275,008, $1,512,098, and $594,898 for</w:t>
      </w:r>
      <w:r>
        <w:rPr>
          <w:rFonts w:ascii="Arial" w:cs="Arial" w:eastAsia="Arial" w:hAnsi="Arial"/>
          <w:sz w:val="14"/>
          <w:szCs w:val="14"/>
          <w:color w:val="auto"/>
        </w:rPr>
        <w:t xml:space="preserve"> </w:t>
      </w:r>
      <w:r>
        <w:rPr>
          <w:rFonts w:ascii="Arial" w:cs="Arial" w:eastAsia="Arial" w:hAnsi="Arial"/>
          <w:sz w:val="14"/>
          <w:szCs w:val="14"/>
          <w:color w:val="auto"/>
          <w:highlight w:val="white"/>
        </w:rPr>
        <w:t>Messrs. Hussey, Kelly, and Dail and Ms. Katz, respectively.</w:t>
      </w:r>
    </w:p>
    <w:p>
      <w:pPr>
        <w:spacing w:after="0" w:line="24" w:lineRule="exact"/>
        <w:rPr>
          <w:rFonts w:ascii="Arial" w:cs="Arial" w:eastAsia="Arial" w:hAnsi="Arial"/>
          <w:sz w:val="14"/>
          <w:szCs w:val="14"/>
          <w:color w:val="auto"/>
        </w:rPr>
      </w:pPr>
    </w:p>
    <w:p>
      <w:pPr>
        <w:ind w:left="420" w:hanging="331"/>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Other Compensation for 2025 is detailed in the table below.</w:t>
      </w:r>
    </w:p>
    <w:p>
      <w:pPr>
        <w:spacing w:after="0" w:line="68" w:lineRule="exact"/>
        <w:rPr>
          <w:rFonts w:ascii="Arial" w:cs="Arial" w:eastAsia="Arial" w:hAnsi="Arial"/>
          <w:sz w:val="14"/>
          <w:szCs w:val="14"/>
          <w:color w:val="auto"/>
        </w:rPr>
      </w:pPr>
    </w:p>
    <w:p>
      <w:pPr>
        <w:ind w:left="420" w:right="60" w:hanging="331"/>
        <w:spacing w:after="0" w:line="267" w:lineRule="auto"/>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Dail's 2023 and 2024 non-equity incentive plan compensation includes his earned non-equity incentive compensation under the NEO annual incentive plan and $116,066 and $130,692 earned under the Healthcare Managed Services incentive program in 2023 and 2024, respectively. The Healthcare Managed Services incentive program is a commission-based program for the Healthcare Managed Services offering that is determined based on the revenue generated on certain engagements which Mr. Dail is eligible for based on his prior role as the leader of Huron's healthcare performance improvement business unit through July 1, 2022.</w:t>
      </w:r>
    </w:p>
    <w:p>
      <w:pPr>
        <w:spacing w:after="0" w:line="22" w:lineRule="exact"/>
        <w:rPr>
          <w:rFonts w:ascii="Arial" w:cs="Arial" w:eastAsia="Arial" w:hAnsi="Arial"/>
          <w:sz w:val="14"/>
          <w:szCs w:val="14"/>
          <w:color w:val="auto"/>
        </w:rPr>
      </w:pPr>
    </w:p>
    <w:p>
      <w:pPr>
        <w:ind w:left="420" w:right="160" w:hanging="331"/>
        <w:spacing w:after="0" w:line="285" w:lineRule="auto"/>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Effective January 1, 2025, Ms. Katz was appointed Executive Vice President and General Counsel in addition to her role as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50</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2956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All Other Compensation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620" w:type="dxa"/>
            <w:vAlign w:val="bottom"/>
            <w:shd w:val="clear" w:color="auto" w:fill="00558C"/>
          </w:tcPr>
          <w:p>
            <w:pPr>
              <w:spacing w:after="0"/>
              <w:rPr>
                <w:sz w:val="24"/>
                <w:szCs w:val="24"/>
                <w:color w:val="auto"/>
              </w:rPr>
            </w:pPr>
          </w:p>
        </w:tc>
        <w:tc>
          <w:tcPr>
            <w:tcW w:w="1700" w:type="dxa"/>
            <w:vAlign w:val="bottom"/>
            <w:shd w:val="clear" w:color="auto" w:fill="00558C"/>
          </w:tcPr>
          <w:p>
            <w:pPr>
              <w:jc w:val="right"/>
              <w:ind w:right="268"/>
              <w:spacing w:after="0"/>
              <w:rPr>
                <w:sz w:val="20"/>
                <w:szCs w:val="20"/>
                <w:color w:val="auto"/>
              </w:rPr>
            </w:pPr>
            <w:r>
              <w:rPr>
                <w:rFonts w:ascii="Arial" w:cs="Arial" w:eastAsia="Arial" w:hAnsi="Arial"/>
                <w:sz w:val="14"/>
                <w:szCs w:val="14"/>
                <w:b w:val="1"/>
                <w:bCs w:val="1"/>
                <w:color w:val="FFFFFF"/>
              </w:rPr>
              <w:t>Executive Long-</w:t>
            </w:r>
          </w:p>
        </w:tc>
        <w:tc>
          <w:tcPr>
            <w:tcW w:w="1520" w:type="dxa"/>
            <w:vAlign w:val="bottom"/>
            <w:shd w:val="clear" w:color="auto" w:fill="00558C"/>
          </w:tcPr>
          <w:p>
            <w:pPr>
              <w:jc w:val="right"/>
              <w:ind w:right="228"/>
              <w:spacing w:after="0"/>
              <w:rPr>
                <w:sz w:val="20"/>
                <w:szCs w:val="20"/>
                <w:color w:val="auto"/>
              </w:rPr>
            </w:pPr>
            <w:r>
              <w:rPr>
                <w:rFonts w:ascii="Arial" w:cs="Arial" w:eastAsia="Arial" w:hAnsi="Arial"/>
                <w:sz w:val="14"/>
                <w:szCs w:val="14"/>
                <w:b w:val="1"/>
                <w:bCs w:val="1"/>
                <w:color w:val="FFFFFF"/>
              </w:rPr>
              <w:t>Executive</w:t>
            </w:r>
          </w:p>
        </w:tc>
        <w:tc>
          <w:tcPr>
            <w:tcW w:w="1260" w:type="dxa"/>
            <w:vAlign w:val="bottom"/>
            <w:shd w:val="clear" w:color="auto" w:fill="00558C"/>
          </w:tcPr>
          <w:p>
            <w:pPr>
              <w:jc w:val="right"/>
              <w:ind w:right="48"/>
              <w:spacing w:after="0"/>
              <w:rPr>
                <w:sz w:val="20"/>
                <w:szCs w:val="20"/>
                <w:color w:val="auto"/>
              </w:rPr>
            </w:pPr>
            <w:r>
              <w:rPr>
                <w:rFonts w:ascii="Arial" w:cs="Arial" w:eastAsia="Arial" w:hAnsi="Arial"/>
                <w:sz w:val="14"/>
                <w:szCs w:val="14"/>
                <w:b w:val="1"/>
                <w:bCs w:val="1"/>
                <w:color w:val="FFFFFF"/>
              </w:rPr>
              <w:t>Company</w:t>
            </w:r>
          </w:p>
        </w:tc>
        <w:tc>
          <w:tcPr>
            <w:tcW w:w="1440" w:type="dxa"/>
            <w:vAlign w:val="bottom"/>
            <w:shd w:val="clear" w:color="auto" w:fill="00558C"/>
          </w:tcPr>
          <w:p>
            <w:pPr>
              <w:jc w:val="right"/>
              <w:ind w:right="88"/>
              <w:spacing w:after="0"/>
              <w:rPr>
                <w:sz w:val="20"/>
                <w:szCs w:val="20"/>
                <w:color w:val="auto"/>
              </w:rPr>
            </w:pPr>
            <w:r>
              <w:rPr>
                <w:rFonts w:ascii="Arial" w:cs="Arial" w:eastAsia="Arial" w:hAnsi="Arial"/>
                <w:sz w:val="14"/>
                <w:szCs w:val="14"/>
                <w:b w:val="1"/>
                <w:bCs w:val="1"/>
                <w:color w:val="FFFFFF"/>
              </w:rPr>
              <w:t>Other Benefits</w:t>
            </w:r>
          </w:p>
        </w:tc>
        <w:tc>
          <w:tcPr>
            <w:tcW w:w="1440" w:type="dxa"/>
            <w:vAlign w:val="bottom"/>
            <w:shd w:val="clear" w:color="auto" w:fill="00558C"/>
          </w:tcPr>
          <w:p>
            <w:pPr>
              <w:spacing w:after="0"/>
              <w:rPr>
                <w:sz w:val="24"/>
                <w:szCs w:val="24"/>
                <w:color w:val="auto"/>
              </w:rPr>
            </w:pPr>
          </w:p>
        </w:tc>
        <w:tc>
          <w:tcPr>
            <w:tcW w:w="100" w:type="dxa"/>
            <w:vAlign w:val="bottom"/>
            <w:shd w:val="clear" w:color="auto" w:fill="00558C"/>
          </w:tcPr>
          <w:p>
            <w:pPr>
              <w:spacing w:after="0"/>
              <w:rPr>
                <w:sz w:val="24"/>
                <w:szCs w:val="24"/>
                <w:color w:val="auto"/>
              </w:rPr>
            </w:pPr>
          </w:p>
        </w:tc>
      </w:tr>
      <w:tr>
        <w:trPr>
          <w:trHeight w:val="162"/>
        </w:trPr>
        <w:tc>
          <w:tcPr>
            <w:tcW w:w="1620" w:type="dxa"/>
            <w:vAlign w:val="bottom"/>
            <w:shd w:val="clear" w:color="auto" w:fill="00558C"/>
          </w:tcPr>
          <w:p>
            <w:pPr>
              <w:spacing w:after="0"/>
              <w:rPr>
                <w:sz w:val="14"/>
                <w:szCs w:val="14"/>
                <w:color w:val="auto"/>
              </w:rPr>
            </w:pPr>
          </w:p>
        </w:tc>
        <w:tc>
          <w:tcPr>
            <w:tcW w:w="1700" w:type="dxa"/>
            <w:vAlign w:val="bottom"/>
            <w:shd w:val="clear" w:color="auto" w:fill="00558C"/>
          </w:tcPr>
          <w:p>
            <w:pPr>
              <w:jc w:val="right"/>
              <w:ind w:right="268"/>
              <w:spacing w:after="0"/>
              <w:rPr>
                <w:sz w:val="20"/>
                <w:szCs w:val="20"/>
                <w:color w:val="auto"/>
              </w:rPr>
            </w:pPr>
            <w:r>
              <w:rPr>
                <w:rFonts w:ascii="Arial" w:cs="Arial" w:eastAsia="Arial" w:hAnsi="Arial"/>
                <w:sz w:val="14"/>
                <w:szCs w:val="14"/>
                <w:b w:val="1"/>
                <w:bCs w:val="1"/>
                <w:color w:val="FFFFFF"/>
              </w:rPr>
              <w:t>Term Disability</w:t>
            </w:r>
          </w:p>
        </w:tc>
        <w:tc>
          <w:tcPr>
            <w:tcW w:w="1520" w:type="dxa"/>
            <w:vAlign w:val="bottom"/>
            <w:shd w:val="clear" w:color="auto" w:fill="00558C"/>
          </w:tcPr>
          <w:p>
            <w:pPr>
              <w:jc w:val="right"/>
              <w:ind w:right="248"/>
              <w:spacing w:after="0"/>
              <w:rPr>
                <w:sz w:val="20"/>
                <w:szCs w:val="20"/>
                <w:color w:val="auto"/>
              </w:rPr>
            </w:pPr>
            <w:r>
              <w:rPr>
                <w:rFonts w:ascii="Arial" w:cs="Arial" w:eastAsia="Arial" w:hAnsi="Arial"/>
                <w:sz w:val="14"/>
                <w:szCs w:val="14"/>
                <w:b w:val="1"/>
                <w:bCs w:val="1"/>
                <w:color w:val="FFFFFF"/>
              </w:rPr>
              <w:t>$1MM Term</w:t>
            </w:r>
          </w:p>
        </w:tc>
        <w:tc>
          <w:tcPr>
            <w:tcW w:w="1260" w:type="dxa"/>
            <w:vAlign w:val="bottom"/>
            <w:shd w:val="clear" w:color="auto" w:fill="00558C"/>
          </w:tcPr>
          <w:p>
            <w:pPr>
              <w:jc w:val="right"/>
              <w:ind w:right="48"/>
              <w:spacing w:after="0"/>
              <w:rPr>
                <w:sz w:val="20"/>
                <w:szCs w:val="20"/>
                <w:color w:val="auto"/>
              </w:rPr>
            </w:pPr>
            <w:r>
              <w:rPr>
                <w:rFonts w:ascii="Arial" w:cs="Arial" w:eastAsia="Arial" w:hAnsi="Arial"/>
                <w:sz w:val="14"/>
                <w:szCs w:val="14"/>
                <w:b w:val="1"/>
                <w:bCs w:val="1"/>
                <w:color w:val="FFFFFF"/>
              </w:rPr>
              <w:t>Provided</w:t>
            </w:r>
          </w:p>
        </w:tc>
        <w:tc>
          <w:tcPr>
            <w:tcW w:w="1440" w:type="dxa"/>
            <w:vAlign w:val="bottom"/>
            <w:shd w:val="clear" w:color="auto" w:fill="00558C"/>
          </w:tcPr>
          <w:p>
            <w:pPr>
              <w:jc w:val="right"/>
              <w:ind w:right="8"/>
              <w:spacing w:after="0"/>
              <w:rPr>
                <w:sz w:val="20"/>
                <w:szCs w:val="20"/>
                <w:color w:val="auto"/>
              </w:rPr>
            </w:pPr>
            <w:r>
              <w:rPr>
                <w:rFonts w:ascii="Arial" w:cs="Arial" w:eastAsia="Arial" w:hAnsi="Arial"/>
                <w:sz w:val="14"/>
                <w:szCs w:val="14"/>
                <w:b w:val="1"/>
                <w:bCs w:val="1"/>
                <w:color w:val="FFFFFF"/>
              </w:rPr>
              <w:t>and</w:t>
            </w:r>
          </w:p>
        </w:tc>
        <w:tc>
          <w:tcPr>
            <w:tcW w:w="1540" w:type="dxa"/>
            <w:vAlign w:val="bottom"/>
            <w:gridSpan w:val="2"/>
            <w:shd w:val="clear" w:color="auto" w:fill="00558C"/>
          </w:tcPr>
          <w:p>
            <w:pPr>
              <w:jc w:val="right"/>
              <w:ind w:right="260"/>
              <w:spacing w:after="0"/>
              <w:rPr>
                <w:sz w:val="20"/>
                <w:szCs w:val="20"/>
                <w:color w:val="auto"/>
              </w:rPr>
            </w:pPr>
            <w:r>
              <w:rPr>
                <w:rFonts w:ascii="Arial" w:cs="Arial" w:eastAsia="Arial" w:hAnsi="Arial"/>
                <w:sz w:val="14"/>
                <w:szCs w:val="14"/>
                <w:b w:val="1"/>
                <w:bCs w:val="1"/>
                <w:color w:val="FFFFFF"/>
              </w:rPr>
              <w:t>Total All Other</w:t>
            </w:r>
          </w:p>
        </w:tc>
      </w:tr>
      <w:tr>
        <w:trPr>
          <w:trHeight w:val="160"/>
        </w:trPr>
        <w:tc>
          <w:tcPr>
            <w:tcW w:w="1620" w:type="dxa"/>
            <w:vAlign w:val="bottom"/>
            <w:shd w:val="clear" w:color="auto" w:fill="00558C"/>
          </w:tcPr>
          <w:p>
            <w:pPr>
              <w:spacing w:after="0"/>
              <w:rPr>
                <w:sz w:val="13"/>
                <w:szCs w:val="13"/>
                <w:color w:val="auto"/>
              </w:rPr>
            </w:pPr>
          </w:p>
        </w:tc>
        <w:tc>
          <w:tcPr>
            <w:tcW w:w="1700" w:type="dxa"/>
            <w:vAlign w:val="bottom"/>
            <w:shd w:val="clear" w:color="auto" w:fill="00558C"/>
          </w:tcPr>
          <w:p>
            <w:pPr>
              <w:jc w:val="right"/>
              <w:ind w:right="228"/>
              <w:spacing w:after="0" w:line="159" w:lineRule="exact"/>
              <w:rPr>
                <w:sz w:val="20"/>
                <w:szCs w:val="20"/>
                <w:color w:val="auto"/>
              </w:rPr>
            </w:pPr>
            <w:r>
              <w:rPr>
                <w:rFonts w:ascii="Arial" w:cs="Arial" w:eastAsia="Arial" w:hAnsi="Arial"/>
                <w:sz w:val="14"/>
                <w:szCs w:val="14"/>
                <w:b w:val="1"/>
                <w:bCs w:val="1"/>
                <w:color w:val="FFFFFF"/>
              </w:rPr>
              <w:t>Insurance</w:t>
            </w:r>
          </w:p>
        </w:tc>
        <w:tc>
          <w:tcPr>
            <w:tcW w:w="1520" w:type="dxa"/>
            <w:vAlign w:val="bottom"/>
            <w:shd w:val="clear" w:color="auto" w:fill="00558C"/>
          </w:tcPr>
          <w:p>
            <w:pPr>
              <w:jc w:val="right"/>
              <w:ind w:right="248"/>
              <w:spacing w:after="0" w:line="159" w:lineRule="exact"/>
              <w:rPr>
                <w:sz w:val="20"/>
                <w:szCs w:val="20"/>
                <w:color w:val="auto"/>
              </w:rPr>
            </w:pPr>
            <w:r>
              <w:rPr>
                <w:rFonts w:ascii="Arial" w:cs="Arial" w:eastAsia="Arial" w:hAnsi="Arial"/>
                <w:sz w:val="14"/>
                <w:szCs w:val="14"/>
                <w:b w:val="1"/>
                <w:bCs w:val="1"/>
                <w:color w:val="FFFFFF"/>
              </w:rPr>
              <w:t>Life Insurance</w:t>
            </w:r>
          </w:p>
        </w:tc>
        <w:tc>
          <w:tcPr>
            <w:tcW w:w="1260" w:type="dxa"/>
            <w:vAlign w:val="bottom"/>
            <w:shd w:val="clear" w:color="auto" w:fill="00558C"/>
          </w:tcPr>
          <w:p>
            <w:pPr>
              <w:jc w:val="right"/>
              <w:ind w:right="68"/>
              <w:spacing w:after="0" w:line="159" w:lineRule="exact"/>
              <w:rPr>
                <w:sz w:val="20"/>
                <w:szCs w:val="20"/>
                <w:color w:val="auto"/>
              </w:rPr>
            </w:pPr>
            <w:r>
              <w:rPr>
                <w:rFonts w:ascii="Arial" w:cs="Arial" w:eastAsia="Arial" w:hAnsi="Arial"/>
                <w:sz w:val="14"/>
                <w:szCs w:val="14"/>
                <w:b w:val="1"/>
                <w:bCs w:val="1"/>
                <w:color w:val="FFFFFF"/>
              </w:rPr>
              <w:t>401(k) Match</w:t>
            </w:r>
          </w:p>
        </w:tc>
        <w:tc>
          <w:tcPr>
            <w:tcW w:w="1440" w:type="dxa"/>
            <w:vAlign w:val="bottom"/>
            <w:shd w:val="clear" w:color="auto" w:fill="00558C"/>
          </w:tcPr>
          <w:p>
            <w:pPr>
              <w:jc w:val="right"/>
              <w:ind w:right="48"/>
              <w:spacing w:after="0" w:line="159" w:lineRule="exact"/>
              <w:rPr>
                <w:sz w:val="20"/>
                <w:szCs w:val="20"/>
                <w:color w:val="auto"/>
              </w:rPr>
            </w:pPr>
            <w:r>
              <w:rPr>
                <w:rFonts w:ascii="Arial" w:cs="Arial" w:eastAsia="Arial" w:hAnsi="Arial"/>
                <w:sz w:val="14"/>
                <w:szCs w:val="14"/>
                <w:b w:val="1"/>
                <w:bCs w:val="1"/>
                <w:color w:val="FFFFFF"/>
              </w:rPr>
              <w:t>Perquisites</w:t>
            </w:r>
          </w:p>
        </w:tc>
        <w:tc>
          <w:tcPr>
            <w:tcW w:w="1540" w:type="dxa"/>
            <w:vAlign w:val="bottom"/>
            <w:gridSpan w:val="2"/>
            <w:shd w:val="clear" w:color="auto" w:fill="00558C"/>
          </w:tcPr>
          <w:p>
            <w:pPr>
              <w:jc w:val="right"/>
              <w:ind w:right="240"/>
              <w:spacing w:after="0" w:line="159" w:lineRule="exact"/>
              <w:rPr>
                <w:sz w:val="20"/>
                <w:szCs w:val="20"/>
                <w:color w:val="auto"/>
              </w:rPr>
            </w:pPr>
            <w:r>
              <w:rPr>
                <w:rFonts w:ascii="Arial" w:cs="Arial" w:eastAsia="Arial" w:hAnsi="Arial"/>
                <w:sz w:val="14"/>
                <w:szCs w:val="14"/>
                <w:b w:val="1"/>
                <w:bCs w:val="1"/>
                <w:color w:val="FFFFFF"/>
              </w:rPr>
              <w:t>Compensation</w:t>
            </w:r>
          </w:p>
        </w:tc>
      </w:tr>
      <w:tr>
        <w:trPr>
          <w:trHeight w:val="228"/>
        </w:trPr>
        <w:tc>
          <w:tcPr>
            <w:tcW w:w="16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700" w:type="dxa"/>
            <w:vAlign w:val="bottom"/>
            <w:shd w:val="clear" w:color="auto" w:fill="00558C"/>
          </w:tcPr>
          <w:p>
            <w:pPr>
              <w:jc w:val="right"/>
              <w:ind w:right="14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(1)</w:t>
            </w:r>
          </w:p>
        </w:tc>
        <w:tc>
          <w:tcPr>
            <w:tcW w:w="1520" w:type="dxa"/>
            <w:vAlign w:val="bottom"/>
            <w:shd w:val="clear" w:color="auto" w:fill="00558C"/>
          </w:tcPr>
          <w:p>
            <w:pPr>
              <w:jc w:val="right"/>
              <w:ind w:right="16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(2)</w:t>
            </w:r>
          </w:p>
        </w:tc>
        <w:tc>
          <w:tcPr>
            <w:tcW w:w="126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(3)</w:t>
            </w:r>
          </w:p>
        </w:tc>
        <w:tc>
          <w:tcPr>
            <w:tcW w:w="144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(4)</w:t>
            </w:r>
          </w:p>
        </w:tc>
        <w:tc>
          <w:tcPr>
            <w:tcW w:w="144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558C"/>
          </w:tcPr>
          <w:p>
            <w:pPr>
              <w:spacing w:after="0"/>
              <w:rPr>
                <w:sz w:val="19"/>
                <w:szCs w:val="19"/>
                <w:color w:val="auto"/>
              </w:rPr>
            </w:pPr>
          </w:p>
        </w:tc>
      </w:tr>
      <w:tr>
        <w:trPr>
          <w:trHeight w:val="94"/>
        </w:trPr>
        <w:tc>
          <w:tcPr>
            <w:tcW w:w="1620" w:type="dxa"/>
            <w:vAlign w:val="bottom"/>
            <w:shd w:val="clear" w:color="auto" w:fill="00558C"/>
          </w:tcPr>
          <w:p>
            <w:pPr>
              <w:spacing w:after="0"/>
              <w:rPr>
                <w:sz w:val="8"/>
                <w:szCs w:val="8"/>
                <w:color w:val="auto"/>
              </w:rPr>
            </w:pPr>
          </w:p>
        </w:tc>
        <w:tc>
          <w:tcPr>
            <w:tcW w:w="1700" w:type="dxa"/>
            <w:vAlign w:val="bottom"/>
            <w:shd w:val="clear" w:color="auto" w:fill="00558C"/>
          </w:tcPr>
          <w:p>
            <w:pPr>
              <w:spacing w:after="0"/>
              <w:rPr>
                <w:sz w:val="8"/>
                <w:szCs w:val="8"/>
                <w:color w:val="auto"/>
              </w:rPr>
            </w:pPr>
          </w:p>
        </w:tc>
        <w:tc>
          <w:tcPr>
            <w:tcW w:w="1520" w:type="dxa"/>
            <w:vAlign w:val="bottom"/>
            <w:shd w:val="clear" w:color="auto" w:fill="00558C"/>
          </w:tcPr>
          <w:p>
            <w:pPr>
              <w:spacing w:after="0"/>
              <w:rPr>
                <w:sz w:val="8"/>
                <w:szCs w:val="8"/>
                <w:color w:val="auto"/>
              </w:rPr>
            </w:pPr>
          </w:p>
        </w:tc>
        <w:tc>
          <w:tcPr>
            <w:tcW w:w="1260" w:type="dxa"/>
            <w:vAlign w:val="bottom"/>
            <w:shd w:val="clear" w:color="auto" w:fill="00558C"/>
          </w:tcPr>
          <w:p>
            <w:pPr>
              <w:spacing w:after="0"/>
              <w:rPr>
                <w:sz w:val="8"/>
                <w:szCs w:val="8"/>
                <w:color w:val="auto"/>
              </w:rPr>
            </w:pPr>
          </w:p>
        </w:tc>
        <w:tc>
          <w:tcPr>
            <w:tcW w:w="1440" w:type="dxa"/>
            <w:vAlign w:val="bottom"/>
            <w:shd w:val="clear" w:color="auto" w:fill="00558C"/>
          </w:tcPr>
          <w:p>
            <w:pPr>
              <w:spacing w:after="0"/>
              <w:rPr>
                <w:sz w:val="8"/>
                <w:szCs w:val="8"/>
                <w:color w:val="auto"/>
              </w:rPr>
            </w:pPr>
          </w:p>
        </w:tc>
        <w:tc>
          <w:tcPr>
            <w:tcW w:w="1440" w:type="dxa"/>
            <w:vAlign w:val="bottom"/>
            <w:shd w:val="clear" w:color="auto" w:fill="00558C"/>
          </w:tcPr>
          <w:p>
            <w:pPr>
              <w:spacing w:after="0"/>
              <w:rPr>
                <w:sz w:val="8"/>
                <w:szCs w:val="8"/>
                <w:color w:val="auto"/>
              </w:rPr>
            </w:pPr>
          </w:p>
        </w:tc>
        <w:tc>
          <w:tcPr>
            <w:tcW w:w="100" w:type="dxa"/>
            <w:vAlign w:val="bottom"/>
            <w:shd w:val="clear" w:color="auto" w:fill="00558C"/>
          </w:tcPr>
          <w:p>
            <w:pPr>
              <w:spacing w:after="0"/>
              <w:rPr>
                <w:sz w:val="8"/>
                <w:szCs w:val="8"/>
                <w:color w:val="auto"/>
              </w:rPr>
            </w:pPr>
          </w:p>
        </w:tc>
      </w:tr>
      <w:tr>
        <w:trPr>
          <w:trHeight w:val="349"/>
        </w:trPr>
        <w:tc>
          <w:tcPr>
            <w:tcW w:w="16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1700" w:type="dxa"/>
            <w:vAlign w:val="bottom"/>
            <w:shd w:val="clear" w:color="auto" w:fill="F2F3F2"/>
          </w:tcPr>
          <w:p>
            <w:pPr>
              <w:jc w:val="right"/>
              <w:ind w:right="148"/>
              <w:spacing w:after="0"/>
              <w:rPr>
                <w:sz w:val="20"/>
                <w:szCs w:val="20"/>
                <w:color w:val="auto"/>
              </w:rPr>
            </w:pPr>
            <w:r>
              <w:rPr>
                <w:rFonts w:ascii="Arial" w:cs="Arial" w:eastAsia="Arial" w:hAnsi="Arial"/>
                <w:sz w:val="14"/>
                <w:szCs w:val="14"/>
                <w:color w:val="auto"/>
              </w:rPr>
              <w:t>7,101</w:t>
            </w:r>
          </w:p>
        </w:tc>
        <w:tc>
          <w:tcPr>
            <w:tcW w:w="1520" w:type="dxa"/>
            <w:vAlign w:val="bottom"/>
            <w:shd w:val="clear" w:color="auto" w:fill="F2F3F2"/>
          </w:tcPr>
          <w:p>
            <w:pPr>
              <w:jc w:val="right"/>
              <w:ind w:right="168"/>
              <w:spacing w:after="0"/>
              <w:rPr>
                <w:sz w:val="20"/>
                <w:szCs w:val="20"/>
                <w:color w:val="auto"/>
              </w:rPr>
            </w:pPr>
            <w:r>
              <w:rPr>
                <w:rFonts w:ascii="Arial" w:cs="Arial" w:eastAsia="Arial" w:hAnsi="Arial"/>
                <w:sz w:val="14"/>
                <w:szCs w:val="14"/>
                <w:color w:val="auto"/>
              </w:rPr>
              <w:t>5,708</w:t>
            </w:r>
          </w:p>
        </w:tc>
        <w:tc>
          <w:tcPr>
            <w:tcW w:w="12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21,000</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14,170</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47,979</w:t>
            </w:r>
          </w:p>
        </w:tc>
        <w:tc>
          <w:tcPr>
            <w:tcW w:w="100" w:type="dxa"/>
            <w:vAlign w:val="bottom"/>
            <w:shd w:val="clear" w:color="auto" w:fill="F2F3F2"/>
          </w:tcPr>
          <w:p>
            <w:pPr>
              <w:spacing w:after="0"/>
              <w:rPr>
                <w:sz w:val="24"/>
                <w:szCs w:val="24"/>
                <w:color w:val="auto"/>
              </w:rPr>
            </w:pPr>
          </w:p>
        </w:tc>
      </w:tr>
      <w:tr>
        <w:trPr>
          <w:trHeight w:val="96"/>
        </w:trPr>
        <w:tc>
          <w:tcPr>
            <w:tcW w:w="1620" w:type="dxa"/>
            <w:vAlign w:val="bottom"/>
            <w:shd w:val="clear" w:color="auto" w:fill="F2F3F2"/>
          </w:tcPr>
          <w:p>
            <w:pPr>
              <w:spacing w:after="0"/>
              <w:rPr>
                <w:sz w:val="8"/>
                <w:szCs w:val="8"/>
                <w:color w:val="auto"/>
              </w:rPr>
            </w:pPr>
          </w:p>
        </w:tc>
        <w:tc>
          <w:tcPr>
            <w:tcW w:w="1700" w:type="dxa"/>
            <w:vAlign w:val="bottom"/>
            <w:shd w:val="clear" w:color="auto" w:fill="F2F3F2"/>
          </w:tcPr>
          <w:p>
            <w:pPr>
              <w:spacing w:after="0"/>
              <w:rPr>
                <w:sz w:val="8"/>
                <w:szCs w:val="8"/>
                <w:color w:val="auto"/>
              </w:rPr>
            </w:pPr>
          </w:p>
        </w:tc>
        <w:tc>
          <w:tcPr>
            <w:tcW w:w="1520" w:type="dxa"/>
            <w:vAlign w:val="bottom"/>
            <w:shd w:val="clear" w:color="auto" w:fill="F2F3F2"/>
          </w:tcPr>
          <w:p>
            <w:pPr>
              <w:spacing w:after="0"/>
              <w:rPr>
                <w:sz w:val="8"/>
                <w:szCs w:val="8"/>
                <w:color w:val="auto"/>
              </w:rPr>
            </w:pPr>
          </w:p>
        </w:tc>
        <w:tc>
          <w:tcPr>
            <w:tcW w:w="1260" w:type="dxa"/>
            <w:vAlign w:val="bottom"/>
            <w:shd w:val="clear" w:color="auto" w:fill="F2F3F2"/>
          </w:tcPr>
          <w:p>
            <w:pPr>
              <w:spacing w:after="0"/>
              <w:rPr>
                <w:sz w:val="8"/>
                <w:szCs w:val="8"/>
                <w:color w:val="auto"/>
              </w:rPr>
            </w:pPr>
          </w:p>
        </w:tc>
        <w:tc>
          <w:tcPr>
            <w:tcW w:w="1440" w:type="dxa"/>
            <w:vAlign w:val="bottom"/>
            <w:shd w:val="clear" w:color="auto" w:fill="F2F3F2"/>
          </w:tcPr>
          <w:p>
            <w:pPr>
              <w:spacing w:after="0"/>
              <w:rPr>
                <w:sz w:val="8"/>
                <w:szCs w:val="8"/>
                <w:color w:val="auto"/>
              </w:rPr>
            </w:pPr>
          </w:p>
        </w:tc>
        <w:tc>
          <w:tcPr>
            <w:tcW w:w="1440" w:type="dxa"/>
            <w:vAlign w:val="bottom"/>
            <w:shd w:val="clear" w:color="auto" w:fill="F2F3F2"/>
          </w:tcPr>
          <w:p>
            <w:pPr>
              <w:spacing w:after="0"/>
              <w:rPr>
                <w:sz w:val="8"/>
                <w:szCs w:val="8"/>
                <w:color w:val="auto"/>
              </w:rPr>
            </w:pPr>
          </w:p>
        </w:tc>
        <w:tc>
          <w:tcPr>
            <w:tcW w:w="100" w:type="dxa"/>
            <w:vAlign w:val="bottom"/>
            <w:shd w:val="clear" w:color="auto" w:fill="F2F3F2"/>
          </w:tcPr>
          <w:p>
            <w:pPr>
              <w:spacing w:after="0"/>
              <w:rPr>
                <w:sz w:val="8"/>
                <w:szCs w:val="8"/>
                <w:color w:val="auto"/>
              </w:rPr>
            </w:pPr>
          </w:p>
        </w:tc>
      </w:tr>
      <w:tr>
        <w:trPr>
          <w:trHeight w:val="349"/>
        </w:trPr>
        <w:tc>
          <w:tcPr>
            <w:tcW w:w="1620" w:type="dxa"/>
            <w:vAlign w:val="bottom"/>
          </w:tcPr>
          <w:p>
            <w:pPr>
              <w:ind w:left="140"/>
              <w:spacing w:after="0"/>
              <w:rPr>
                <w:sz w:val="20"/>
                <w:szCs w:val="20"/>
                <w:color w:val="auto"/>
              </w:rPr>
            </w:pPr>
            <w:r>
              <w:rPr>
                <w:rFonts w:ascii="Arial" w:cs="Arial" w:eastAsia="Arial" w:hAnsi="Arial"/>
                <w:sz w:val="14"/>
                <w:szCs w:val="14"/>
                <w:b w:val="1"/>
                <w:bCs w:val="1"/>
                <w:color w:val="00558C"/>
              </w:rPr>
              <w:t>John D. Kelly</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4,353</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1,355</w:t>
            </w:r>
          </w:p>
        </w:tc>
        <w:tc>
          <w:tcPr>
            <w:tcW w:w="1260" w:type="dxa"/>
            <w:vAlign w:val="bottom"/>
          </w:tcPr>
          <w:p>
            <w:pPr>
              <w:jc w:val="right"/>
              <w:spacing w:after="0"/>
              <w:rPr>
                <w:sz w:val="20"/>
                <w:szCs w:val="20"/>
                <w:color w:val="auto"/>
              </w:rPr>
            </w:pPr>
            <w:r>
              <w:rPr>
                <w:rFonts w:ascii="Arial" w:cs="Arial" w:eastAsia="Arial" w:hAnsi="Arial"/>
                <w:sz w:val="14"/>
                <w:szCs w:val="14"/>
                <w:color w:val="auto"/>
              </w:rPr>
              <w:t>21,000</w:t>
            </w:r>
          </w:p>
        </w:tc>
        <w:tc>
          <w:tcPr>
            <w:tcW w:w="1440" w:type="dxa"/>
            <w:vAlign w:val="bottom"/>
          </w:tcPr>
          <w:p>
            <w:pPr>
              <w:jc w:val="right"/>
              <w:spacing w:after="0"/>
              <w:rPr>
                <w:sz w:val="20"/>
                <w:szCs w:val="20"/>
                <w:color w:val="auto"/>
              </w:rPr>
            </w:pPr>
            <w:r>
              <w:rPr>
                <w:rFonts w:ascii="Arial" w:cs="Arial" w:eastAsia="Arial" w:hAnsi="Arial"/>
                <w:sz w:val="14"/>
                <w:szCs w:val="14"/>
                <w:color w:val="auto"/>
              </w:rPr>
              <w:t>12,427</w:t>
            </w:r>
          </w:p>
        </w:tc>
        <w:tc>
          <w:tcPr>
            <w:tcW w:w="1440" w:type="dxa"/>
            <w:vAlign w:val="bottom"/>
          </w:tcPr>
          <w:p>
            <w:pPr>
              <w:jc w:val="right"/>
              <w:spacing w:after="0"/>
              <w:rPr>
                <w:sz w:val="20"/>
                <w:szCs w:val="20"/>
                <w:color w:val="auto"/>
              </w:rPr>
            </w:pPr>
            <w:r>
              <w:rPr>
                <w:rFonts w:ascii="Arial" w:cs="Arial" w:eastAsia="Arial" w:hAnsi="Arial"/>
                <w:sz w:val="14"/>
                <w:szCs w:val="14"/>
                <w:color w:val="auto"/>
              </w:rPr>
              <w:t>39,135</w:t>
            </w:r>
          </w:p>
        </w:tc>
        <w:tc>
          <w:tcPr>
            <w:tcW w:w="100" w:type="dxa"/>
            <w:vAlign w:val="bottom"/>
          </w:tcPr>
          <w:p>
            <w:pPr>
              <w:spacing w:after="0"/>
              <w:rPr>
                <w:sz w:val="24"/>
                <w:szCs w:val="24"/>
                <w:color w:val="auto"/>
              </w:rPr>
            </w:pPr>
          </w:p>
        </w:tc>
      </w:tr>
      <w:tr>
        <w:trPr>
          <w:trHeight w:val="97"/>
        </w:trPr>
        <w:tc>
          <w:tcPr>
            <w:tcW w:w="16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349"/>
        </w:trPr>
        <w:tc>
          <w:tcPr>
            <w:tcW w:w="16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 Dail</w:t>
            </w:r>
          </w:p>
        </w:tc>
        <w:tc>
          <w:tcPr>
            <w:tcW w:w="1700" w:type="dxa"/>
            <w:vAlign w:val="bottom"/>
            <w:shd w:val="clear" w:color="auto" w:fill="F2F3F2"/>
          </w:tcPr>
          <w:p>
            <w:pPr>
              <w:jc w:val="right"/>
              <w:ind w:right="148"/>
              <w:spacing w:after="0"/>
              <w:rPr>
                <w:sz w:val="20"/>
                <w:szCs w:val="20"/>
                <w:color w:val="auto"/>
              </w:rPr>
            </w:pPr>
            <w:r>
              <w:rPr>
                <w:rFonts w:ascii="Arial" w:cs="Arial" w:eastAsia="Arial" w:hAnsi="Arial"/>
                <w:sz w:val="14"/>
                <w:szCs w:val="14"/>
                <w:color w:val="auto"/>
              </w:rPr>
              <w:t>5,545</w:t>
            </w:r>
          </w:p>
        </w:tc>
        <w:tc>
          <w:tcPr>
            <w:tcW w:w="1520" w:type="dxa"/>
            <w:vAlign w:val="bottom"/>
            <w:shd w:val="clear" w:color="auto" w:fill="F2F3F2"/>
          </w:tcPr>
          <w:p>
            <w:pPr>
              <w:jc w:val="right"/>
              <w:ind w:right="168"/>
              <w:spacing w:after="0"/>
              <w:rPr>
                <w:sz w:val="20"/>
                <w:szCs w:val="20"/>
                <w:color w:val="auto"/>
              </w:rPr>
            </w:pPr>
            <w:r>
              <w:rPr>
                <w:rFonts w:ascii="Arial" w:cs="Arial" w:eastAsia="Arial" w:hAnsi="Arial"/>
                <w:sz w:val="14"/>
                <w:szCs w:val="14"/>
                <w:color w:val="auto"/>
              </w:rPr>
              <w:t>2,335</w:t>
            </w:r>
          </w:p>
        </w:tc>
        <w:tc>
          <w:tcPr>
            <w:tcW w:w="12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21,000</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5,124</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34,004</w:t>
            </w:r>
          </w:p>
        </w:tc>
        <w:tc>
          <w:tcPr>
            <w:tcW w:w="100" w:type="dxa"/>
            <w:vAlign w:val="bottom"/>
            <w:shd w:val="clear" w:color="auto" w:fill="F2F3F2"/>
          </w:tcPr>
          <w:p>
            <w:pPr>
              <w:spacing w:after="0"/>
              <w:rPr>
                <w:sz w:val="24"/>
                <w:szCs w:val="24"/>
                <w:color w:val="auto"/>
              </w:rPr>
            </w:pPr>
          </w:p>
        </w:tc>
      </w:tr>
      <w:tr>
        <w:trPr>
          <w:trHeight w:val="97"/>
        </w:trPr>
        <w:tc>
          <w:tcPr>
            <w:tcW w:w="1620" w:type="dxa"/>
            <w:vAlign w:val="bottom"/>
            <w:shd w:val="clear" w:color="auto" w:fill="F2F3F2"/>
          </w:tcPr>
          <w:p>
            <w:pPr>
              <w:spacing w:after="0"/>
              <w:rPr>
                <w:sz w:val="8"/>
                <w:szCs w:val="8"/>
                <w:color w:val="auto"/>
              </w:rPr>
            </w:pPr>
          </w:p>
        </w:tc>
        <w:tc>
          <w:tcPr>
            <w:tcW w:w="1700" w:type="dxa"/>
            <w:vAlign w:val="bottom"/>
            <w:shd w:val="clear" w:color="auto" w:fill="F2F3F2"/>
          </w:tcPr>
          <w:p>
            <w:pPr>
              <w:spacing w:after="0"/>
              <w:rPr>
                <w:sz w:val="8"/>
                <w:szCs w:val="8"/>
                <w:color w:val="auto"/>
              </w:rPr>
            </w:pPr>
          </w:p>
        </w:tc>
        <w:tc>
          <w:tcPr>
            <w:tcW w:w="1520" w:type="dxa"/>
            <w:vAlign w:val="bottom"/>
            <w:shd w:val="clear" w:color="auto" w:fill="F2F3F2"/>
          </w:tcPr>
          <w:p>
            <w:pPr>
              <w:spacing w:after="0"/>
              <w:rPr>
                <w:sz w:val="8"/>
                <w:szCs w:val="8"/>
                <w:color w:val="auto"/>
              </w:rPr>
            </w:pPr>
          </w:p>
        </w:tc>
        <w:tc>
          <w:tcPr>
            <w:tcW w:w="1260" w:type="dxa"/>
            <w:vAlign w:val="bottom"/>
            <w:shd w:val="clear" w:color="auto" w:fill="F2F3F2"/>
          </w:tcPr>
          <w:p>
            <w:pPr>
              <w:spacing w:after="0"/>
              <w:rPr>
                <w:sz w:val="8"/>
                <w:szCs w:val="8"/>
                <w:color w:val="auto"/>
              </w:rPr>
            </w:pPr>
          </w:p>
        </w:tc>
        <w:tc>
          <w:tcPr>
            <w:tcW w:w="1440" w:type="dxa"/>
            <w:vAlign w:val="bottom"/>
            <w:shd w:val="clear" w:color="auto" w:fill="F2F3F2"/>
          </w:tcPr>
          <w:p>
            <w:pPr>
              <w:spacing w:after="0"/>
              <w:rPr>
                <w:sz w:val="8"/>
                <w:szCs w:val="8"/>
                <w:color w:val="auto"/>
              </w:rPr>
            </w:pPr>
          </w:p>
        </w:tc>
        <w:tc>
          <w:tcPr>
            <w:tcW w:w="1440" w:type="dxa"/>
            <w:vAlign w:val="bottom"/>
            <w:shd w:val="clear" w:color="auto" w:fill="F2F3F2"/>
          </w:tcPr>
          <w:p>
            <w:pPr>
              <w:spacing w:after="0"/>
              <w:rPr>
                <w:sz w:val="8"/>
                <w:szCs w:val="8"/>
                <w:color w:val="auto"/>
              </w:rPr>
            </w:pPr>
          </w:p>
        </w:tc>
        <w:tc>
          <w:tcPr>
            <w:tcW w:w="100" w:type="dxa"/>
            <w:vAlign w:val="bottom"/>
            <w:shd w:val="clear" w:color="auto" w:fill="F2F3F2"/>
          </w:tcPr>
          <w:p>
            <w:pPr>
              <w:spacing w:after="0"/>
              <w:rPr>
                <w:sz w:val="8"/>
                <w:szCs w:val="8"/>
                <w:color w:val="auto"/>
              </w:rPr>
            </w:pPr>
          </w:p>
        </w:tc>
      </w:tr>
      <w:tr>
        <w:trPr>
          <w:trHeight w:val="349"/>
        </w:trPr>
        <w:tc>
          <w:tcPr>
            <w:tcW w:w="1620" w:type="dxa"/>
            <w:vAlign w:val="bottom"/>
          </w:tcPr>
          <w:p>
            <w:pPr>
              <w:ind w:left="140"/>
              <w:spacing w:after="0"/>
              <w:rPr>
                <w:sz w:val="20"/>
                <w:szCs w:val="20"/>
                <w:color w:val="auto"/>
              </w:rPr>
            </w:pPr>
            <w:r>
              <w:rPr>
                <w:rFonts w:ascii="Arial" w:cs="Arial" w:eastAsia="Arial" w:hAnsi="Arial"/>
                <w:sz w:val="14"/>
                <w:szCs w:val="14"/>
                <w:b w:val="1"/>
                <w:bCs w:val="1"/>
                <w:color w:val="00558C"/>
              </w:rPr>
              <w:t>Hope Katz</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4,003</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932</w:t>
            </w:r>
          </w:p>
        </w:tc>
        <w:tc>
          <w:tcPr>
            <w:tcW w:w="1260" w:type="dxa"/>
            <w:vAlign w:val="bottom"/>
          </w:tcPr>
          <w:p>
            <w:pPr>
              <w:jc w:val="right"/>
              <w:spacing w:after="0"/>
              <w:rPr>
                <w:sz w:val="20"/>
                <w:szCs w:val="20"/>
                <w:color w:val="auto"/>
              </w:rPr>
            </w:pPr>
            <w:r>
              <w:rPr>
                <w:rFonts w:ascii="Arial" w:cs="Arial" w:eastAsia="Arial" w:hAnsi="Arial"/>
                <w:sz w:val="14"/>
                <w:szCs w:val="14"/>
                <w:color w:val="auto"/>
              </w:rPr>
              <w:t>21,000</w:t>
            </w:r>
          </w:p>
        </w:tc>
        <w:tc>
          <w:tcPr>
            <w:tcW w:w="1440" w:type="dxa"/>
            <w:vAlign w:val="bottom"/>
          </w:tcPr>
          <w:p>
            <w:pPr>
              <w:jc w:val="right"/>
              <w:spacing w:after="0"/>
              <w:rPr>
                <w:sz w:val="20"/>
                <w:szCs w:val="20"/>
                <w:color w:val="auto"/>
              </w:rPr>
            </w:pPr>
            <w:r>
              <w:rPr>
                <w:rFonts w:ascii="Arial" w:cs="Arial" w:eastAsia="Arial" w:hAnsi="Arial"/>
                <w:sz w:val="14"/>
                <w:szCs w:val="14"/>
                <w:color w:val="auto"/>
              </w:rPr>
              <w:t>17,751</w:t>
            </w:r>
          </w:p>
        </w:tc>
        <w:tc>
          <w:tcPr>
            <w:tcW w:w="1440" w:type="dxa"/>
            <w:vAlign w:val="bottom"/>
          </w:tcPr>
          <w:p>
            <w:pPr>
              <w:jc w:val="right"/>
              <w:spacing w:after="0"/>
              <w:rPr>
                <w:sz w:val="20"/>
                <w:szCs w:val="20"/>
                <w:color w:val="auto"/>
              </w:rPr>
            </w:pPr>
            <w:r>
              <w:rPr>
                <w:rFonts w:ascii="Arial" w:cs="Arial" w:eastAsia="Arial" w:hAnsi="Arial"/>
                <w:sz w:val="14"/>
                <w:szCs w:val="14"/>
                <w:color w:val="auto"/>
              </w:rPr>
              <w:t>43,686</w:t>
            </w:r>
          </w:p>
        </w:tc>
        <w:tc>
          <w:tcPr>
            <w:tcW w:w="100" w:type="dxa"/>
            <w:vAlign w:val="bottom"/>
          </w:tcPr>
          <w:p>
            <w:pPr>
              <w:spacing w:after="0"/>
              <w:rPr>
                <w:sz w:val="24"/>
                <w:szCs w:val="24"/>
                <w:color w:val="auto"/>
              </w:rPr>
            </w:pPr>
          </w:p>
        </w:tc>
      </w:tr>
      <w:tr>
        <w:trPr>
          <w:trHeight w:val="97"/>
        </w:trPr>
        <w:tc>
          <w:tcPr>
            <w:tcW w:w="1620" w:type="dxa"/>
            <w:vAlign w:val="bottom"/>
            <w:tcBorders>
              <w:bottom w:val="single" w:sz="8" w:color="B2B3B6"/>
            </w:tcBorders>
          </w:tcPr>
          <w:p>
            <w:pPr>
              <w:spacing w:after="0"/>
              <w:rPr>
                <w:sz w:val="8"/>
                <w:szCs w:val="8"/>
                <w:color w:val="auto"/>
              </w:rPr>
            </w:pPr>
          </w:p>
        </w:tc>
        <w:tc>
          <w:tcPr>
            <w:tcW w:w="1700" w:type="dxa"/>
            <w:vAlign w:val="bottom"/>
            <w:tcBorders>
              <w:bottom w:val="single" w:sz="8" w:color="B6B6B6"/>
            </w:tcBorders>
          </w:tcPr>
          <w:p>
            <w:pPr>
              <w:spacing w:after="0"/>
              <w:rPr>
                <w:sz w:val="8"/>
                <w:szCs w:val="8"/>
                <w:color w:val="auto"/>
              </w:rPr>
            </w:pPr>
          </w:p>
        </w:tc>
        <w:tc>
          <w:tcPr>
            <w:tcW w:w="1520" w:type="dxa"/>
            <w:vAlign w:val="bottom"/>
            <w:tcBorders>
              <w:bottom w:val="single" w:sz="8" w:color="B6B6B6"/>
            </w:tcBorders>
          </w:tcPr>
          <w:p>
            <w:pPr>
              <w:spacing w:after="0"/>
              <w:rPr>
                <w:sz w:val="8"/>
                <w:szCs w:val="8"/>
                <w:color w:val="auto"/>
              </w:rPr>
            </w:pPr>
          </w:p>
        </w:tc>
        <w:tc>
          <w:tcPr>
            <w:tcW w:w="1260" w:type="dxa"/>
            <w:vAlign w:val="bottom"/>
            <w:tcBorders>
              <w:bottom w:val="single" w:sz="8" w:color="B6B6B6"/>
            </w:tcBorders>
          </w:tcPr>
          <w:p>
            <w:pPr>
              <w:spacing w:after="0"/>
              <w:rPr>
                <w:sz w:val="8"/>
                <w:szCs w:val="8"/>
                <w:color w:val="auto"/>
              </w:rPr>
            </w:pPr>
          </w:p>
        </w:tc>
        <w:tc>
          <w:tcPr>
            <w:tcW w:w="1440" w:type="dxa"/>
            <w:vAlign w:val="bottom"/>
            <w:tcBorders>
              <w:bottom w:val="single" w:sz="8" w:color="B2B3B6"/>
            </w:tcBorders>
          </w:tcPr>
          <w:p>
            <w:pPr>
              <w:spacing w:after="0"/>
              <w:rPr>
                <w:sz w:val="8"/>
                <w:szCs w:val="8"/>
                <w:color w:val="auto"/>
              </w:rPr>
            </w:pPr>
          </w:p>
        </w:tc>
        <w:tc>
          <w:tcPr>
            <w:tcW w:w="1440" w:type="dxa"/>
            <w:vAlign w:val="bottom"/>
            <w:tcBorders>
              <w:bottom w:val="single" w:sz="8" w:color="B6B6B6"/>
            </w:tcBorders>
          </w:tcPr>
          <w:p>
            <w:pPr>
              <w:spacing w:after="0"/>
              <w:rPr>
                <w:sz w:val="8"/>
                <w:szCs w:val="8"/>
                <w:color w:val="auto"/>
              </w:rPr>
            </w:pPr>
          </w:p>
        </w:tc>
        <w:tc>
          <w:tcPr>
            <w:tcW w:w="100" w:type="dxa"/>
            <w:vAlign w:val="bottom"/>
            <w:tcBorders>
              <w:bottom w:val="single" w:sz="8" w:color="B2B3B6"/>
            </w:tcBorders>
          </w:tcPr>
          <w:p>
            <w:pPr>
              <w:spacing w:after="0"/>
              <w:rPr>
                <w:sz w:val="8"/>
                <w:szCs w:val="8"/>
                <w:color w:val="auto"/>
              </w:rPr>
            </w:pPr>
          </w:p>
        </w:tc>
      </w:tr>
    </w:tbl>
    <w:p>
      <w:pPr>
        <w:spacing w:after="0" w:line="153" w:lineRule="exact"/>
        <w:rPr>
          <w:sz w:val="20"/>
          <w:szCs w:val="20"/>
          <w:color w:val="auto"/>
        </w:rPr>
      </w:pPr>
    </w:p>
    <w:p>
      <w:pPr>
        <w:sectPr>
          <w:pgSz w:w="11900" w:h="16838" w:orient="portrait"/>
          <w:cols w:equalWidth="0" w:num="1">
            <w:col w:w="9080"/>
          </w:cols>
          <w:pgMar w:left="1400" w:top="140" w:right="1419" w:bottom="0" w:gutter="0" w:footer="0" w:header="0"/>
        </w:sectPr>
      </w:pPr>
    </w:p>
    <w:p>
      <w:pPr>
        <w:ind w:left="420" w:hanging="331"/>
        <w:spacing w:after="0"/>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Executive Long-Term Disability Insurance is provided to all executives, managing directors and principals.</w:t>
      </w:r>
    </w:p>
    <w:p>
      <w:pPr>
        <w:sectPr>
          <w:pgSz w:w="11900" w:h="16838" w:orient="portrait"/>
          <w:cols w:equalWidth="0" w:num="1">
            <w:col w:w="9080"/>
          </w:cols>
          <w:pgMar w:left="1400" w:top="140" w:right="1419" w:bottom="0" w:gutter="0" w:footer="0" w:header="0"/>
          <w:type w:val="continuous"/>
        </w:sectPr>
      </w:pPr>
    </w:p>
    <w:bookmarkStart w:id="53" w:name="page54"/>
    <w:bookmarkEnd w:id="53"/>
    <w:p>
      <w:pPr>
        <w:spacing w:after="0" w:line="77" w:lineRule="exact"/>
        <w:rPr>
          <w:sz w:val="20"/>
          <w:szCs w:val="20"/>
          <w:color w:val="auto"/>
        </w:rPr>
      </w:pPr>
    </w:p>
    <w:p>
      <w:pPr>
        <w:ind w:left="420" w:hanging="331"/>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Executive Term Life Insurance is provided to all executives, managing directors and principals.</w:t>
      </w:r>
    </w:p>
    <w:p>
      <w:pPr>
        <w:ind w:left="420" w:hanging="331"/>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Huron provides a Company 401(k) match to all participating employees.</w:t>
      </w:r>
    </w:p>
    <w:p>
      <w:pPr>
        <w:spacing w:after="0" w:line="54" w:lineRule="exact"/>
        <w:rPr>
          <w:rFonts w:ascii="Arial" w:cs="Arial" w:eastAsia="Arial" w:hAnsi="Arial"/>
          <w:sz w:val="14"/>
          <w:szCs w:val="14"/>
          <w:color w:val="auto"/>
        </w:rPr>
      </w:pPr>
    </w:p>
    <w:p>
      <w:pPr>
        <w:ind w:left="420" w:right="299" w:hanging="331"/>
        <w:spacing w:after="0" w:line="269"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Other Benefits and Perquisites: (a) includes the cost of executive physicals, which Huron pays for executives and certain managing directors, (b) includes the cost of our named executive officers attending a corporate offsite with other Huron senior leadership in recognition of strong company and individual performance and (c) in the case of Ms. Katz, includes the cost of sports/entertainment tickets related to a practice group networking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-666115</wp:posOffset>
            </wp:positionV>
            <wp:extent cx="6810375" cy="5899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0375" cy="589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4533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4533900"/>
                    </a:xfrm>
                    <a:prstGeom prst="rect">
                      <a:avLst/>
                    </a:prstGeom>
                    <a:noFill/>
                  </pic:spPr>
                </pic:pic>
              </a:graphicData>
            </a:graphic>
          </wp:anchor>
        </w:drawing>
      </w:r>
    </w:p>
    <w:p>
      <w:pPr>
        <w:sectPr>
          <w:pgSz w:w="11900" w:h="16915" w:orient="portrait"/>
          <w:cols w:equalWidth="0" w:num="1">
            <w:col w:w="9059"/>
          </w:cols>
          <w:pgMar w:left="1400" w:top="9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Governance Two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6AAA37"/>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39"/>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23" w:lineRule="exact"/>
        <w:rPr>
          <w:sz w:val="20"/>
          <w:szCs w:val="20"/>
          <w:color w:val="auto"/>
        </w:rPr>
      </w:pPr>
    </w:p>
    <w:p>
      <w:pPr>
        <w:sectPr>
          <w:pgSz w:w="11900" w:h="16915" w:orient="portrait"/>
          <w:cols w:equalWidth="0" w:num="4">
            <w:col w:w="1600" w:space="300"/>
            <w:col w:w="1540" w:space="280"/>
            <w:col w:w="880" w:space="320"/>
            <w:col w:w="4139"/>
          </w:cols>
          <w:pgMar w:left="1400" w:top="91" w:right="1440" w:bottom="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2025 Grants of Plan-Based Awards</w:t>
      </w:r>
    </w:p>
    <w:p>
      <w:pPr>
        <w:spacing w:after="0" w:line="139" w:lineRule="exact"/>
        <w:rPr>
          <w:sz w:val="20"/>
          <w:szCs w:val="20"/>
          <w:color w:val="auto"/>
        </w:rPr>
      </w:pPr>
    </w:p>
    <w:p>
      <w:pPr>
        <w:ind w:right="559"/>
        <w:spacing w:after="0" w:line="321" w:lineRule="auto"/>
        <w:rPr>
          <w:sz w:val="20"/>
          <w:szCs w:val="20"/>
          <w:color w:val="auto"/>
        </w:rPr>
      </w:pPr>
      <w:r>
        <w:rPr>
          <w:rFonts w:ascii="Arial" w:cs="Arial" w:eastAsia="Arial" w:hAnsi="Arial"/>
          <w:sz w:val="16"/>
          <w:szCs w:val="16"/>
          <w:color w:val="auto"/>
        </w:rPr>
        <w:t>The following table summarizes the grants of equity awards and annual cash incentive awards for 2025 to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740" w:type="dxa"/>
            <w:vAlign w:val="bottom"/>
          </w:tcPr>
          <w:p>
            <w:pPr>
              <w:jc w:val="center"/>
              <w:ind w:right="73"/>
              <w:spacing w:after="0"/>
              <w:rPr>
                <w:sz w:val="20"/>
                <w:szCs w:val="20"/>
                <w:color w:val="auto"/>
              </w:rPr>
            </w:pPr>
            <w:r>
              <w:rPr>
                <w:rFonts w:ascii="Arial" w:cs="Arial" w:eastAsia="Arial" w:hAnsi="Arial"/>
                <w:sz w:val="13"/>
                <w:szCs w:val="13"/>
                <w:b w:val="1"/>
                <w:bCs w:val="1"/>
                <w:color w:val="FFFFFF"/>
              </w:rPr>
              <w:t>Grant</w:t>
            </w:r>
          </w:p>
        </w:tc>
        <w:tc>
          <w:tcPr>
            <w:tcW w:w="92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FFFFFF"/>
              </w:rPr>
              <w:t>Threshold</w:t>
            </w:r>
          </w:p>
        </w:tc>
        <w:tc>
          <w:tcPr>
            <w:tcW w:w="760" w:type="dxa"/>
            <w:vAlign w:val="bottom"/>
          </w:tcPr>
          <w:p>
            <w:pPr>
              <w:jc w:val="right"/>
              <w:ind w:right="73"/>
              <w:spacing w:after="0"/>
              <w:rPr>
                <w:sz w:val="20"/>
                <w:szCs w:val="20"/>
                <w:color w:val="auto"/>
              </w:rPr>
            </w:pPr>
            <w:r>
              <w:rPr>
                <w:rFonts w:ascii="Arial" w:cs="Arial" w:eastAsia="Arial" w:hAnsi="Arial"/>
                <w:sz w:val="13"/>
                <w:szCs w:val="13"/>
                <w:b w:val="1"/>
                <w:bCs w:val="1"/>
                <w:color w:val="FFFFFF"/>
              </w:rPr>
              <w:t>Target</w:t>
            </w:r>
          </w:p>
        </w:tc>
        <w:tc>
          <w:tcPr>
            <w:tcW w:w="800" w:type="dxa"/>
            <w:vAlign w:val="bottom"/>
          </w:tcPr>
          <w:p>
            <w:pPr>
              <w:jc w:val="right"/>
              <w:ind w:right="93"/>
              <w:spacing w:after="0"/>
              <w:rPr>
                <w:sz w:val="20"/>
                <w:szCs w:val="20"/>
                <w:color w:val="auto"/>
              </w:rPr>
            </w:pPr>
            <w:r>
              <w:rPr>
                <w:rFonts w:ascii="Arial" w:cs="Arial" w:eastAsia="Arial" w:hAnsi="Arial"/>
                <w:sz w:val="13"/>
                <w:szCs w:val="13"/>
                <w:b w:val="1"/>
                <w:bCs w:val="1"/>
                <w:color w:val="FFFFFF"/>
              </w:rPr>
              <w:t>Maximum</w:t>
            </w:r>
          </w:p>
        </w:tc>
        <w:tc>
          <w:tcPr>
            <w:tcW w:w="18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b w:val="1"/>
                <w:bCs w:val="1"/>
                <w:color w:val="FFFFFF"/>
              </w:rPr>
              <w:t>Threshold</w:t>
            </w:r>
          </w:p>
        </w:tc>
        <w:tc>
          <w:tcPr>
            <w:tcW w:w="560" w:type="dxa"/>
            <w:vAlign w:val="bottom"/>
          </w:tcPr>
          <w:p>
            <w:pPr>
              <w:jc w:val="right"/>
              <w:ind w:right="53"/>
              <w:spacing w:after="0"/>
              <w:rPr>
                <w:sz w:val="20"/>
                <w:szCs w:val="20"/>
                <w:color w:val="auto"/>
              </w:rPr>
            </w:pPr>
            <w:r>
              <w:rPr>
                <w:rFonts w:ascii="Arial" w:cs="Arial" w:eastAsia="Arial" w:hAnsi="Arial"/>
                <w:sz w:val="13"/>
                <w:szCs w:val="13"/>
                <w:b w:val="1"/>
                <w:bCs w:val="1"/>
                <w:color w:val="FFFFFF"/>
              </w:rPr>
              <w:t>Target</w:t>
            </w:r>
          </w:p>
        </w:tc>
        <w:tc>
          <w:tcPr>
            <w:tcW w:w="980" w:type="dxa"/>
            <w:vAlign w:val="bottom"/>
          </w:tcPr>
          <w:p>
            <w:pPr>
              <w:jc w:val="right"/>
              <w:ind w:right="253"/>
              <w:spacing w:after="0"/>
              <w:rPr>
                <w:sz w:val="20"/>
                <w:szCs w:val="20"/>
                <w:color w:val="auto"/>
              </w:rPr>
            </w:pPr>
            <w:r>
              <w:rPr>
                <w:rFonts w:ascii="Arial" w:cs="Arial" w:eastAsia="Arial" w:hAnsi="Arial"/>
                <w:sz w:val="13"/>
                <w:szCs w:val="13"/>
                <w:b w:val="1"/>
                <w:bCs w:val="1"/>
                <w:color w:val="FFFFFF"/>
              </w:rPr>
              <w:t>Maximum</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680" w:type="dxa"/>
            <w:vAlign w:val="bottom"/>
          </w:tcPr>
          <w:p>
            <w:pPr>
              <w:spacing w:after="0"/>
              <w:rPr>
                <w:sz w:val="20"/>
                <w:szCs w:val="20"/>
                <w:color w:val="auto"/>
              </w:rPr>
            </w:pPr>
            <w:r>
              <w:rPr>
                <w:rFonts w:ascii="Arial" w:cs="Arial" w:eastAsia="Arial" w:hAnsi="Arial"/>
                <w:sz w:val="13"/>
                <w:szCs w:val="13"/>
                <w:b w:val="1"/>
                <w:bCs w:val="1"/>
                <w:color w:val="FFFFFF"/>
              </w:rPr>
              <w:t>Name</w:t>
            </w: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FFFFFF"/>
              </w:rPr>
              <w:t>Date</w:t>
            </w:r>
          </w:p>
        </w:tc>
        <w:tc>
          <w:tcPr>
            <w:tcW w:w="92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b w:val="1"/>
                <w:bCs w:val="1"/>
                <w:color w:val="FFFFFF"/>
              </w:rPr>
              <w:t>($)</w:t>
            </w: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FFFFFF"/>
              </w:rPr>
              <w:t>($)</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FFFFFF"/>
              </w:rPr>
              <w:t>($)</w:t>
            </w:r>
          </w:p>
        </w:tc>
        <w:tc>
          <w:tcPr>
            <w:tcW w:w="18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FFFFFF"/>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FFFFFF"/>
              </w:rPr>
              <w:t>(#)</w:t>
            </w:r>
          </w:p>
        </w:tc>
        <w:tc>
          <w:tcPr>
            <w:tcW w:w="980" w:type="dxa"/>
            <w:vAlign w:val="bottom"/>
          </w:tcPr>
          <w:p>
            <w:pPr>
              <w:jc w:val="right"/>
              <w:ind w:right="193"/>
              <w:spacing w:after="0"/>
              <w:rPr>
                <w:sz w:val="20"/>
                <w:szCs w:val="20"/>
                <w:color w:val="auto"/>
              </w:rPr>
            </w:pPr>
            <w:r>
              <w:rPr>
                <w:rFonts w:ascii="Arial" w:cs="Arial" w:eastAsia="Arial" w:hAnsi="Arial"/>
                <w:sz w:val="13"/>
                <w:szCs w:val="13"/>
                <w:b w:val="1"/>
                <w:bCs w:val="1"/>
                <w:color w:val="FFFFFF"/>
              </w:rPr>
              <w:t>(#)</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51"/>
        </w:trPr>
        <w:tc>
          <w:tcPr>
            <w:tcW w:w="68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color w:val="auto"/>
              </w:rPr>
              <w:t>3/1/2025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2/21/2025</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5,295</w:t>
            </w:r>
          </w:p>
        </w:tc>
        <w:tc>
          <w:tcPr>
            <w:tcW w:w="560" w:type="dxa"/>
            <w:vAlign w:val="bottom"/>
          </w:tcPr>
          <w:p>
            <w:pPr>
              <w:jc w:val="right"/>
              <w:spacing w:after="0"/>
              <w:rPr>
                <w:sz w:val="20"/>
                <w:szCs w:val="20"/>
                <w:color w:val="auto"/>
              </w:rPr>
            </w:pPr>
            <w:r>
              <w:rPr>
                <w:rFonts w:ascii="Arial" w:cs="Arial" w:eastAsia="Arial" w:hAnsi="Arial"/>
                <w:sz w:val="13"/>
                <w:szCs w:val="13"/>
                <w:color w:val="auto"/>
              </w:rPr>
              <w:t>21,178</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42,356</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3,228,798</w:t>
            </w:r>
          </w:p>
        </w:tc>
        <w:tc>
          <w:tcPr>
            <w:tcW w:w="140" w:type="dxa"/>
            <w:vAlign w:val="bottom"/>
          </w:tcPr>
          <w:p>
            <w:pPr>
              <w:jc w:val="right"/>
              <w:spacing w:after="0"/>
              <w:rPr>
                <w:sz w:val="20"/>
                <w:szCs w:val="20"/>
                <w:color w:val="auto"/>
              </w:rPr>
            </w:pPr>
            <w:r>
              <w:rPr>
                <w:rFonts w:ascii="Arial" w:cs="Arial" w:eastAsia="Arial" w:hAnsi="Arial"/>
                <w:sz w:val="9"/>
                <w:szCs w:val="9"/>
                <w:color w:val="auto"/>
              </w:rPr>
              <w:t>(2)</w:t>
            </w:r>
          </w:p>
        </w:tc>
      </w:tr>
      <w:tr>
        <w:trPr>
          <w:trHeight w:val="403"/>
        </w:trPr>
        <w:tc>
          <w:tcPr>
            <w:tcW w:w="680" w:type="dxa"/>
            <w:vAlign w:val="bottom"/>
          </w:tcPr>
          <w:p>
            <w:pPr>
              <w:spacing w:after="0"/>
              <w:rPr>
                <w:sz w:val="20"/>
                <w:szCs w:val="20"/>
                <w:color w:val="auto"/>
              </w:rPr>
            </w:pPr>
            <w:r>
              <w:rPr>
                <w:rFonts w:ascii="Arial" w:cs="Arial" w:eastAsia="Arial" w:hAnsi="Arial"/>
                <w:sz w:val="13"/>
                <w:szCs w:val="13"/>
                <w:b w:val="1"/>
                <w:bCs w:val="1"/>
                <w:color w:val="00558C"/>
              </w:rPr>
              <w:t>C. Mark</w:t>
            </w:r>
          </w:p>
        </w:tc>
        <w:tc>
          <w:tcPr>
            <w:tcW w:w="740" w:type="dxa"/>
            <w:vAlign w:val="bottom"/>
          </w:tcPr>
          <w:p>
            <w:pPr>
              <w:jc w:val="center"/>
              <w:ind w:right="33"/>
              <w:spacing w:after="0"/>
              <w:rPr>
                <w:sz w:val="20"/>
                <w:szCs w:val="20"/>
                <w:color w:val="auto"/>
              </w:rPr>
            </w:pPr>
            <w:r>
              <w:rPr>
                <w:rFonts w:ascii="Arial" w:cs="Arial" w:eastAsia="Arial" w:hAnsi="Arial"/>
                <w:sz w:val="13"/>
                <w:szCs w:val="13"/>
                <w:color w:val="auto"/>
              </w:rPr>
              <w:t>3/1/2025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2/21/2025</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9,076</w:t>
            </w:r>
          </w:p>
        </w:tc>
        <w:tc>
          <w:tcPr>
            <w:tcW w:w="720" w:type="dxa"/>
            <w:vAlign w:val="bottom"/>
          </w:tcPr>
          <w:p>
            <w:pPr>
              <w:jc w:val="right"/>
              <w:spacing w:after="0"/>
              <w:rPr>
                <w:sz w:val="20"/>
                <w:szCs w:val="20"/>
                <w:color w:val="auto"/>
              </w:rPr>
            </w:pPr>
            <w:r>
              <w:rPr>
                <w:rFonts w:ascii="Arial" w:cs="Arial" w:eastAsia="Arial" w:hAnsi="Arial"/>
                <w:sz w:val="13"/>
                <w:szCs w:val="13"/>
                <w:color w:val="auto"/>
              </w:rPr>
              <w:t>1,383,727</w:t>
            </w: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r>
      <w:tr>
        <w:trPr>
          <w:trHeight w:val="186"/>
        </w:trPr>
        <w:tc>
          <w:tcPr>
            <w:tcW w:w="680" w:type="dxa"/>
            <w:vAlign w:val="bottom"/>
          </w:tcPr>
          <w:p>
            <w:pPr>
              <w:spacing w:after="0"/>
              <w:rPr>
                <w:sz w:val="20"/>
                <w:szCs w:val="20"/>
                <w:color w:val="auto"/>
              </w:rPr>
            </w:pPr>
            <w:r>
              <w:rPr>
                <w:rFonts w:ascii="Arial" w:cs="Arial" w:eastAsia="Arial" w:hAnsi="Arial"/>
                <w:sz w:val="13"/>
                <w:szCs w:val="13"/>
                <w:b w:val="1"/>
                <w:bCs w:val="1"/>
                <w:color w:val="00558C"/>
              </w:rPr>
              <w:t>Hussey</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1"/>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148,625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1,486,250</w:t>
            </w:r>
          </w:p>
        </w:tc>
        <w:tc>
          <w:tcPr>
            <w:tcW w:w="800" w:type="dxa"/>
            <w:vAlign w:val="bottom"/>
          </w:tcPr>
          <w:p>
            <w:pPr>
              <w:jc w:val="right"/>
              <w:spacing w:after="0"/>
              <w:rPr>
                <w:sz w:val="20"/>
                <w:szCs w:val="20"/>
                <w:color w:val="auto"/>
              </w:rPr>
            </w:pPr>
            <w:r>
              <w:rPr>
                <w:rFonts w:ascii="Arial" w:cs="Arial" w:eastAsia="Arial" w:hAnsi="Arial"/>
                <w:sz w:val="13"/>
                <w:szCs w:val="13"/>
                <w:color w:val="auto"/>
              </w:rPr>
              <w:t>2,972,500</w:t>
            </w:r>
          </w:p>
        </w:tc>
        <w:tc>
          <w:tcPr>
            <w:tcW w:w="180" w:type="dxa"/>
            <w:vAlign w:val="bottom"/>
          </w:tcPr>
          <w:p>
            <w:pPr>
              <w:jc w:val="right"/>
              <w:spacing w:after="0"/>
              <w:rPr>
                <w:sz w:val="20"/>
                <w:szCs w:val="20"/>
                <w:color w:val="auto"/>
              </w:rPr>
            </w:pPr>
            <w:r>
              <w:rPr>
                <w:rFonts w:ascii="Arial" w:cs="Arial" w:eastAsia="Arial" w:hAnsi="Arial"/>
                <w:sz w:val="9"/>
                <w:szCs w:val="9"/>
                <w:color w:val="auto"/>
              </w:rPr>
              <w:t>(1)</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r>
      <w:tr>
        <w:trPr>
          <w:trHeight w:val="446"/>
        </w:trPr>
        <w:tc>
          <w:tcPr>
            <w:tcW w:w="68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color w:val="auto"/>
              </w:rPr>
              <w:t>3/1/2025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2/21/2025</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1,865</w:t>
            </w:r>
          </w:p>
        </w:tc>
        <w:tc>
          <w:tcPr>
            <w:tcW w:w="560" w:type="dxa"/>
            <w:vAlign w:val="bottom"/>
          </w:tcPr>
          <w:p>
            <w:pPr>
              <w:jc w:val="right"/>
              <w:spacing w:after="0"/>
              <w:rPr>
                <w:sz w:val="20"/>
                <w:szCs w:val="20"/>
                <w:color w:val="auto"/>
              </w:rPr>
            </w:pPr>
            <w:r>
              <w:rPr>
                <w:rFonts w:ascii="Arial" w:cs="Arial" w:eastAsia="Arial" w:hAnsi="Arial"/>
                <w:sz w:val="13"/>
                <w:szCs w:val="13"/>
                <w:color w:val="auto"/>
              </w:rPr>
              <w:t>7,461</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14,922</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1,137,504</w:t>
            </w:r>
          </w:p>
        </w:tc>
        <w:tc>
          <w:tcPr>
            <w:tcW w:w="140" w:type="dxa"/>
            <w:vAlign w:val="bottom"/>
          </w:tcPr>
          <w:p>
            <w:pPr>
              <w:jc w:val="right"/>
              <w:spacing w:after="0"/>
              <w:rPr>
                <w:sz w:val="20"/>
                <w:szCs w:val="20"/>
                <w:color w:val="auto"/>
              </w:rPr>
            </w:pPr>
            <w:r>
              <w:rPr>
                <w:rFonts w:ascii="Arial" w:cs="Arial" w:eastAsia="Arial" w:hAnsi="Arial"/>
                <w:sz w:val="9"/>
                <w:szCs w:val="9"/>
                <w:color w:val="auto"/>
              </w:rPr>
              <w:t>(2)</w:t>
            </w:r>
          </w:p>
        </w:tc>
      </w:tr>
      <w:tr>
        <w:trPr>
          <w:trHeight w:val="403"/>
        </w:trPr>
        <w:tc>
          <w:tcPr>
            <w:tcW w:w="680" w:type="dxa"/>
            <w:vAlign w:val="bottom"/>
          </w:tcPr>
          <w:p>
            <w:pPr>
              <w:spacing w:after="0"/>
              <w:rPr>
                <w:sz w:val="20"/>
                <w:szCs w:val="20"/>
                <w:color w:val="auto"/>
              </w:rPr>
            </w:pPr>
            <w:r>
              <w:rPr>
                <w:rFonts w:ascii="Arial" w:cs="Arial" w:eastAsia="Arial" w:hAnsi="Arial"/>
                <w:sz w:val="13"/>
                <w:szCs w:val="13"/>
                <w:b w:val="1"/>
                <w:bCs w:val="1"/>
                <w:color w:val="00558C"/>
              </w:rPr>
              <w:t>John D.</w:t>
            </w:r>
          </w:p>
        </w:tc>
        <w:tc>
          <w:tcPr>
            <w:tcW w:w="740" w:type="dxa"/>
            <w:vAlign w:val="bottom"/>
          </w:tcPr>
          <w:p>
            <w:pPr>
              <w:jc w:val="center"/>
              <w:ind w:right="33"/>
              <w:spacing w:after="0"/>
              <w:rPr>
                <w:sz w:val="20"/>
                <w:szCs w:val="20"/>
                <w:color w:val="auto"/>
              </w:rPr>
            </w:pPr>
            <w:r>
              <w:rPr>
                <w:rFonts w:ascii="Arial" w:cs="Arial" w:eastAsia="Arial" w:hAnsi="Arial"/>
                <w:sz w:val="13"/>
                <w:szCs w:val="13"/>
                <w:color w:val="auto"/>
              </w:rPr>
              <w:t>3/1/2025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2/21/2025</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3,198</w:t>
            </w:r>
          </w:p>
        </w:tc>
        <w:tc>
          <w:tcPr>
            <w:tcW w:w="720" w:type="dxa"/>
            <w:vAlign w:val="bottom"/>
          </w:tcPr>
          <w:p>
            <w:pPr>
              <w:jc w:val="right"/>
              <w:spacing w:after="0"/>
              <w:rPr>
                <w:sz w:val="20"/>
                <w:szCs w:val="20"/>
                <w:color w:val="auto"/>
              </w:rPr>
            </w:pPr>
            <w:r>
              <w:rPr>
                <w:rFonts w:ascii="Arial" w:cs="Arial" w:eastAsia="Arial" w:hAnsi="Arial"/>
                <w:sz w:val="13"/>
                <w:szCs w:val="13"/>
                <w:color w:val="auto"/>
              </w:rPr>
              <w:t>487,567</w:t>
            </w: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r>
      <w:tr>
        <w:trPr>
          <w:trHeight w:val="186"/>
        </w:trPr>
        <w:tc>
          <w:tcPr>
            <w:tcW w:w="680" w:type="dxa"/>
            <w:vAlign w:val="bottom"/>
          </w:tcPr>
          <w:p>
            <w:pPr>
              <w:spacing w:after="0"/>
              <w:rPr>
                <w:sz w:val="20"/>
                <w:szCs w:val="20"/>
                <w:color w:val="auto"/>
              </w:rPr>
            </w:pPr>
            <w:r>
              <w:rPr>
                <w:rFonts w:ascii="Arial" w:cs="Arial" w:eastAsia="Arial" w:hAnsi="Arial"/>
                <w:sz w:val="13"/>
                <w:szCs w:val="13"/>
                <w:b w:val="1"/>
                <w:bCs w:val="1"/>
                <w:color w:val="00558C"/>
              </w:rPr>
              <w:t>Kelly</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1"/>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78,000</w:t>
            </w:r>
          </w:p>
        </w:tc>
        <w:tc>
          <w:tcPr>
            <w:tcW w:w="760" w:type="dxa"/>
            <w:vAlign w:val="bottom"/>
          </w:tcPr>
          <w:p>
            <w:pPr>
              <w:jc w:val="right"/>
              <w:spacing w:after="0"/>
              <w:rPr>
                <w:sz w:val="20"/>
                <w:szCs w:val="20"/>
                <w:color w:val="auto"/>
              </w:rPr>
            </w:pPr>
            <w:r>
              <w:rPr>
                <w:rFonts w:ascii="Arial" w:cs="Arial" w:eastAsia="Arial" w:hAnsi="Arial"/>
                <w:sz w:val="13"/>
                <w:szCs w:val="13"/>
                <w:color w:val="auto"/>
              </w:rPr>
              <w:t>780,000</w:t>
            </w:r>
          </w:p>
        </w:tc>
        <w:tc>
          <w:tcPr>
            <w:tcW w:w="800" w:type="dxa"/>
            <w:vAlign w:val="bottom"/>
          </w:tcPr>
          <w:p>
            <w:pPr>
              <w:jc w:val="right"/>
              <w:spacing w:after="0"/>
              <w:rPr>
                <w:sz w:val="20"/>
                <w:szCs w:val="20"/>
                <w:color w:val="auto"/>
              </w:rPr>
            </w:pPr>
            <w:r>
              <w:rPr>
                <w:rFonts w:ascii="Arial" w:cs="Arial" w:eastAsia="Arial" w:hAnsi="Arial"/>
                <w:sz w:val="13"/>
                <w:szCs w:val="13"/>
                <w:color w:val="auto"/>
              </w:rPr>
              <w:t>1,560,000</w:t>
            </w:r>
          </w:p>
        </w:tc>
        <w:tc>
          <w:tcPr>
            <w:tcW w:w="180" w:type="dxa"/>
            <w:vAlign w:val="bottom"/>
          </w:tcPr>
          <w:p>
            <w:pPr>
              <w:jc w:val="right"/>
              <w:spacing w:after="0"/>
              <w:rPr>
                <w:sz w:val="20"/>
                <w:szCs w:val="20"/>
                <w:color w:val="auto"/>
              </w:rPr>
            </w:pPr>
            <w:r>
              <w:rPr>
                <w:rFonts w:ascii="Arial" w:cs="Arial" w:eastAsia="Arial" w:hAnsi="Arial"/>
                <w:sz w:val="9"/>
                <w:szCs w:val="9"/>
                <w:color w:val="auto"/>
              </w:rPr>
              <w:t>(1)</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r>
      <w:tr>
        <w:trPr>
          <w:trHeight w:val="445"/>
        </w:trPr>
        <w:tc>
          <w:tcPr>
            <w:tcW w:w="68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color w:val="auto"/>
              </w:rPr>
              <w:t>3/1/2025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2/21/2025</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1,240</w:t>
            </w:r>
          </w:p>
        </w:tc>
        <w:tc>
          <w:tcPr>
            <w:tcW w:w="560" w:type="dxa"/>
            <w:vAlign w:val="bottom"/>
          </w:tcPr>
          <w:p>
            <w:pPr>
              <w:jc w:val="right"/>
              <w:spacing w:after="0"/>
              <w:rPr>
                <w:sz w:val="20"/>
                <w:szCs w:val="20"/>
                <w:color w:val="auto"/>
              </w:rPr>
            </w:pPr>
            <w:r>
              <w:rPr>
                <w:rFonts w:ascii="Arial" w:cs="Arial" w:eastAsia="Arial" w:hAnsi="Arial"/>
                <w:sz w:val="13"/>
                <w:szCs w:val="13"/>
                <w:color w:val="auto"/>
              </w:rPr>
              <w:t>4,959</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9,918</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756,049</w:t>
            </w:r>
          </w:p>
        </w:tc>
        <w:tc>
          <w:tcPr>
            <w:tcW w:w="140" w:type="dxa"/>
            <w:vAlign w:val="bottom"/>
          </w:tcPr>
          <w:p>
            <w:pPr>
              <w:jc w:val="right"/>
              <w:spacing w:after="0"/>
              <w:rPr>
                <w:sz w:val="20"/>
                <w:szCs w:val="20"/>
                <w:color w:val="auto"/>
              </w:rPr>
            </w:pPr>
            <w:r>
              <w:rPr>
                <w:rFonts w:ascii="Arial" w:cs="Arial" w:eastAsia="Arial" w:hAnsi="Arial"/>
                <w:sz w:val="9"/>
                <w:szCs w:val="9"/>
                <w:color w:val="auto"/>
              </w:rPr>
              <w:t>(2)</w:t>
            </w:r>
          </w:p>
        </w:tc>
      </w:tr>
      <w:tr>
        <w:trPr>
          <w:trHeight w:val="404"/>
        </w:trPr>
        <w:tc>
          <w:tcPr>
            <w:tcW w:w="680" w:type="dxa"/>
            <w:vAlign w:val="bottom"/>
          </w:tcPr>
          <w:p>
            <w:pPr>
              <w:spacing w:after="0"/>
              <w:rPr>
                <w:sz w:val="20"/>
                <w:szCs w:val="20"/>
                <w:color w:val="auto"/>
              </w:rPr>
            </w:pPr>
            <w:r>
              <w:rPr>
                <w:rFonts w:ascii="Arial" w:cs="Arial" w:eastAsia="Arial" w:hAnsi="Arial"/>
                <w:sz w:val="13"/>
                <w:szCs w:val="13"/>
                <w:b w:val="1"/>
                <w:bCs w:val="1"/>
                <w:color w:val="00558C"/>
              </w:rPr>
              <w:t>J. Ronald</w:t>
            </w:r>
          </w:p>
        </w:tc>
        <w:tc>
          <w:tcPr>
            <w:tcW w:w="740" w:type="dxa"/>
            <w:vAlign w:val="bottom"/>
          </w:tcPr>
          <w:p>
            <w:pPr>
              <w:jc w:val="center"/>
              <w:ind w:right="33"/>
              <w:spacing w:after="0"/>
              <w:rPr>
                <w:sz w:val="20"/>
                <w:szCs w:val="20"/>
                <w:color w:val="auto"/>
              </w:rPr>
            </w:pPr>
            <w:r>
              <w:rPr>
                <w:rFonts w:ascii="Arial" w:cs="Arial" w:eastAsia="Arial" w:hAnsi="Arial"/>
                <w:sz w:val="13"/>
                <w:szCs w:val="13"/>
                <w:color w:val="auto"/>
              </w:rPr>
              <w:t>3/1/2025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2/21/2025</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2,125</w:t>
            </w:r>
          </w:p>
        </w:tc>
        <w:tc>
          <w:tcPr>
            <w:tcW w:w="720" w:type="dxa"/>
            <w:vAlign w:val="bottom"/>
          </w:tcPr>
          <w:p>
            <w:pPr>
              <w:jc w:val="right"/>
              <w:spacing w:after="0"/>
              <w:rPr>
                <w:sz w:val="20"/>
                <w:szCs w:val="20"/>
                <w:color w:val="auto"/>
              </w:rPr>
            </w:pPr>
            <w:r>
              <w:rPr>
                <w:rFonts w:ascii="Arial" w:cs="Arial" w:eastAsia="Arial" w:hAnsi="Arial"/>
                <w:sz w:val="13"/>
                <w:szCs w:val="13"/>
                <w:color w:val="auto"/>
              </w:rPr>
              <w:t>323,978</w:t>
            </w: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r>
      <w:tr>
        <w:trPr>
          <w:trHeight w:val="186"/>
        </w:trPr>
        <w:tc>
          <w:tcPr>
            <w:tcW w:w="680" w:type="dxa"/>
            <w:vAlign w:val="bottom"/>
          </w:tcPr>
          <w:p>
            <w:pPr>
              <w:spacing w:after="0"/>
              <w:rPr>
                <w:sz w:val="20"/>
                <w:szCs w:val="20"/>
                <w:color w:val="auto"/>
              </w:rPr>
            </w:pPr>
            <w:r>
              <w:rPr>
                <w:rFonts w:ascii="Arial" w:cs="Arial" w:eastAsia="Arial" w:hAnsi="Arial"/>
                <w:sz w:val="13"/>
                <w:szCs w:val="13"/>
                <w:b w:val="1"/>
                <w:bCs w:val="1"/>
                <w:color w:val="00558C"/>
              </w:rPr>
              <w:t>Dail</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ectPr>
          <w:pgSz w:w="11900" w:h="16915" w:orient="portrait"/>
          <w:cols w:equalWidth="0" w:num="1">
            <w:col w:w="9059"/>
          </w:cols>
          <w:pgMar w:left="1400" w:top="91" w:right="1440" w:bottom="0" w:gutter="0" w:footer="0" w:header="0"/>
          <w:type w:val="continuous"/>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3224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0375" cy="43224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820" w:type="dxa"/>
            <w:vAlign w:val="bottom"/>
            <w:shd w:val="clear" w:color="auto" w:fill="00558C"/>
          </w:tcPr>
          <w:p>
            <w:pPr>
              <w:spacing w:after="0"/>
              <w:rPr>
                <w:sz w:val="17"/>
                <w:szCs w:val="17"/>
                <w:color w:val="auto"/>
              </w:rPr>
            </w:pPr>
          </w:p>
        </w:tc>
        <w:tc>
          <w:tcPr>
            <w:tcW w:w="640" w:type="dxa"/>
            <w:vAlign w:val="bottom"/>
            <w:shd w:val="clear" w:color="auto" w:fill="00558C"/>
          </w:tcPr>
          <w:p>
            <w:pPr>
              <w:spacing w:after="0"/>
              <w:rPr>
                <w:sz w:val="17"/>
                <w:szCs w:val="17"/>
                <w:color w:val="auto"/>
              </w:rPr>
            </w:pPr>
          </w:p>
        </w:tc>
        <w:tc>
          <w:tcPr>
            <w:tcW w:w="1120" w:type="dxa"/>
            <w:vAlign w:val="bottom"/>
            <w:shd w:val="clear" w:color="auto" w:fill="00558C"/>
          </w:tcPr>
          <w:p>
            <w:pPr>
              <w:spacing w:after="0"/>
              <w:rPr>
                <w:sz w:val="17"/>
                <w:szCs w:val="17"/>
                <w:color w:val="auto"/>
              </w:rPr>
            </w:pPr>
          </w:p>
        </w:tc>
        <w:tc>
          <w:tcPr>
            <w:tcW w:w="820" w:type="dxa"/>
            <w:vAlign w:val="bottom"/>
            <w:vMerge w:val="restart"/>
            <w:shd w:val="clear" w:color="auto" w:fill="00558C"/>
          </w:tcPr>
          <w:p>
            <w:pPr>
              <w:jc w:val="right"/>
              <w:spacing w:after="0"/>
              <w:rPr>
                <w:sz w:val="20"/>
                <w:szCs w:val="20"/>
                <w:color w:val="auto"/>
              </w:rPr>
            </w:pPr>
            <w:r>
              <w:rPr>
                <w:rFonts w:ascii="Arial" w:cs="Arial" w:eastAsia="Arial" w:hAnsi="Arial"/>
                <w:sz w:val="13"/>
                <w:szCs w:val="13"/>
                <w:color w:val="auto"/>
              </w:rPr>
              <w:t>64,125</w:t>
            </w:r>
          </w:p>
        </w:tc>
        <w:tc>
          <w:tcPr>
            <w:tcW w:w="760" w:type="dxa"/>
            <w:vAlign w:val="bottom"/>
            <w:vMerge w:val="restart"/>
            <w:shd w:val="clear" w:color="auto" w:fill="00558C"/>
          </w:tcPr>
          <w:p>
            <w:pPr>
              <w:jc w:val="right"/>
              <w:spacing w:after="0"/>
              <w:rPr>
                <w:sz w:val="20"/>
                <w:szCs w:val="20"/>
                <w:color w:val="auto"/>
              </w:rPr>
            </w:pPr>
            <w:r>
              <w:rPr>
                <w:rFonts w:ascii="Arial" w:cs="Arial" w:eastAsia="Arial" w:hAnsi="Arial"/>
                <w:sz w:val="13"/>
                <w:szCs w:val="13"/>
                <w:color w:val="auto"/>
              </w:rPr>
              <w:t>641,250</w:t>
            </w:r>
          </w:p>
        </w:tc>
        <w:tc>
          <w:tcPr>
            <w:tcW w:w="160" w:type="dxa"/>
            <w:vAlign w:val="bottom"/>
            <w:shd w:val="clear" w:color="auto" w:fill="00558C"/>
          </w:tcPr>
          <w:p>
            <w:pPr>
              <w:spacing w:after="0"/>
              <w:rPr>
                <w:sz w:val="17"/>
                <w:szCs w:val="17"/>
                <w:color w:val="auto"/>
              </w:rPr>
            </w:pPr>
          </w:p>
        </w:tc>
        <w:tc>
          <w:tcPr>
            <w:tcW w:w="640" w:type="dxa"/>
            <w:vAlign w:val="bottom"/>
            <w:gridSpan w:val="2"/>
            <w:vMerge w:val="restart"/>
            <w:shd w:val="clear" w:color="auto" w:fill="00558C"/>
          </w:tcPr>
          <w:p>
            <w:pPr>
              <w:jc w:val="right"/>
              <w:spacing w:after="0"/>
              <w:rPr>
                <w:sz w:val="20"/>
                <w:szCs w:val="20"/>
                <w:color w:val="auto"/>
              </w:rPr>
            </w:pPr>
            <w:r>
              <w:rPr>
                <w:rFonts w:ascii="Arial" w:cs="Arial" w:eastAsia="Arial" w:hAnsi="Arial"/>
                <w:sz w:val="13"/>
                <w:szCs w:val="13"/>
                <w:color w:val="auto"/>
              </w:rPr>
              <w:t>1,282,500</w:t>
            </w:r>
          </w:p>
        </w:tc>
        <w:tc>
          <w:tcPr>
            <w:tcW w:w="280" w:type="dxa"/>
            <w:vAlign w:val="bottom"/>
            <w:shd w:val="clear" w:color="auto" w:fill="00558C"/>
          </w:tcPr>
          <w:p>
            <w:pPr>
              <w:jc w:val="right"/>
              <w:ind w:right="76"/>
              <w:spacing w:after="0"/>
              <w:rPr>
                <w:sz w:val="20"/>
                <w:szCs w:val="20"/>
                <w:color w:val="auto"/>
              </w:rPr>
            </w:pPr>
            <w:r>
              <w:rPr>
                <w:rFonts w:ascii="Arial" w:cs="Arial" w:eastAsia="Arial" w:hAnsi="Arial"/>
                <w:sz w:val="9"/>
                <w:szCs w:val="9"/>
                <w:color w:val="auto"/>
              </w:rPr>
              <w:t>(1)</w:t>
            </w:r>
          </w:p>
        </w:tc>
        <w:tc>
          <w:tcPr>
            <w:tcW w:w="840" w:type="dxa"/>
            <w:vAlign w:val="bottom"/>
            <w:vMerge w:val="restart"/>
            <w:shd w:val="clear" w:color="auto" w:fill="00558C"/>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00558C"/>
          </w:tcPr>
          <w:p>
            <w:pPr>
              <w:jc w:val="right"/>
              <w:ind w:right="393"/>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00558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00558C"/>
          </w:tcPr>
          <w:p>
            <w:pPr>
              <w:jc w:val="right"/>
              <w:ind w:right="42"/>
              <w:spacing w:after="0"/>
              <w:rPr>
                <w:sz w:val="20"/>
                <w:szCs w:val="20"/>
                <w:color w:val="auto"/>
              </w:rPr>
            </w:pPr>
            <w:r>
              <w:rPr>
                <w:rFonts w:ascii="Arial" w:cs="Arial" w:eastAsia="Arial" w:hAnsi="Arial"/>
                <w:sz w:val="13"/>
                <w:szCs w:val="13"/>
                <w:b w:val="1"/>
                <w:bCs w:val="1"/>
                <w:color w:val="FFFFFF"/>
              </w:rPr>
              <w:t>All Other</w:t>
            </w:r>
          </w:p>
        </w:tc>
        <w:tc>
          <w:tcPr>
            <w:tcW w:w="760" w:type="dxa"/>
            <w:vAlign w:val="bottom"/>
            <w:shd w:val="clear" w:color="auto" w:fill="00558C"/>
          </w:tcPr>
          <w:p>
            <w:pPr>
              <w:jc w:val="right"/>
              <w:ind w:right="22"/>
              <w:spacing w:after="0"/>
              <w:rPr>
                <w:sz w:val="20"/>
                <w:szCs w:val="20"/>
                <w:color w:val="auto"/>
              </w:rPr>
            </w:pPr>
            <w:r>
              <w:rPr>
                <w:rFonts w:ascii="Arial" w:cs="Arial" w:eastAsia="Arial" w:hAnsi="Arial"/>
                <w:sz w:val="13"/>
                <w:szCs w:val="13"/>
                <w:b w:val="1"/>
                <w:bCs w:val="1"/>
                <w:color w:val="FFFFFF"/>
              </w:rPr>
              <w:t>Grant</w:t>
            </w:r>
          </w:p>
        </w:tc>
        <w:tc>
          <w:tcPr>
            <w:tcW w:w="200" w:type="dxa"/>
            <w:vAlign w:val="bottom"/>
            <w:shd w:val="clear" w:color="auto" w:fill="00558C"/>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shd w:val="clear" w:color="auto" w:fill="00558C"/>
          </w:tcPr>
          <w:p>
            <w:pPr>
              <w:spacing w:after="0"/>
              <w:rPr>
                <w:sz w:val="4"/>
                <w:szCs w:val="4"/>
                <w:color w:val="auto"/>
              </w:rPr>
            </w:pPr>
          </w:p>
        </w:tc>
        <w:tc>
          <w:tcPr>
            <w:tcW w:w="640" w:type="dxa"/>
            <w:vAlign w:val="bottom"/>
            <w:shd w:val="clear" w:color="auto" w:fill="00558C"/>
          </w:tcPr>
          <w:p>
            <w:pPr>
              <w:spacing w:after="0"/>
              <w:rPr>
                <w:sz w:val="4"/>
                <w:szCs w:val="4"/>
                <w:color w:val="auto"/>
              </w:rPr>
            </w:pPr>
          </w:p>
        </w:tc>
        <w:tc>
          <w:tcPr>
            <w:tcW w:w="1120" w:type="dxa"/>
            <w:vAlign w:val="bottom"/>
            <w:shd w:val="clear" w:color="auto" w:fill="00558C"/>
          </w:tcPr>
          <w:p>
            <w:pPr>
              <w:spacing w:after="0"/>
              <w:rPr>
                <w:sz w:val="4"/>
                <w:szCs w:val="4"/>
                <w:color w:val="auto"/>
              </w:rPr>
            </w:pPr>
          </w:p>
        </w:tc>
        <w:tc>
          <w:tcPr>
            <w:tcW w:w="820" w:type="dxa"/>
            <w:vAlign w:val="bottom"/>
            <w:vMerge w:val="continue"/>
            <w:shd w:val="clear" w:color="auto" w:fill="00558C"/>
          </w:tcPr>
          <w:p>
            <w:pPr>
              <w:spacing w:after="0"/>
              <w:rPr>
                <w:sz w:val="4"/>
                <w:szCs w:val="4"/>
                <w:color w:val="auto"/>
              </w:rPr>
            </w:pPr>
          </w:p>
        </w:tc>
        <w:tc>
          <w:tcPr>
            <w:tcW w:w="760" w:type="dxa"/>
            <w:vAlign w:val="bottom"/>
            <w:vMerge w:val="continue"/>
            <w:shd w:val="clear" w:color="auto" w:fill="00558C"/>
          </w:tcPr>
          <w:p>
            <w:pPr>
              <w:spacing w:after="0"/>
              <w:rPr>
                <w:sz w:val="4"/>
                <w:szCs w:val="4"/>
                <w:color w:val="auto"/>
              </w:rPr>
            </w:pPr>
          </w:p>
        </w:tc>
        <w:tc>
          <w:tcPr>
            <w:tcW w:w="160" w:type="dxa"/>
            <w:vAlign w:val="bottom"/>
            <w:shd w:val="clear" w:color="auto" w:fill="00558C"/>
          </w:tcPr>
          <w:p>
            <w:pPr>
              <w:spacing w:after="0"/>
              <w:rPr>
                <w:sz w:val="4"/>
                <w:szCs w:val="4"/>
                <w:color w:val="auto"/>
              </w:rPr>
            </w:pPr>
          </w:p>
        </w:tc>
        <w:tc>
          <w:tcPr>
            <w:tcW w:w="640" w:type="dxa"/>
            <w:vAlign w:val="bottom"/>
            <w:gridSpan w:val="2"/>
            <w:vMerge w:val="continue"/>
            <w:shd w:val="clear" w:color="auto" w:fill="00558C"/>
          </w:tcPr>
          <w:p>
            <w:pPr>
              <w:spacing w:after="0"/>
              <w:rPr>
                <w:sz w:val="4"/>
                <w:szCs w:val="4"/>
                <w:color w:val="auto"/>
              </w:rPr>
            </w:pPr>
          </w:p>
        </w:tc>
        <w:tc>
          <w:tcPr>
            <w:tcW w:w="280" w:type="dxa"/>
            <w:vAlign w:val="bottom"/>
            <w:shd w:val="clear" w:color="auto" w:fill="00558C"/>
          </w:tcPr>
          <w:p>
            <w:pPr>
              <w:spacing w:after="0"/>
              <w:rPr>
                <w:sz w:val="4"/>
                <w:szCs w:val="4"/>
                <w:color w:val="auto"/>
              </w:rPr>
            </w:pPr>
          </w:p>
        </w:tc>
        <w:tc>
          <w:tcPr>
            <w:tcW w:w="840" w:type="dxa"/>
            <w:vAlign w:val="bottom"/>
            <w:vMerge w:val="continue"/>
            <w:shd w:val="clear" w:color="auto" w:fill="00558C"/>
          </w:tcPr>
          <w:p>
            <w:pPr>
              <w:spacing w:after="0"/>
              <w:rPr>
                <w:sz w:val="4"/>
                <w:szCs w:val="4"/>
                <w:color w:val="auto"/>
              </w:rPr>
            </w:pPr>
          </w:p>
        </w:tc>
        <w:tc>
          <w:tcPr>
            <w:tcW w:w="940" w:type="dxa"/>
            <w:vAlign w:val="bottom"/>
            <w:vMerge w:val="continue"/>
            <w:shd w:val="clear" w:color="auto" w:fill="00558C"/>
          </w:tcPr>
          <w:p>
            <w:pPr>
              <w:spacing w:after="0"/>
              <w:rPr>
                <w:sz w:val="4"/>
                <w:szCs w:val="4"/>
                <w:color w:val="auto"/>
              </w:rPr>
            </w:pPr>
          </w:p>
        </w:tc>
        <w:tc>
          <w:tcPr>
            <w:tcW w:w="360" w:type="dxa"/>
            <w:vAlign w:val="bottom"/>
            <w:vMerge w:val="continue"/>
            <w:shd w:val="clear" w:color="auto" w:fill="00558C"/>
          </w:tcPr>
          <w:p>
            <w:pPr>
              <w:spacing w:after="0"/>
              <w:rPr>
                <w:sz w:val="4"/>
                <w:szCs w:val="4"/>
                <w:color w:val="auto"/>
              </w:rPr>
            </w:pPr>
          </w:p>
        </w:tc>
        <w:tc>
          <w:tcPr>
            <w:tcW w:w="740" w:type="dxa"/>
            <w:vAlign w:val="bottom"/>
            <w:shd w:val="clear" w:color="auto" w:fill="00558C"/>
          </w:tcPr>
          <w:p>
            <w:pPr>
              <w:jc w:val="right"/>
              <w:spacing w:after="0" w:line="54" w:lineRule="exact"/>
              <w:rPr>
                <w:sz w:val="20"/>
                <w:szCs w:val="20"/>
                <w:color w:val="auto"/>
              </w:rPr>
            </w:pPr>
            <w:r>
              <w:rPr>
                <w:rFonts w:ascii="Arial" w:cs="Arial" w:eastAsia="Arial" w:hAnsi="Arial"/>
                <w:sz w:val="6"/>
                <w:szCs w:val="6"/>
                <w:color w:val="auto"/>
              </w:rPr>
              <w:t>—</w:t>
            </w:r>
          </w:p>
        </w:tc>
        <w:tc>
          <w:tcPr>
            <w:tcW w:w="760" w:type="dxa"/>
            <w:vAlign w:val="bottom"/>
            <w:shd w:val="clear" w:color="auto" w:fill="00558C"/>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shd w:val="clear" w:color="auto" w:fill="00558C"/>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20" w:type="dxa"/>
            <w:vAlign w:val="bottom"/>
            <w:shd w:val="clear" w:color="auto" w:fill="00558C"/>
          </w:tcPr>
          <w:p>
            <w:pPr>
              <w:spacing w:after="0"/>
              <w:rPr>
                <w:sz w:val="11"/>
                <w:szCs w:val="11"/>
                <w:color w:val="auto"/>
              </w:rPr>
            </w:pPr>
          </w:p>
        </w:tc>
        <w:tc>
          <w:tcPr>
            <w:tcW w:w="640" w:type="dxa"/>
            <w:vAlign w:val="bottom"/>
            <w:shd w:val="clear" w:color="auto" w:fill="00558C"/>
          </w:tcPr>
          <w:p>
            <w:pPr>
              <w:spacing w:after="0"/>
              <w:rPr>
                <w:sz w:val="11"/>
                <w:szCs w:val="11"/>
                <w:color w:val="auto"/>
              </w:rPr>
            </w:pPr>
          </w:p>
        </w:tc>
        <w:tc>
          <w:tcPr>
            <w:tcW w:w="1120" w:type="dxa"/>
            <w:vAlign w:val="bottom"/>
            <w:shd w:val="clear" w:color="auto" w:fill="00558C"/>
          </w:tcPr>
          <w:p>
            <w:pPr>
              <w:spacing w:after="0"/>
              <w:rPr>
                <w:sz w:val="11"/>
                <w:szCs w:val="11"/>
                <w:color w:val="auto"/>
              </w:rPr>
            </w:pPr>
          </w:p>
        </w:tc>
        <w:tc>
          <w:tcPr>
            <w:tcW w:w="2380" w:type="dxa"/>
            <w:vAlign w:val="bottom"/>
            <w:gridSpan w:val="5"/>
            <w:shd w:val="clear" w:color="auto" w:fill="00558C"/>
          </w:tcPr>
          <w:p>
            <w:pPr>
              <w:jc w:val="center"/>
              <w:ind w:right="93"/>
              <w:spacing w:after="0" w:line="135" w:lineRule="exact"/>
              <w:rPr>
                <w:sz w:val="20"/>
                <w:szCs w:val="20"/>
                <w:color w:val="auto"/>
              </w:rPr>
            </w:pPr>
            <w:r>
              <w:rPr>
                <w:rFonts w:ascii="Arial" w:cs="Arial" w:eastAsia="Arial" w:hAnsi="Arial"/>
                <w:sz w:val="13"/>
                <w:szCs w:val="13"/>
                <w:b w:val="1"/>
                <w:bCs w:val="1"/>
                <w:color w:val="FFFFFF"/>
              </w:rPr>
              <w:t>Estimated Future Payouts</w:t>
            </w:r>
          </w:p>
        </w:tc>
        <w:tc>
          <w:tcPr>
            <w:tcW w:w="280" w:type="dxa"/>
            <w:vAlign w:val="bottom"/>
            <w:shd w:val="clear" w:color="auto" w:fill="00558C"/>
          </w:tcPr>
          <w:p>
            <w:pPr>
              <w:spacing w:after="0"/>
              <w:rPr>
                <w:sz w:val="11"/>
                <w:szCs w:val="11"/>
                <w:color w:val="auto"/>
              </w:rPr>
            </w:pPr>
          </w:p>
        </w:tc>
        <w:tc>
          <w:tcPr>
            <w:tcW w:w="1780" w:type="dxa"/>
            <w:vAlign w:val="bottom"/>
            <w:gridSpan w:val="2"/>
            <w:shd w:val="clear" w:color="auto" w:fill="00558C"/>
          </w:tcPr>
          <w:p>
            <w:pPr>
              <w:jc w:val="right"/>
              <w:spacing w:after="0" w:line="135" w:lineRule="exact"/>
              <w:rPr>
                <w:sz w:val="20"/>
                <w:szCs w:val="20"/>
                <w:color w:val="auto"/>
              </w:rPr>
            </w:pPr>
            <w:r>
              <w:rPr>
                <w:rFonts w:ascii="Arial" w:cs="Arial" w:eastAsia="Arial" w:hAnsi="Arial"/>
                <w:sz w:val="13"/>
                <w:szCs w:val="13"/>
                <w:b w:val="1"/>
                <w:bCs w:val="1"/>
                <w:color w:val="FFFFFF"/>
              </w:rPr>
              <w:t>Estimated Future Payouts</w:t>
            </w:r>
          </w:p>
        </w:tc>
        <w:tc>
          <w:tcPr>
            <w:tcW w:w="360" w:type="dxa"/>
            <w:vAlign w:val="bottom"/>
            <w:shd w:val="clear" w:color="auto" w:fill="00558C"/>
          </w:tcPr>
          <w:p>
            <w:pPr>
              <w:spacing w:after="0"/>
              <w:rPr>
                <w:sz w:val="11"/>
                <w:szCs w:val="11"/>
                <w:color w:val="auto"/>
              </w:rPr>
            </w:pPr>
          </w:p>
        </w:tc>
        <w:tc>
          <w:tcPr>
            <w:tcW w:w="740" w:type="dxa"/>
            <w:vAlign w:val="bottom"/>
            <w:shd w:val="clear" w:color="auto" w:fill="00558C"/>
          </w:tcPr>
          <w:p>
            <w:pPr>
              <w:jc w:val="right"/>
              <w:ind w:right="22"/>
              <w:spacing w:after="0" w:line="135" w:lineRule="exact"/>
              <w:rPr>
                <w:sz w:val="20"/>
                <w:szCs w:val="20"/>
                <w:color w:val="auto"/>
              </w:rPr>
            </w:pPr>
            <w:r>
              <w:rPr>
                <w:rFonts w:ascii="Arial" w:cs="Arial" w:eastAsia="Arial" w:hAnsi="Arial"/>
                <w:sz w:val="13"/>
                <w:szCs w:val="13"/>
                <w:b w:val="1"/>
                <w:bCs w:val="1"/>
                <w:color w:val="FFFFFF"/>
              </w:rPr>
              <w:t>Stock</w:t>
            </w:r>
          </w:p>
        </w:tc>
        <w:tc>
          <w:tcPr>
            <w:tcW w:w="760" w:type="dxa"/>
            <w:vAlign w:val="bottom"/>
            <w:shd w:val="clear" w:color="auto" w:fill="00558C"/>
          </w:tcPr>
          <w:p>
            <w:pPr>
              <w:jc w:val="right"/>
              <w:ind w:right="62"/>
              <w:spacing w:after="0" w:line="135" w:lineRule="exact"/>
              <w:rPr>
                <w:sz w:val="20"/>
                <w:szCs w:val="20"/>
                <w:color w:val="auto"/>
              </w:rPr>
            </w:pPr>
            <w:r>
              <w:rPr>
                <w:rFonts w:ascii="Arial" w:cs="Arial" w:eastAsia="Arial" w:hAnsi="Arial"/>
                <w:sz w:val="13"/>
                <w:szCs w:val="13"/>
                <w:b w:val="1"/>
                <w:bCs w:val="1"/>
                <w:color w:val="FFFFFF"/>
              </w:rPr>
              <w:t>Date Fair</w:t>
            </w:r>
          </w:p>
        </w:tc>
        <w:tc>
          <w:tcPr>
            <w:tcW w:w="200" w:type="dxa"/>
            <w:vAlign w:val="bottom"/>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120" w:type="dxa"/>
            <w:vAlign w:val="bottom"/>
            <w:shd w:val="clear" w:color="auto" w:fill="00558C"/>
          </w:tcPr>
          <w:p>
            <w:pPr>
              <w:spacing w:after="0"/>
              <w:rPr>
                <w:sz w:val="14"/>
                <w:szCs w:val="14"/>
                <w:color w:val="auto"/>
              </w:rPr>
            </w:pPr>
          </w:p>
        </w:tc>
        <w:tc>
          <w:tcPr>
            <w:tcW w:w="1740" w:type="dxa"/>
            <w:vAlign w:val="bottom"/>
            <w:gridSpan w:val="3"/>
            <w:shd w:val="clear" w:color="auto" w:fill="00558C"/>
          </w:tcPr>
          <w:p>
            <w:pPr>
              <w:ind w:left="560"/>
              <w:spacing w:after="0"/>
              <w:rPr>
                <w:sz w:val="20"/>
                <w:szCs w:val="20"/>
                <w:color w:val="auto"/>
              </w:rPr>
            </w:pPr>
            <w:r>
              <w:rPr>
                <w:rFonts w:ascii="Arial" w:cs="Arial" w:eastAsia="Arial" w:hAnsi="Arial"/>
                <w:sz w:val="13"/>
                <w:szCs w:val="13"/>
                <w:b w:val="1"/>
                <w:bCs w:val="1"/>
                <w:color w:val="FFFFFF"/>
              </w:rPr>
              <w:t>Under Non Equity</w:t>
            </w:r>
          </w:p>
        </w:tc>
        <w:tc>
          <w:tcPr>
            <w:tcW w:w="120" w:type="dxa"/>
            <w:vAlign w:val="bottom"/>
            <w:shd w:val="clear" w:color="auto" w:fill="00558C"/>
          </w:tcPr>
          <w:p>
            <w:pPr>
              <w:spacing w:after="0"/>
              <w:rPr>
                <w:sz w:val="14"/>
                <w:szCs w:val="14"/>
                <w:color w:val="auto"/>
              </w:rPr>
            </w:pPr>
          </w:p>
        </w:tc>
        <w:tc>
          <w:tcPr>
            <w:tcW w:w="520" w:type="dxa"/>
            <w:vAlign w:val="bottom"/>
            <w:shd w:val="clear" w:color="auto" w:fill="00558C"/>
          </w:tcPr>
          <w:p>
            <w:pPr>
              <w:spacing w:after="0"/>
              <w:rPr>
                <w:sz w:val="14"/>
                <w:szCs w:val="14"/>
                <w:color w:val="auto"/>
              </w:rPr>
            </w:pPr>
          </w:p>
        </w:tc>
        <w:tc>
          <w:tcPr>
            <w:tcW w:w="280" w:type="dxa"/>
            <w:vAlign w:val="bottom"/>
            <w:shd w:val="clear" w:color="auto" w:fill="00558C"/>
          </w:tcPr>
          <w:p>
            <w:pPr>
              <w:spacing w:after="0"/>
              <w:rPr>
                <w:sz w:val="14"/>
                <w:szCs w:val="14"/>
                <w:color w:val="auto"/>
              </w:rPr>
            </w:pPr>
          </w:p>
        </w:tc>
        <w:tc>
          <w:tcPr>
            <w:tcW w:w="1780" w:type="dxa"/>
            <w:vAlign w:val="bottom"/>
            <w:gridSpan w:val="2"/>
            <w:shd w:val="clear" w:color="auto" w:fill="00558C"/>
          </w:tcPr>
          <w:p>
            <w:pPr>
              <w:jc w:val="right"/>
              <w:ind w:right="313"/>
              <w:spacing w:after="0"/>
              <w:rPr>
                <w:sz w:val="20"/>
                <w:szCs w:val="20"/>
                <w:color w:val="auto"/>
              </w:rPr>
            </w:pPr>
            <w:r>
              <w:rPr>
                <w:rFonts w:ascii="Arial" w:cs="Arial" w:eastAsia="Arial" w:hAnsi="Arial"/>
                <w:sz w:val="13"/>
                <w:szCs w:val="13"/>
                <w:b w:val="1"/>
                <w:bCs w:val="1"/>
                <w:color w:val="FFFFFF"/>
              </w:rPr>
              <w:t>Under Equity</w:t>
            </w:r>
          </w:p>
        </w:tc>
        <w:tc>
          <w:tcPr>
            <w:tcW w:w="360" w:type="dxa"/>
            <w:vAlign w:val="bottom"/>
            <w:shd w:val="clear" w:color="auto" w:fill="00558C"/>
          </w:tcPr>
          <w:p>
            <w:pPr>
              <w:spacing w:after="0"/>
              <w:rPr>
                <w:sz w:val="14"/>
                <w:szCs w:val="14"/>
                <w:color w:val="auto"/>
              </w:rPr>
            </w:pPr>
          </w:p>
        </w:tc>
        <w:tc>
          <w:tcPr>
            <w:tcW w:w="740" w:type="dxa"/>
            <w:vAlign w:val="bottom"/>
            <w:shd w:val="clear" w:color="auto" w:fill="00558C"/>
          </w:tcPr>
          <w:p>
            <w:pPr>
              <w:jc w:val="right"/>
              <w:ind w:right="22"/>
              <w:spacing w:after="0"/>
              <w:rPr>
                <w:sz w:val="20"/>
                <w:szCs w:val="20"/>
                <w:color w:val="auto"/>
              </w:rPr>
            </w:pPr>
            <w:r>
              <w:rPr>
                <w:rFonts w:ascii="Arial" w:cs="Arial" w:eastAsia="Arial" w:hAnsi="Arial"/>
                <w:sz w:val="13"/>
                <w:szCs w:val="13"/>
                <w:b w:val="1"/>
                <w:bCs w:val="1"/>
                <w:color w:val="FFFFFF"/>
              </w:rPr>
              <w:t>Awards:</w:t>
            </w:r>
          </w:p>
        </w:tc>
        <w:tc>
          <w:tcPr>
            <w:tcW w:w="760" w:type="dxa"/>
            <w:vAlign w:val="bottom"/>
            <w:shd w:val="clear" w:color="auto" w:fill="00558C"/>
          </w:tcPr>
          <w:p>
            <w:pPr>
              <w:jc w:val="right"/>
              <w:ind w:right="62"/>
              <w:spacing w:after="0"/>
              <w:rPr>
                <w:sz w:val="20"/>
                <w:szCs w:val="20"/>
                <w:color w:val="auto"/>
              </w:rPr>
            </w:pPr>
            <w:r>
              <w:rPr>
                <w:rFonts w:ascii="Arial" w:cs="Arial" w:eastAsia="Arial" w:hAnsi="Arial"/>
                <w:sz w:val="13"/>
                <w:szCs w:val="13"/>
                <w:b w:val="1"/>
                <w:bCs w:val="1"/>
                <w:color w:val="FFFFFF"/>
              </w:rPr>
              <w:t>Value of</w:t>
            </w:r>
          </w:p>
        </w:tc>
        <w:tc>
          <w:tcPr>
            <w:tcW w:w="2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00558C"/>
          </w:tcPr>
          <w:p>
            <w:pPr>
              <w:spacing w:after="0"/>
              <w:rPr>
                <w:sz w:val="12"/>
                <w:szCs w:val="12"/>
                <w:color w:val="auto"/>
              </w:rPr>
            </w:pPr>
          </w:p>
        </w:tc>
        <w:tc>
          <w:tcPr>
            <w:tcW w:w="640" w:type="dxa"/>
            <w:vAlign w:val="bottom"/>
            <w:shd w:val="clear" w:color="auto" w:fill="00558C"/>
          </w:tcPr>
          <w:p>
            <w:pPr>
              <w:jc w:val="right"/>
              <w:spacing w:after="0"/>
              <w:rPr>
                <w:sz w:val="20"/>
                <w:szCs w:val="20"/>
                <w:color w:val="auto"/>
              </w:rPr>
            </w:pPr>
            <w:r>
              <w:rPr>
                <w:rFonts w:ascii="Arial" w:cs="Arial" w:eastAsia="Arial" w:hAnsi="Arial"/>
                <w:sz w:val="13"/>
                <w:szCs w:val="13"/>
                <w:color w:val="auto"/>
              </w:rPr>
              <w:t>3/1/2025</w:t>
            </w:r>
          </w:p>
        </w:tc>
        <w:tc>
          <w:tcPr>
            <w:tcW w:w="1120" w:type="dxa"/>
            <w:vAlign w:val="bottom"/>
            <w:shd w:val="clear" w:color="auto" w:fill="00558C"/>
          </w:tcPr>
          <w:p>
            <w:pPr>
              <w:jc w:val="center"/>
              <w:spacing w:after="0"/>
              <w:rPr>
                <w:sz w:val="20"/>
                <w:szCs w:val="20"/>
                <w:color w:val="auto"/>
              </w:rPr>
            </w:pPr>
            <w:r>
              <w:rPr>
                <w:rFonts w:ascii="Arial" w:cs="Arial" w:eastAsia="Arial" w:hAnsi="Arial"/>
                <w:sz w:val="13"/>
                <w:szCs w:val="13"/>
                <w:color w:val="auto"/>
              </w:rPr>
              <w:t>2/21/2025</w:t>
            </w:r>
          </w:p>
        </w:tc>
        <w:tc>
          <w:tcPr>
            <w:tcW w:w="820" w:type="dxa"/>
            <w:vAlign w:val="bottom"/>
            <w:shd w:val="clear" w:color="auto" w:fill="00558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00558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00558C"/>
          </w:tcPr>
          <w:p>
            <w:pPr>
              <w:spacing w:after="0"/>
              <w:rPr>
                <w:sz w:val="12"/>
                <w:szCs w:val="12"/>
                <w:color w:val="auto"/>
              </w:rPr>
            </w:pPr>
          </w:p>
        </w:tc>
        <w:tc>
          <w:tcPr>
            <w:tcW w:w="520" w:type="dxa"/>
            <w:vAlign w:val="bottom"/>
            <w:shd w:val="clear" w:color="auto" w:fill="00558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00558C"/>
          </w:tcPr>
          <w:p>
            <w:pPr>
              <w:spacing w:after="0"/>
              <w:rPr>
                <w:sz w:val="12"/>
                <w:szCs w:val="12"/>
                <w:color w:val="auto"/>
              </w:rPr>
            </w:pPr>
          </w:p>
        </w:tc>
        <w:tc>
          <w:tcPr>
            <w:tcW w:w="840" w:type="dxa"/>
            <w:vAlign w:val="bottom"/>
            <w:shd w:val="clear" w:color="auto" w:fill="00558C"/>
          </w:tcPr>
          <w:p>
            <w:pPr>
              <w:jc w:val="right"/>
              <w:ind w:right="55"/>
              <w:spacing w:after="0"/>
              <w:rPr>
                <w:sz w:val="20"/>
                <w:szCs w:val="20"/>
                <w:color w:val="auto"/>
              </w:rPr>
            </w:pPr>
            <w:r>
              <w:rPr>
                <w:rFonts w:ascii="Arial" w:cs="Arial" w:eastAsia="Arial" w:hAnsi="Arial"/>
                <w:sz w:val="13"/>
                <w:szCs w:val="13"/>
                <w:color w:val="auto"/>
              </w:rPr>
              <w:t>488</w:t>
            </w:r>
          </w:p>
        </w:tc>
        <w:tc>
          <w:tcPr>
            <w:tcW w:w="940" w:type="dxa"/>
            <w:vAlign w:val="bottom"/>
            <w:shd w:val="clear" w:color="auto" w:fill="00558C"/>
          </w:tcPr>
          <w:p>
            <w:pPr>
              <w:jc w:val="right"/>
              <w:ind w:right="393"/>
              <w:spacing w:after="0"/>
              <w:rPr>
                <w:sz w:val="20"/>
                <w:szCs w:val="20"/>
                <w:color w:val="auto"/>
              </w:rPr>
            </w:pPr>
            <w:r>
              <w:rPr>
                <w:rFonts w:ascii="Arial" w:cs="Arial" w:eastAsia="Arial" w:hAnsi="Arial"/>
                <w:sz w:val="13"/>
                <w:szCs w:val="13"/>
                <w:color w:val="auto"/>
              </w:rPr>
              <w:t>1,951</w:t>
            </w:r>
          </w:p>
        </w:tc>
        <w:tc>
          <w:tcPr>
            <w:tcW w:w="360" w:type="dxa"/>
            <w:vAlign w:val="bottom"/>
            <w:shd w:val="clear" w:color="auto" w:fill="00558C"/>
          </w:tcPr>
          <w:p>
            <w:pPr>
              <w:jc w:val="right"/>
              <w:spacing w:after="0"/>
              <w:rPr>
                <w:sz w:val="20"/>
                <w:szCs w:val="20"/>
                <w:color w:val="auto"/>
              </w:rPr>
            </w:pPr>
            <w:r>
              <w:rPr>
                <w:rFonts w:ascii="Arial" w:cs="Arial" w:eastAsia="Arial" w:hAnsi="Arial"/>
                <w:sz w:val="13"/>
                <w:szCs w:val="13"/>
                <w:color w:val="auto"/>
                <w:w w:val="98"/>
              </w:rPr>
              <w:t>3,902</w:t>
            </w:r>
          </w:p>
        </w:tc>
        <w:tc>
          <w:tcPr>
            <w:tcW w:w="740" w:type="dxa"/>
            <w:vAlign w:val="bottom"/>
            <w:shd w:val="clear" w:color="auto" w:fill="00558C"/>
          </w:tcPr>
          <w:p>
            <w:pPr>
              <w:jc w:val="right"/>
              <w:spacing w:after="0" w:line="149" w:lineRule="exact"/>
              <w:rPr>
                <w:sz w:val="20"/>
                <w:szCs w:val="20"/>
                <w:color w:val="auto"/>
              </w:rPr>
            </w:pPr>
            <w:r>
              <w:rPr>
                <w:rFonts w:ascii="Arial" w:cs="Arial" w:eastAsia="Arial" w:hAnsi="Arial"/>
                <w:sz w:val="10"/>
                <w:szCs w:val="10"/>
                <w:b w:val="1"/>
                <w:bCs w:val="1"/>
                <w:color w:val="FFFFFF"/>
              </w:rPr>
              <w:t>Number</w:t>
            </w:r>
            <w:r>
              <w:rPr>
                <w:rFonts w:ascii="Arial" w:cs="Arial" w:eastAsia="Arial" w:hAnsi="Arial"/>
                <w:sz w:val="17"/>
                <w:szCs w:val="17"/>
                <w:color w:val="000000"/>
                <w:vertAlign w:val="subscript"/>
              </w:rPr>
              <w:t>—</w:t>
            </w:r>
          </w:p>
        </w:tc>
        <w:tc>
          <w:tcPr>
            <w:tcW w:w="760" w:type="dxa"/>
            <w:vAlign w:val="bottom"/>
            <w:shd w:val="clear" w:color="auto" w:fill="00558C"/>
          </w:tcPr>
          <w:p>
            <w:pPr>
              <w:jc w:val="right"/>
              <w:spacing w:after="0" w:line="149" w:lineRule="exact"/>
              <w:rPr>
                <w:sz w:val="20"/>
                <w:szCs w:val="20"/>
                <w:color w:val="auto"/>
              </w:rPr>
            </w:pPr>
            <w:r>
              <w:rPr>
                <w:rFonts w:ascii="Arial" w:cs="Arial" w:eastAsia="Arial" w:hAnsi="Arial"/>
                <w:sz w:val="10"/>
                <w:szCs w:val="10"/>
                <w:color w:val="auto"/>
              </w:rPr>
              <w:t>297,449</w:t>
            </w:r>
            <w:r>
              <w:rPr>
                <w:rFonts w:ascii="Arial" w:cs="Arial" w:eastAsia="Arial" w:hAnsi="Arial"/>
                <w:sz w:val="17"/>
                <w:szCs w:val="17"/>
                <w:b w:val="1"/>
                <w:bCs w:val="1"/>
                <w:color w:val="FFFFFF"/>
                <w:vertAlign w:val="superscript"/>
              </w:rPr>
              <w:t>Stock</w:t>
            </w:r>
          </w:p>
        </w:tc>
        <w:tc>
          <w:tcPr>
            <w:tcW w:w="200" w:type="dxa"/>
            <w:vAlign w:val="bottom"/>
            <w:shd w:val="clear" w:color="auto" w:fill="00558C"/>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81"/>
        </w:trPr>
        <w:tc>
          <w:tcPr>
            <w:tcW w:w="820" w:type="dxa"/>
            <w:vAlign w:val="bottom"/>
            <w:shd w:val="clear" w:color="auto" w:fill="00558C"/>
          </w:tcPr>
          <w:p>
            <w:pPr>
              <w:spacing w:after="0"/>
              <w:rPr>
                <w:sz w:val="7"/>
                <w:szCs w:val="7"/>
                <w:color w:val="auto"/>
              </w:rPr>
            </w:pPr>
          </w:p>
        </w:tc>
        <w:tc>
          <w:tcPr>
            <w:tcW w:w="640" w:type="dxa"/>
            <w:vAlign w:val="bottom"/>
            <w:shd w:val="clear" w:color="auto" w:fill="00558C"/>
          </w:tcPr>
          <w:p>
            <w:pPr>
              <w:spacing w:after="0"/>
              <w:rPr>
                <w:sz w:val="7"/>
                <w:szCs w:val="7"/>
                <w:color w:val="auto"/>
              </w:rPr>
            </w:pPr>
          </w:p>
        </w:tc>
        <w:tc>
          <w:tcPr>
            <w:tcW w:w="1120" w:type="dxa"/>
            <w:vAlign w:val="bottom"/>
            <w:vMerge w:val="restart"/>
            <w:shd w:val="clear" w:color="auto" w:fill="00558C"/>
          </w:tcPr>
          <w:p>
            <w:pPr>
              <w:jc w:val="center"/>
              <w:ind w:right="1"/>
              <w:spacing w:after="0"/>
              <w:rPr>
                <w:sz w:val="20"/>
                <w:szCs w:val="20"/>
                <w:color w:val="auto"/>
              </w:rPr>
            </w:pPr>
            <w:r>
              <w:rPr>
                <w:rFonts w:ascii="Arial" w:cs="Arial" w:eastAsia="Arial" w:hAnsi="Arial"/>
                <w:sz w:val="13"/>
                <w:szCs w:val="13"/>
                <w:b w:val="1"/>
                <w:bCs w:val="1"/>
                <w:color w:val="FFFFFF"/>
              </w:rPr>
              <w:t>Date of</w:t>
            </w:r>
          </w:p>
        </w:tc>
        <w:tc>
          <w:tcPr>
            <w:tcW w:w="1860" w:type="dxa"/>
            <w:vAlign w:val="bottom"/>
            <w:gridSpan w:val="4"/>
            <w:shd w:val="clear" w:color="auto" w:fill="00558C"/>
          </w:tcPr>
          <w:p>
            <w:pPr>
              <w:jc w:val="center"/>
              <w:ind w:left="315"/>
              <w:spacing w:after="0" w:line="81" w:lineRule="exact"/>
              <w:rPr>
                <w:sz w:val="20"/>
                <w:szCs w:val="20"/>
                <w:color w:val="auto"/>
              </w:rPr>
            </w:pPr>
            <w:r>
              <w:rPr>
                <w:rFonts w:ascii="Arial" w:cs="Arial" w:eastAsia="Arial" w:hAnsi="Arial"/>
                <w:sz w:val="9"/>
                <w:szCs w:val="9"/>
                <w:b w:val="1"/>
                <w:bCs w:val="1"/>
                <w:color w:val="FFFFFF"/>
              </w:rPr>
              <w:t>Incentive Plan Awards</w:t>
            </w:r>
          </w:p>
        </w:tc>
        <w:tc>
          <w:tcPr>
            <w:tcW w:w="520" w:type="dxa"/>
            <w:vAlign w:val="bottom"/>
            <w:shd w:val="clear" w:color="auto" w:fill="00558C"/>
          </w:tcPr>
          <w:p>
            <w:pPr>
              <w:spacing w:after="0"/>
              <w:rPr>
                <w:sz w:val="7"/>
                <w:szCs w:val="7"/>
                <w:color w:val="auto"/>
              </w:rPr>
            </w:pPr>
          </w:p>
        </w:tc>
        <w:tc>
          <w:tcPr>
            <w:tcW w:w="280" w:type="dxa"/>
            <w:vAlign w:val="bottom"/>
            <w:shd w:val="clear" w:color="auto" w:fill="00558C"/>
          </w:tcPr>
          <w:p>
            <w:pPr>
              <w:spacing w:after="0"/>
              <w:rPr>
                <w:sz w:val="7"/>
                <w:szCs w:val="7"/>
                <w:color w:val="auto"/>
              </w:rPr>
            </w:pPr>
          </w:p>
        </w:tc>
        <w:tc>
          <w:tcPr>
            <w:tcW w:w="1780" w:type="dxa"/>
            <w:vAlign w:val="bottom"/>
            <w:gridSpan w:val="2"/>
            <w:shd w:val="clear" w:color="auto" w:fill="00558C"/>
          </w:tcPr>
          <w:p>
            <w:pPr>
              <w:jc w:val="right"/>
              <w:ind w:right="53"/>
              <w:spacing w:after="0" w:line="81" w:lineRule="exact"/>
              <w:rPr>
                <w:sz w:val="20"/>
                <w:szCs w:val="20"/>
                <w:color w:val="auto"/>
              </w:rPr>
            </w:pPr>
            <w:r>
              <w:rPr>
                <w:rFonts w:ascii="Arial" w:cs="Arial" w:eastAsia="Arial" w:hAnsi="Arial"/>
                <w:sz w:val="9"/>
                <w:szCs w:val="9"/>
                <w:b w:val="1"/>
                <w:bCs w:val="1"/>
                <w:color w:val="FFFFFF"/>
              </w:rPr>
              <w:t>Incentive Plan Awards</w:t>
            </w:r>
          </w:p>
        </w:tc>
        <w:tc>
          <w:tcPr>
            <w:tcW w:w="360" w:type="dxa"/>
            <w:vAlign w:val="bottom"/>
            <w:shd w:val="clear" w:color="auto" w:fill="00558C"/>
          </w:tcPr>
          <w:p>
            <w:pPr>
              <w:spacing w:after="0"/>
              <w:rPr>
                <w:sz w:val="7"/>
                <w:szCs w:val="7"/>
                <w:color w:val="auto"/>
              </w:rPr>
            </w:pPr>
          </w:p>
        </w:tc>
        <w:tc>
          <w:tcPr>
            <w:tcW w:w="740" w:type="dxa"/>
            <w:vAlign w:val="bottom"/>
            <w:vMerge w:val="restart"/>
            <w:shd w:val="clear" w:color="auto" w:fill="00558C"/>
          </w:tcPr>
          <w:p>
            <w:pPr>
              <w:jc w:val="right"/>
              <w:ind w:right="2"/>
              <w:spacing w:after="0"/>
              <w:rPr>
                <w:sz w:val="20"/>
                <w:szCs w:val="20"/>
                <w:color w:val="auto"/>
              </w:rPr>
            </w:pPr>
            <w:r>
              <w:rPr>
                <w:rFonts w:ascii="Arial" w:cs="Arial" w:eastAsia="Arial" w:hAnsi="Arial"/>
                <w:sz w:val="13"/>
                <w:szCs w:val="13"/>
                <w:b w:val="1"/>
                <w:bCs w:val="1"/>
                <w:color w:val="FFFFFF"/>
              </w:rPr>
              <w:t>of</w:t>
            </w:r>
          </w:p>
        </w:tc>
        <w:tc>
          <w:tcPr>
            <w:tcW w:w="760" w:type="dxa"/>
            <w:vAlign w:val="bottom"/>
            <w:vMerge w:val="restart"/>
            <w:shd w:val="clear" w:color="auto" w:fill="00558C"/>
          </w:tcPr>
          <w:p>
            <w:pPr>
              <w:jc w:val="right"/>
              <w:ind w:right="22"/>
              <w:spacing w:after="0"/>
              <w:rPr>
                <w:sz w:val="20"/>
                <w:szCs w:val="20"/>
                <w:color w:val="auto"/>
              </w:rPr>
            </w:pPr>
            <w:r>
              <w:rPr>
                <w:rFonts w:ascii="Arial" w:cs="Arial" w:eastAsia="Arial" w:hAnsi="Arial"/>
                <w:sz w:val="13"/>
                <w:szCs w:val="13"/>
                <w:b w:val="1"/>
                <w:bCs w:val="1"/>
                <w:color w:val="FFFFFF"/>
              </w:rPr>
              <w:t>and</w:t>
            </w:r>
          </w:p>
        </w:tc>
        <w:tc>
          <w:tcPr>
            <w:tcW w:w="200" w:type="dxa"/>
            <w:vAlign w:val="bottom"/>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20" w:type="dxa"/>
            <w:vAlign w:val="bottom"/>
            <w:shd w:val="clear" w:color="auto" w:fill="00558C"/>
          </w:tcPr>
          <w:p>
            <w:pPr>
              <w:spacing w:after="0"/>
              <w:rPr>
                <w:sz w:val="6"/>
                <w:szCs w:val="6"/>
                <w:color w:val="auto"/>
              </w:rPr>
            </w:pPr>
          </w:p>
        </w:tc>
        <w:tc>
          <w:tcPr>
            <w:tcW w:w="640" w:type="dxa"/>
            <w:vAlign w:val="bottom"/>
            <w:shd w:val="clear" w:color="auto" w:fill="00558C"/>
          </w:tcPr>
          <w:p>
            <w:pPr>
              <w:spacing w:after="0"/>
              <w:rPr>
                <w:sz w:val="6"/>
                <w:szCs w:val="6"/>
                <w:color w:val="auto"/>
              </w:rPr>
            </w:pPr>
          </w:p>
        </w:tc>
        <w:tc>
          <w:tcPr>
            <w:tcW w:w="1120" w:type="dxa"/>
            <w:vAlign w:val="bottom"/>
            <w:vMerge w:val="continue"/>
            <w:shd w:val="clear" w:color="auto" w:fill="00558C"/>
          </w:tcPr>
          <w:p>
            <w:pPr>
              <w:spacing w:after="0"/>
              <w:rPr>
                <w:sz w:val="6"/>
                <w:szCs w:val="6"/>
                <w:color w:val="auto"/>
              </w:rPr>
            </w:pPr>
          </w:p>
        </w:tc>
        <w:tc>
          <w:tcPr>
            <w:tcW w:w="820" w:type="dxa"/>
            <w:vAlign w:val="bottom"/>
            <w:shd w:val="clear" w:color="auto" w:fill="00558C"/>
          </w:tcPr>
          <w:p>
            <w:pPr>
              <w:spacing w:after="0"/>
              <w:rPr>
                <w:sz w:val="6"/>
                <w:szCs w:val="6"/>
                <w:color w:val="auto"/>
              </w:rPr>
            </w:pPr>
          </w:p>
        </w:tc>
        <w:tc>
          <w:tcPr>
            <w:tcW w:w="760" w:type="dxa"/>
            <w:vAlign w:val="bottom"/>
            <w:shd w:val="clear" w:color="auto" w:fill="00558C"/>
          </w:tcPr>
          <w:p>
            <w:pPr>
              <w:spacing w:after="0"/>
              <w:rPr>
                <w:sz w:val="6"/>
                <w:szCs w:val="6"/>
                <w:color w:val="auto"/>
              </w:rPr>
            </w:pPr>
          </w:p>
        </w:tc>
        <w:tc>
          <w:tcPr>
            <w:tcW w:w="160" w:type="dxa"/>
            <w:vAlign w:val="bottom"/>
            <w:shd w:val="clear" w:color="auto" w:fill="00558C"/>
          </w:tcPr>
          <w:p>
            <w:pPr>
              <w:spacing w:after="0"/>
              <w:rPr>
                <w:sz w:val="6"/>
                <w:szCs w:val="6"/>
                <w:color w:val="auto"/>
              </w:rPr>
            </w:pPr>
          </w:p>
        </w:tc>
        <w:tc>
          <w:tcPr>
            <w:tcW w:w="120" w:type="dxa"/>
            <w:vAlign w:val="bottom"/>
            <w:shd w:val="clear" w:color="auto" w:fill="00558C"/>
          </w:tcPr>
          <w:p>
            <w:pPr>
              <w:spacing w:after="0"/>
              <w:rPr>
                <w:sz w:val="6"/>
                <w:szCs w:val="6"/>
                <w:color w:val="auto"/>
              </w:rPr>
            </w:pPr>
          </w:p>
        </w:tc>
        <w:tc>
          <w:tcPr>
            <w:tcW w:w="520" w:type="dxa"/>
            <w:vAlign w:val="bottom"/>
            <w:shd w:val="clear" w:color="auto" w:fill="00558C"/>
          </w:tcPr>
          <w:p>
            <w:pPr>
              <w:spacing w:after="0"/>
              <w:rPr>
                <w:sz w:val="6"/>
                <w:szCs w:val="6"/>
                <w:color w:val="auto"/>
              </w:rPr>
            </w:pPr>
          </w:p>
        </w:tc>
        <w:tc>
          <w:tcPr>
            <w:tcW w:w="280" w:type="dxa"/>
            <w:vAlign w:val="bottom"/>
            <w:shd w:val="clear" w:color="auto" w:fill="00558C"/>
          </w:tcPr>
          <w:p>
            <w:pPr>
              <w:spacing w:after="0"/>
              <w:rPr>
                <w:sz w:val="6"/>
                <w:szCs w:val="6"/>
                <w:color w:val="auto"/>
              </w:rPr>
            </w:pPr>
          </w:p>
        </w:tc>
        <w:tc>
          <w:tcPr>
            <w:tcW w:w="840" w:type="dxa"/>
            <w:vAlign w:val="bottom"/>
            <w:shd w:val="clear" w:color="auto" w:fill="00558C"/>
          </w:tcPr>
          <w:p>
            <w:pPr>
              <w:spacing w:after="0"/>
              <w:rPr>
                <w:sz w:val="6"/>
                <w:szCs w:val="6"/>
                <w:color w:val="auto"/>
              </w:rPr>
            </w:pPr>
          </w:p>
        </w:tc>
        <w:tc>
          <w:tcPr>
            <w:tcW w:w="940" w:type="dxa"/>
            <w:vAlign w:val="bottom"/>
            <w:shd w:val="clear" w:color="auto" w:fill="00558C"/>
          </w:tcPr>
          <w:p>
            <w:pPr>
              <w:spacing w:after="0"/>
              <w:rPr>
                <w:sz w:val="6"/>
                <w:szCs w:val="6"/>
                <w:color w:val="auto"/>
              </w:rPr>
            </w:pPr>
          </w:p>
        </w:tc>
        <w:tc>
          <w:tcPr>
            <w:tcW w:w="360" w:type="dxa"/>
            <w:vAlign w:val="bottom"/>
            <w:shd w:val="clear" w:color="auto" w:fill="00558C"/>
          </w:tcPr>
          <w:p>
            <w:pPr>
              <w:spacing w:after="0"/>
              <w:rPr>
                <w:sz w:val="6"/>
                <w:szCs w:val="6"/>
                <w:color w:val="auto"/>
              </w:rPr>
            </w:pPr>
          </w:p>
        </w:tc>
        <w:tc>
          <w:tcPr>
            <w:tcW w:w="740" w:type="dxa"/>
            <w:vAlign w:val="bottom"/>
            <w:vMerge w:val="continue"/>
            <w:shd w:val="clear" w:color="auto" w:fill="00558C"/>
          </w:tcPr>
          <w:p>
            <w:pPr>
              <w:spacing w:after="0"/>
              <w:rPr>
                <w:sz w:val="6"/>
                <w:szCs w:val="6"/>
                <w:color w:val="auto"/>
              </w:rPr>
            </w:pPr>
          </w:p>
        </w:tc>
        <w:tc>
          <w:tcPr>
            <w:tcW w:w="760" w:type="dxa"/>
            <w:vAlign w:val="bottom"/>
            <w:vMerge w:val="continue"/>
            <w:shd w:val="clear" w:color="auto" w:fill="00558C"/>
          </w:tcPr>
          <w:p>
            <w:pPr>
              <w:spacing w:after="0"/>
              <w:rPr>
                <w:sz w:val="6"/>
                <w:szCs w:val="6"/>
                <w:color w:val="auto"/>
              </w:rPr>
            </w:pPr>
          </w:p>
        </w:tc>
        <w:tc>
          <w:tcPr>
            <w:tcW w:w="200" w:type="dxa"/>
            <w:vAlign w:val="bottom"/>
            <w:shd w:val="clear" w:color="auto" w:fill="00558C"/>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820" w:type="dxa"/>
            <w:vAlign w:val="bottom"/>
            <w:shd w:val="clear" w:color="auto" w:fill="00558C"/>
          </w:tcPr>
          <w:p>
            <w:pPr>
              <w:spacing w:after="0"/>
              <w:rPr>
                <w:sz w:val="13"/>
                <w:szCs w:val="13"/>
                <w:color w:val="auto"/>
              </w:rPr>
            </w:pPr>
          </w:p>
        </w:tc>
        <w:tc>
          <w:tcPr>
            <w:tcW w:w="640" w:type="dxa"/>
            <w:vAlign w:val="bottom"/>
            <w:shd w:val="clear" w:color="auto" w:fill="00558C"/>
          </w:tcPr>
          <w:p>
            <w:pPr>
              <w:spacing w:after="0"/>
              <w:rPr>
                <w:sz w:val="13"/>
                <w:szCs w:val="13"/>
                <w:color w:val="auto"/>
              </w:rPr>
            </w:pPr>
          </w:p>
        </w:tc>
        <w:tc>
          <w:tcPr>
            <w:tcW w:w="1120" w:type="dxa"/>
            <w:vAlign w:val="bottom"/>
            <w:shd w:val="clear" w:color="auto" w:fill="00558C"/>
          </w:tcPr>
          <w:p>
            <w:pPr>
              <w:jc w:val="center"/>
              <w:ind w:right="41"/>
              <w:spacing w:after="0"/>
              <w:rPr>
                <w:sz w:val="20"/>
                <w:szCs w:val="20"/>
                <w:color w:val="auto"/>
              </w:rPr>
            </w:pPr>
            <w:r>
              <w:rPr>
                <w:rFonts w:ascii="Arial" w:cs="Arial" w:eastAsia="Arial" w:hAnsi="Arial"/>
                <w:sz w:val="13"/>
                <w:szCs w:val="13"/>
                <w:b w:val="1"/>
                <w:bCs w:val="1"/>
                <w:color w:val="FFFFFF"/>
              </w:rPr>
              <w:t>Compensation</w:t>
            </w:r>
          </w:p>
        </w:tc>
        <w:tc>
          <w:tcPr>
            <w:tcW w:w="820" w:type="dxa"/>
            <w:vAlign w:val="bottom"/>
            <w:shd w:val="clear" w:color="auto" w:fill="00558C"/>
          </w:tcPr>
          <w:p>
            <w:pPr>
              <w:spacing w:after="0"/>
              <w:rPr>
                <w:sz w:val="13"/>
                <w:szCs w:val="13"/>
                <w:color w:val="auto"/>
              </w:rPr>
            </w:pPr>
          </w:p>
        </w:tc>
        <w:tc>
          <w:tcPr>
            <w:tcW w:w="760" w:type="dxa"/>
            <w:vAlign w:val="bottom"/>
            <w:shd w:val="clear" w:color="auto" w:fill="00558C"/>
          </w:tcPr>
          <w:p>
            <w:pPr>
              <w:spacing w:after="0"/>
              <w:rPr>
                <w:sz w:val="13"/>
                <w:szCs w:val="13"/>
                <w:color w:val="auto"/>
              </w:rPr>
            </w:pPr>
          </w:p>
        </w:tc>
        <w:tc>
          <w:tcPr>
            <w:tcW w:w="160" w:type="dxa"/>
            <w:vAlign w:val="bottom"/>
            <w:shd w:val="clear" w:color="auto" w:fill="00558C"/>
          </w:tcPr>
          <w:p>
            <w:pPr>
              <w:spacing w:after="0"/>
              <w:rPr>
                <w:sz w:val="13"/>
                <w:szCs w:val="13"/>
                <w:color w:val="auto"/>
              </w:rPr>
            </w:pPr>
          </w:p>
        </w:tc>
        <w:tc>
          <w:tcPr>
            <w:tcW w:w="120" w:type="dxa"/>
            <w:vAlign w:val="bottom"/>
            <w:shd w:val="clear" w:color="auto" w:fill="00558C"/>
          </w:tcPr>
          <w:p>
            <w:pPr>
              <w:spacing w:after="0"/>
              <w:rPr>
                <w:sz w:val="13"/>
                <w:szCs w:val="13"/>
                <w:color w:val="auto"/>
              </w:rPr>
            </w:pPr>
          </w:p>
        </w:tc>
        <w:tc>
          <w:tcPr>
            <w:tcW w:w="520" w:type="dxa"/>
            <w:vAlign w:val="bottom"/>
            <w:shd w:val="clear" w:color="auto" w:fill="00558C"/>
          </w:tcPr>
          <w:p>
            <w:pPr>
              <w:spacing w:after="0"/>
              <w:rPr>
                <w:sz w:val="13"/>
                <w:szCs w:val="13"/>
                <w:color w:val="auto"/>
              </w:rPr>
            </w:pPr>
          </w:p>
        </w:tc>
        <w:tc>
          <w:tcPr>
            <w:tcW w:w="280" w:type="dxa"/>
            <w:vAlign w:val="bottom"/>
            <w:shd w:val="clear" w:color="auto" w:fill="00558C"/>
          </w:tcPr>
          <w:p>
            <w:pPr>
              <w:spacing w:after="0"/>
              <w:rPr>
                <w:sz w:val="13"/>
                <w:szCs w:val="13"/>
                <w:color w:val="auto"/>
              </w:rPr>
            </w:pPr>
          </w:p>
        </w:tc>
        <w:tc>
          <w:tcPr>
            <w:tcW w:w="840" w:type="dxa"/>
            <w:vAlign w:val="bottom"/>
            <w:shd w:val="clear" w:color="auto" w:fill="00558C"/>
          </w:tcPr>
          <w:p>
            <w:pPr>
              <w:spacing w:after="0"/>
              <w:rPr>
                <w:sz w:val="13"/>
                <w:szCs w:val="13"/>
                <w:color w:val="auto"/>
              </w:rPr>
            </w:pPr>
          </w:p>
        </w:tc>
        <w:tc>
          <w:tcPr>
            <w:tcW w:w="940" w:type="dxa"/>
            <w:vAlign w:val="bottom"/>
            <w:shd w:val="clear" w:color="auto" w:fill="00558C"/>
          </w:tcPr>
          <w:p>
            <w:pPr>
              <w:spacing w:after="0"/>
              <w:rPr>
                <w:sz w:val="13"/>
                <w:szCs w:val="13"/>
                <w:color w:val="auto"/>
              </w:rPr>
            </w:pPr>
          </w:p>
        </w:tc>
        <w:tc>
          <w:tcPr>
            <w:tcW w:w="360" w:type="dxa"/>
            <w:vAlign w:val="bottom"/>
            <w:shd w:val="clear" w:color="auto" w:fill="00558C"/>
          </w:tcPr>
          <w:p>
            <w:pPr>
              <w:spacing w:after="0"/>
              <w:rPr>
                <w:sz w:val="13"/>
                <w:szCs w:val="13"/>
                <w:color w:val="auto"/>
              </w:rPr>
            </w:pPr>
          </w:p>
        </w:tc>
        <w:tc>
          <w:tcPr>
            <w:tcW w:w="740" w:type="dxa"/>
            <w:vAlign w:val="bottom"/>
            <w:shd w:val="clear" w:color="auto" w:fill="00558C"/>
          </w:tcPr>
          <w:p>
            <w:pPr>
              <w:jc w:val="right"/>
              <w:ind w:right="22"/>
              <w:spacing w:after="0"/>
              <w:rPr>
                <w:sz w:val="20"/>
                <w:szCs w:val="20"/>
                <w:color w:val="auto"/>
              </w:rPr>
            </w:pPr>
            <w:r>
              <w:rPr>
                <w:rFonts w:ascii="Arial" w:cs="Arial" w:eastAsia="Arial" w:hAnsi="Arial"/>
                <w:sz w:val="13"/>
                <w:szCs w:val="13"/>
                <w:b w:val="1"/>
                <w:bCs w:val="1"/>
                <w:color w:val="FFFFFF"/>
              </w:rPr>
              <w:t>Shares</w:t>
            </w:r>
          </w:p>
        </w:tc>
        <w:tc>
          <w:tcPr>
            <w:tcW w:w="760" w:type="dxa"/>
            <w:vAlign w:val="bottom"/>
            <w:shd w:val="clear" w:color="auto" w:fill="00558C"/>
          </w:tcPr>
          <w:p>
            <w:pPr>
              <w:jc w:val="right"/>
              <w:ind w:right="42"/>
              <w:spacing w:after="0"/>
              <w:rPr>
                <w:sz w:val="20"/>
                <w:szCs w:val="20"/>
                <w:color w:val="auto"/>
              </w:rPr>
            </w:pPr>
            <w:r>
              <w:rPr>
                <w:rFonts w:ascii="Arial" w:cs="Arial" w:eastAsia="Arial" w:hAnsi="Arial"/>
                <w:sz w:val="13"/>
                <w:szCs w:val="13"/>
                <w:b w:val="1"/>
                <w:bCs w:val="1"/>
                <w:color w:val="FFFFFF"/>
              </w:rPr>
              <w:t>Option</w:t>
            </w:r>
          </w:p>
        </w:tc>
        <w:tc>
          <w:tcPr>
            <w:tcW w:w="200" w:type="dxa"/>
            <w:vAlign w:val="bottom"/>
            <w:vMerge w:val="restart"/>
            <w:shd w:val="clear" w:color="auto" w:fill="00558C"/>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34"/>
        </w:trPr>
        <w:tc>
          <w:tcPr>
            <w:tcW w:w="820" w:type="dxa"/>
            <w:vAlign w:val="bottom"/>
            <w:shd w:val="clear" w:color="auto" w:fill="00558C"/>
          </w:tcPr>
          <w:p>
            <w:pPr>
              <w:spacing w:after="0"/>
              <w:rPr>
                <w:sz w:val="11"/>
                <w:szCs w:val="11"/>
                <w:color w:val="auto"/>
              </w:rPr>
            </w:pPr>
          </w:p>
        </w:tc>
        <w:tc>
          <w:tcPr>
            <w:tcW w:w="640" w:type="dxa"/>
            <w:vAlign w:val="bottom"/>
            <w:shd w:val="clear" w:color="auto" w:fill="00558C"/>
          </w:tcPr>
          <w:p>
            <w:pPr>
              <w:jc w:val="right"/>
              <w:spacing w:after="0" w:line="134" w:lineRule="exact"/>
              <w:rPr>
                <w:sz w:val="20"/>
                <w:szCs w:val="20"/>
                <w:color w:val="auto"/>
              </w:rPr>
            </w:pPr>
            <w:r>
              <w:rPr>
                <w:rFonts w:ascii="Arial" w:cs="Arial" w:eastAsia="Arial" w:hAnsi="Arial"/>
                <w:sz w:val="13"/>
                <w:szCs w:val="13"/>
                <w:color w:val="auto"/>
              </w:rPr>
              <w:t>3/1/2025</w:t>
            </w:r>
          </w:p>
        </w:tc>
        <w:tc>
          <w:tcPr>
            <w:tcW w:w="1120" w:type="dxa"/>
            <w:vAlign w:val="bottom"/>
            <w:shd w:val="clear" w:color="auto" w:fill="00558C"/>
          </w:tcPr>
          <w:p>
            <w:pPr>
              <w:jc w:val="center"/>
              <w:spacing w:after="0" w:line="134" w:lineRule="exact"/>
              <w:rPr>
                <w:sz w:val="20"/>
                <w:szCs w:val="20"/>
                <w:color w:val="auto"/>
              </w:rPr>
            </w:pPr>
            <w:r>
              <w:rPr>
                <w:rFonts w:ascii="Arial" w:cs="Arial" w:eastAsia="Arial" w:hAnsi="Arial"/>
                <w:sz w:val="13"/>
                <w:szCs w:val="13"/>
                <w:color w:val="auto"/>
              </w:rPr>
              <w:t>2/21/2025</w:t>
            </w:r>
          </w:p>
        </w:tc>
        <w:tc>
          <w:tcPr>
            <w:tcW w:w="820" w:type="dxa"/>
            <w:vAlign w:val="bottom"/>
            <w:shd w:val="clear" w:color="auto" w:fill="00558C"/>
          </w:tcPr>
          <w:p>
            <w:pPr>
              <w:jc w:val="right"/>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00558C"/>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shd w:val="clear" w:color="auto" w:fill="00558C"/>
          </w:tcPr>
          <w:p>
            <w:pPr>
              <w:spacing w:after="0"/>
              <w:rPr>
                <w:sz w:val="11"/>
                <w:szCs w:val="11"/>
                <w:color w:val="auto"/>
              </w:rPr>
            </w:pPr>
          </w:p>
        </w:tc>
        <w:tc>
          <w:tcPr>
            <w:tcW w:w="120" w:type="dxa"/>
            <w:vAlign w:val="bottom"/>
            <w:shd w:val="clear" w:color="auto" w:fill="00558C"/>
          </w:tcPr>
          <w:p>
            <w:pPr>
              <w:spacing w:after="0"/>
              <w:rPr>
                <w:sz w:val="11"/>
                <w:szCs w:val="11"/>
                <w:color w:val="auto"/>
              </w:rPr>
            </w:pPr>
          </w:p>
        </w:tc>
        <w:tc>
          <w:tcPr>
            <w:tcW w:w="520" w:type="dxa"/>
            <w:vAlign w:val="bottom"/>
            <w:shd w:val="clear" w:color="auto" w:fill="00558C"/>
          </w:tcPr>
          <w:p>
            <w:pPr>
              <w:jc w:val="right"/>
              <w:spacing w:after="0" w:line="134" w:lineRule="exact"/>
              <w:rPr>
                <w:sz w:val="20"/>
                <w:szCs w:val="20"/>
                <w:color w:val="auto"/>
              </w:rPr>
            </w:pPr>
            <w:r>
              <w:rPr>
                <w:rFonts w:ascii="Arial" w:cs="Arial" w:eastAsia="Arial" w:hAnsi="Arial"/>
                <w:sz w:val="13"/>
                <w:szCs w:val="13"/>
                <w:color w:val="auto"/>
              </w:rPr>
              <w:t>—</w:t>
            </w:r>
          </w:p>
        </w:tc>
        <w:tc>
          <w:tcPr>
            <w:tcW w:w="280" w:type="dxa"/>
            <w:vAlign w:val="bottom"/>
            <w:shd w:val="clear" w:color="auto" w:fill="00558C"/>
          </w:tcPr>
          <w:p>
            <w:pPr>
              <w:spacing w:after="0"/>
              <w:rPr>
                <w:sz w:val="11"/>
                <w:szCs w:val="11"/>
                <w:color w:val="auto"/>
              </w:rPr>
            </w:pPr>
          </w:p>
        </w:tc>
        <w:tc>
          <w:tcPr>
            <w:tcW w:w="840" w:type="dxa"/>
            <w:vAlign w:val="bottom"/>
            <w:shd w:val="clear" w:color="auto" w:fill="00558C"/>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940" w:type="dxa"/>
            <w:vAlign w:val="bottom"/>
            <w:shd w:val="clear" w:color="auto" w:fill="00558C"/>
          </w:tcPr>
          <w:p>
            <w:pPr>
              <w:jc w:val="right"/>
              <w:ind w:right="393"/>
              <w:spacing w:after="0" w:line="134" w:lineRule="exact"/>
              <w:rPr>
                <w:sz w:val="20"/>
                <w:szCs w:val="20"/>
                <w:color w:val="auto"/>
              </w:rPr>
            </w:pPr>
            <w:r>
              <w:rPr>
                <w:rFonts w:ascii="Arial" w:cs="Arial" w:eastAsia="Arial" w:hAnsi="Arial"/>
                <w:sz w:val="13"/>
                <w:szCs w:val="13"/>
                <w:color w:val="auto"/>
              </w:rPr>
              <w:t>—</w:t>
            </w:r>
          </w:p>
        </w:tc>
        <w:tc>
          <w:tcPr>
            <w:tcW w:w="360" w:type="dxa"/>
            <w:vAlign w:val="bottom"/>
            <w:shd w:val="clear" w:color="auto" w:fill="00558C"/>
          </w:tcPr>
          <w:p>
            <w:pPr>
              <w:jc w:val="right"/>
              <w:spacing w:after="0" w:line="134" w:lineRule="exact"/>
              <w:rPr>
                <w:sz w:val="20"/>
                <w:szCs w:val="20"/>
                <w:color w:val="auto"/>
              </w:rPr>
            </w:pPr>
            <w:r>
              <w:rPr>
                <w:rFonts w:ascii="Arial" w:cs="Arial" w:eastAsia="Arial" w:hAnsi="Arial"/>
                <w:sz w:val="13"/>
                <w:szCs w:val="13"/>
                <w:color w:val="auto"/>
              </w:rPr>
              <w:t>—</w:t>
            </w:r>
          </w:p>
        </w:tc>
        <w:tc>
          <w:tcPr>
            <w:tcW w:w="740" w:type="dxa"/>
            <w:vAlign w:val="bottom"/>
            <w:shd w:val="clear" w:color="auto" w:fill="00558C"/>
          </w:tcPr>
          <w:p>
            <w:pPr>
              <w:jc w:val="right"/>
              <w:spacing w:after="0" w:line="134" w:lineRule="exact"/>
              <w:rPr>
                <w:sz w:val="20"/>
                <w:szCs w:val="20"/>
                <w:color w:val="auto"/>
              </w:rPr>
            </w:pPr>
            <w:r>
              <w:rPr>
                <w:rFonts w:ascii="Arial" w:cs="Arial" w:eastAsia="Arial" w:hAnsi="Arial"/>
                <w:sz w:val="13"/>
                <w:szCs w:val="13"/>
                <w:color w:val="auto"/>
              </w:rPr>
              <w:t>836</w:t>
            </w:r>
          </w:p>
        </w:tc>
        <w:tc>
          <w:tcPr>
            <w:tcW w:w="760" w:type="dxa"/>
            <w:vAlign w:val="bottom"/>
            <w:shd w:val="clear" w:color="auto" w:fill="00558C"/>
          </w:tcPr>
          <w:p>
            <w:pPr>
              <w:jc w:val="right"/>
              <w:spacing w:after="0" w:line="134" w:lineRule="exact"/>
              <w:rPr>
                <w:sz w:val="20"/>
                <w:szCs w:val="20"/>
                <w:color w:val="auto"/>
              </w:rPr>
            </w:pPr>
            <w:r>
              <w:rPr>
                <w:rFonts w:ascii="Arial" w:cs="Arial" w:eastAsia="Arial" w:hAnsi="Arial"/>
                <w:sz w:val="13"/>
                <w:szCs w:val="13"/>
                <w:color w:val="auto"/>
              </w:rPr>
              <w:t>127,457</w:t>
            </w:r>
          </w:p>
        </w:tc>
        <w:tc>
          <w:tcPr>
            <w:tcW w:w="200" w:type="dxa"/>
            <w:vAlign w:val="bottom"/>
            <w:vMerge w:val="continue"/>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820" w:type="dxa"/>
            <w:vAlign w:val="bottom"/>
            <w:vMerge w:val="restart"/>
            <w:shd w:val="clear" w:color="auto" w:fill="00558C"/>
          </w:tcPr>
          <w:p>
            <w:pPr>
              <w:ind w:left="140"/>
              <w:spacing w:after="0"/>
              <w:rPr>
                <w:sz w:val="20"/>
                <w:szCs w:val="20"/>
                <w:color w:val="auto"/>
              </w:rPr>
            </w:pPr>
            <w:r>
              <w:rPr>
                <w:rFonts w:ascii="Arial" w:cs="Arial" w:eastAsia="Arial" w:hAnsi="Arial"/>
                <w:sz w:val="13"/>
                <w:szCs w:val="13"/>
                <w:b w:val="1"/>
                <w:bCs w:val="1"/>
                <w:color w:val="00558C"/>
              </w:rPr>
              <w:t>Hope</w:t>
            </w:r>
          </w:p>
        </w:tc>
        <w:tc>
          <w:tcPr>
            <w:tcW w:w="640" w:type="dxa"/>
            <w:vAlign w:val="bottom"/>
            <w:shd w:val="clear" w:color="auto" w:fill="00558C"/>
          </w:tcPr>
          <w:p>
            <w:pPr>
              <w:spacing w:after="0" w:line="20" w:lineRule="exact"/>
              <w:rPr>
                <w:sz w:val="1"/>
                <w:szCs w:val="1"/>
                <w:color w:val="auto"/>
              </w:rPr>
            </w:pPr>
          </w:p>
        </w:tc>
        <w:tc>
          <w:tcPr>
            <w:tcW w:w="1120" w:type="dxa"/>
            <w:vAlign w:val="bottom"/>
            <w:shd w:val="clear" w:color="auto" w:fill="00558C"/>
          </w:tcPr>
          <w:p>
            <w:pPr>
              <w:jc w:val="center"/>
              <w:ind w:right="1"/>
              <w:spacing w:after="0" w:line="21" w:lineRule="exact"/>
              <w:rPr>
                <w:sz w:val="20"/>
                <w:szCs w:val="20"/>
                <w:color w:val="auto"/>
              </w:rPr>
            </w:pPr>
            <w:r>
              <w:rPr>
                <w:rFonts w:ascii="Arial" w:cs="Arial" w:eastAsia="Arial" w:hAnsi="Arial"/>
                <w:sz w:val="2"/>
                <w:szCs w:val="2"/>
                <w:b w:val="1"/>
                <w:bCs w:val="1"/>
                <w:color w:val="FFFFFF"/>
              </w:rPr>
              <w:t>Committee</w:t>
            </w:r>
          </w:p>
        </w:tc>
        <w:tc>
          <w:tcPr>
            <w:tcW w:w="820" w:type="dxa"/>
            <w:vAlign w:val="bottom"/>
            <w:shd w:val="clear" w:color="auto" w:fill="00558C"/>
          </w:tcPr>
          <w:p>
            <w:pPr>
              <w:spacing w:after="0" w:line="20" w:lineRule="exact"/>
              <w:rPr>
                <w:sz w:val="1"/>
                <w:szCs w:val="1"/>
                <w:color w:val="auto"/>
              </w:rPr>
            </w:pPr>
          </w:p>
        </w:tc>
        <w:tc>
          <w:tcPr>
            <w:tcW w:w="760" w:type="dxa"/>
            <w:vAlign w:val="bottom"/>
            <w:shd w:val="clear" w:color="auto" w:fill="00558C"/>
          </w:tcPr>
          <w:p>
            <w:pPr>
              <w:spacing w:after="0" w:line="20" w:lineRule="exact"/>
              <w:rPr>
                <w:sz w:val="1"/>
                <w:szCs w:val="1"/>
                <w:color w:val="auto"/>
              </w:rPr>
            </w:pPr>
          </w:p>
        </w:tc>
        <w:tc>
          <w:tcPr>
            <w:tcW w:w="160" w:type="dxa"/>
            <w:vAlign w:val="bottom"/>
            <w:shd w:val="clear" w:color="auto" w:fill="00558C"/>
          </w:tcPr>
          <w:p>
            <w:pPr>
              <w:spacing w:after="0" w:line="20" w:lineRule="exact"/>
              <w:rPr>
                <w:sz w:val="1"/>
                <w:szCs w:val="1"/>
                <w:color w:val="auto"/>
              </w:rPr>
            </w:pPr>
          </w:p>
        </w:tc>
        <w:tc>
          <w:tcPr>
            <w:tcW w:w="120" w:type="dxa"/>
            <w:vAlign w:val="bottom"/>
            <w:shd w:val="clear" w:color="auto" w:fill="00558C"/>
          </w:tcPr>
          <w:p>
            <w:pPr>
              <w:spacing w:after="0" w:line="20" w:lineRule="exact"/>
              <w:rPr>
                <w:sz w:val="1"/>
                <w:szCs w:val="1"/>
                <w:color w:val="auto"/>
              </w:rPr>
            </w:pPr>
          </w:p>
        </w:tc>
        <w:tc>
          <w:tcPr>
            <w:tcW w:w="520" w:type="dxa"/>
            <w:vAlign w:val="bottom"/>
            <w:shd w:val="clear" w:color="auto" w:fill="00558C"/>
          </w:tcPr>
          <w:p>
            <w:pPr>
              <w:spacing w:after="0" w:line="20" w:lineRule="exact"/>
              <w:rPr>
                <w:sz w:val="1"/>
                <w:szCs w:val="1"/>
                <w:color w:val="auto"/>
              </w:rPr>
            </w:pPr>
          </w:p>
        </w:tc>
        <w:tc>
          <w:tcPr>
            <w:tcW w:w="280" w:type="dxa"/>
            <w:vAlign w:val="bottom"/>
            <w:shd w:val="clear" w:color="auto" w:fill="00558C"/>
          </w:tcPr>
          <w:p>
            <w:pPr>
              <w:spacing w:after="0" w:line="20" w:lineRule="exact"/>
              <w:rPr>
                <w:sz w:val="1"/>
                <w:szCs w:val="1"/>
                <w:color w:val="auto"/>
              </w:rPr>
            </w:pPr>
          </w:p>
        </w:tc>
        <w:tc>
          <w:tcPr>
            <w:tcW w:w="840" w:type="dxa"/>
            <w:vAlign w:val="bottom"/>
            <w:shd w:val="clear" w:color="auto" w:fill="00558C"/>
          </w:tcPr>
          <w:p>
            <w:pPr>
              <w:spacing w:after="0" w:line="20" w:lineRule="exact"/>
              <w:rPr>
                <w:sz w:val="1"/>
                <w:szCs w:val="1"/>
                <w:color w:val="auto"/>
              </w:rPr>
            </w:pPr>
          </w:p>
        </w:tc>
        <w:tc>
          <w:tcPr>
            <w:tcW w:w="940" w:type="dxa"/>
            <w:vAlign w:val="bottom"/>
            <w:shd w:val="clear" w:color="auto" w:fill="00558C"/>
          </w:tcPr>
          <w:p>
            <w:pPr>
              <w:spacing w:after="0" w:line="20" w:lineRule="exact"/>
              <w:rPr>
                <w:sz w:val="1"/>
                <w:szCs w:val="1"/>
                <w:color w:val="auto"/>
              </w:rPr>
            </w:pPr>
          </w:p>
        </w:tc>
        <w:tc>
          <w:tcPr>
            <w:tcW w:w="360" w:type="dxa"/>
            <w:vAlign w:val="bottom"/>
            <w:shd w:val="clear" w:color="auto" w:fill="00558C"/>
          </w:tcPr>
          <w:p>
            <w:pPr>
              <w:spacing w:after="0" w:line="20" w:lineRule="exact"/>
              <w:rPr>
                <w:sz w:val="1"/>
                <w:szCs w:val="1"/>
                <w:color w:val="auto"/>
              </w:rPr>
            </w:pPr>
          </w:p>
        </w:tc>
        <w:tc>
          <w:tcPr>
            <w:tcW w:w="740" w:type="dxa"/>
            <w:vAlign w:val="bottom"/>
            <w:shd w:val="clear" w:color="auto" w:fill="00558C"/>
          </w:tcPr>
          <w:p>
            <w:pPr>
              <w:jc w:val="right"/>
              <w:ind w:right="42"/>
              <w:spacing w:after="0" w:line="21" w:lineRule="exact"/>
              <w:rPr>
                <w:sz w:val="20"/>
                <w:szCs w:val="20"/>
                <w:color w:val="auto"/>
              </w:rPr>
            </w:pPr>
            <w:r>
              <w:rPr>
                <w:rFonts w:ascii="Arial" w:cs="Arial" w:eastAsia="Arial" w:hAnsi="Arial"/>
                <w:sz w:val="2"/>
                <w:szCs w:val="2"/>
                <w:b w:val="1"/>
                <w:bCs w:val="1"/>
                <w:color w:val="FFFFFF"/>
              </w:rPr>
              <w:t>of Stock</w:t>
            </w:r>
          </w:p>
        </w:tc>
        <w:tc>
          <w:tcPr>
            <w:tcW w:w="760" w:type="dxa"/>
            <w:vAlign w:val="bottom"/>
            <w:shd w:val="clear" w:color="auto" w:fill="00558C"/>
          </w:tcPr>
          <w:p>
            <w:pPr>
              <w:jc w:val="right"/>
              <w:ind w:right="42"/>
              <w:spacing w:after="0" w:line="21" w:lineRule="exact"/>
              <w:rPr>
                <w:sz w:val="20"/>
                <w:szCs w:val="20"/>
                <w:color w:val="auto"/>
              </w:rPr>
            </w:pPr>
            <w:r>
              <w:rPr>
                <w:rFonts w:ascii="Arial" w:cs="Arial" w:eastAsia="Arial" w:hAnsi="Arial"/>
                <w:sz w:val="2"/>
                <w:szCs w:val="2"/>
                <w:b w:val="1"/>
                <w:bCs w:val="1"/>
                <w:color w:val="FFFFFF"/>
              </w:rPr>
              <w:t>Awards</w:t>
            </w:r>
          </w:p>
        </w:tc>
        <w:tc>
          <w:tcPr>
            <w:tcW w:w="200" w:type="dxa"/>
            <w:vAlign w:val="bottom"/>
            <w:shd w:val="clear" w:color="auto" w:fill="00558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0" w:type="dxa"/>
            <w:vAlign w:val="bottom"/>
            <w:vMerge w:val="continue"/>
            <w:shd w:val="clear" w:color="auto" w:fill="00558C"/>
          </w:tcPr>
          <w:p>
            <w:pPr>
              <w:spacing w:after="0"/>
              <w:rPr>
                <w:sz w:val="13"/>
                <w:szCs w:val="13"/>
                <w:color w:val="auto"/>
              </w:rPr>
            </w:pPr>
          </w:p>
        </w:tc>
        <w:tc>
          <w:tcPr>
            <w:tcW w:w="640" w:type="dxa"/>
            <w:vAlign w:val="bottom"/>
            <w:shd w:val="clear" w:color="auto" w:fill="00558C"/>
          </w:tcPr>
          <w:p>
            <w:pPr>
              <w:spacing w:after="0"/>
              <w:rPr>
                <w:sz w:val="13"/>
                <w:szCs w:val="13"/>
                <w:color w:val="auto"/>
              </w:rPr>
            </w:pPr>
          </w:p>
        </w:tc>
        <w:tc>
          <w:tcPr>
            <w:tcW w:w="11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Action</w:t>
            </w:r>
          </w:p>
        </w:tc>
        <w:tc>
          <w:tcPr>
            <w:tcW w:w="820" w:type="dxa"/>
            <w:vAlign w:val="bottom"/>
            <w:shd w:val="clear" w:color="auto" w:fill="00558C"/>
          </w:tcPr>
          <w:p>
            <w:pPr>
              <w:spacing w:after="0"/>
              <w:rPr>
                <w:sz w:val="13"/>
                <w:szCs w:val="13"/>
                <w:color w:val="auto"/>
              </w:rPr>
            </w:pPr>
          </w:p>
        </w:tc>
        <w:tc>
          <w:tcPr>
            <w:tcW w:w="760" w:type="dxa"/>
            <w:vAlign w:val="bottom"/>
            <w:shd w:val="clear" w:color="auto" w:fill="00558C"/>
          </w:tcPr>
          <w:p>
            <w:pPr>
              <w:spacing w:after="0"/>
              <w:rPr>
                <w:sz w:val="13"/>
                <w:szCs w:val="13"/>
                <w:color w:val="auto"/>
              </w:rPr>
            </w:pPr>
          </w:p>
        </w:tc>
        <w:tc>
          <w:tcPr>
            <w:tcW w:w="160" w:type="dxa"/>
            <w:vAlign w:val="bottom"/>
            <w:shd w:val="clear" w:color="auto" w:fill="00558C"/>
          </w:tcPr>
          <w:p>
            <w:pPr>
              <w:spacing w:after="0"/>
              <w:rPr>
                <w:sz w:val="13"/>
                <w:szCs w:val="13"/>
                <w:color w:val="auto"/>
              </w:rPr>
            </w:pPr>
          </w:p>
        </w:tc>
        <w:tc>
          <w:tcPr>
            <w:tcW w:w="120" w:type="dxa"/>
            <w:vAlign w:val="bottom"/>
            <w:shd w:val="clear" w:color="auto" w:fill="00558C"/>
          </w:tcPr>
          <w:p>
            <w:pPr>
              <w:spacing w:after="0"/>
              <w:rPr>
                <w:sz w:val="13"/>
                <w:szCs w:val="13"/>
                <w:color w:val="auto"/>
              </w:rPr>
            </w:pPr>
          </w:p>
        </w:tc>
        <w:tc>
          <w:tcPr>
            <w:tcW w:w="520" w:type="dxa"/>
            <w:vAlign w:val="bottom"/>
            <w:shd w:val="clear" w:color="auto" w:fill="00558C"/>
          </w:tcPr>
          <w:p>
            <w:pPr>
              <w:spacing w:after="0"/>
              <w:rPr>
                <w:sz w:val="13"/>
                <w:szCs w:val="13"/>
                <w:color w:val="auto"/>
              </w:rPr>
            </w:pPr>
          </w:p>
        </w:tc>
        <w:tc>
          <w:tcPr>
            <w:tcW w:w="280" w:type="dxa"/>
            <w:vAlign w:val="bottom"/>
            <w:shd w:val="clear" w:color="auto" w:fill="00558C"/>
          </w:tcPr>
          <w:p>
            <w:pPr>
              <w:spacing w:after="0"/>
              <w:rPr>
                <w:sz w:val="13"/>
                <w:szCs w:val="13"/>
                <w:color w:val="auto"/>
              </w:rPr>
            </w:pPr>
          </w:p>
        </w:tc>
        <w:tc>
          <w:tcPr>
            <w:tcW w:w="840" w:type="dxa"/>
            <w:vAlign w:val="bottom"/>
            <w:shd w:val="clear" w:color="auto" w:fill="00558C"/>
          </w:tcPr>
          <w:p>
            <w:pPr>
              <w:spacing w:after="0"/>
              <w:rPr>
                <w:sz w:val="13"/>
                <w:szCs w:val="13"/>
                <w:color w:val="auto"/>
              </w:rPr>
            </w:pPr>
          </w:p>
        </w:tc>
        <w:tc>
          <w:tcPr>
            <w:tcW w:w="940" w:type="dxa"/>
            <w:vAlign w:val="bottom"/>
            <w:shd w:val="clear" w:color="auto" w:fill="00558C"/>
          </w:tcPr>
          <w:p>
            <w:pPr>
              <w:spacing w:after="0"/>
              <w:rPr>
                <w:sz w:val="13"/>
                <w:szCs w:val="13"/>
                <w:color w:val="auto"/>
              </w:rPr>
            </w:pPr>
          </w:p>
        </w:tc>
        <w:tc>
          <w:tcPr>
            <w:tcW w:w="360" w:type="dxa"/>
            <w:vAlign w:val="bottom"/>
            <w:shd w:val="clear" w:color="auto" w:fill="00558C"/>
          </w:tcPr>
          <w:p>
            <w:pPr>
              <w:spacing w:after="0"/>
              <w:rPr>
                <w:sz w:val="13"/>
                <w:szCs w:val="13"/>
                <w:color w:val="auto"/>
              </w:rPr>
            </w:pPr>
          </w:p>
        </w:tc>
        <w:tc>
          <w:tcPr>
            <w:tcW w:w="740" w:type="dxa"/>
            <w:vAlign w:val="bottom"/>
            <w:shd w:val="clear" w:color="auto" w:fill="00558C"/>
          </w:tcPr>
          <w:p>
            <w:pPr>
              <w:jc w:val="right"/>
              <w:ind w:right="22"/>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558C"/>
          </w:tcPr>
          <w:p>
            <w:pPr>
              <w:jc w:val="right"/>
              <w:ind w:right="2"/>
              <w:spacing w:after="0" w:line="155" w:lineRule="exact"/>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vertAlign w:val="superscript"/>
              </w:rPr>
              <w:t>(5)</w:t>
            </w:r>
          </w:p>
        </w:tc>
        <w:tc>
          <w:tcPr>
            <w:tcW w:w="200" w:type="dxa"/>
            <w:vAlign w:val="bottom"/>
            <w:shd w:val="clear" w:color="auto" w:fill="00558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00558C"/>
              </w:rPr>
              <w:t>Katz</w:t>
            </w:r>
          </w:p>
        </w:tc>
        <w:tc>
          <w:tcPr>
            <w:tcW w:w="640" w:type="dxa"/>
            <w:vAlign w:val="bottom"/>
            <w:shd w:val="clear" w:color="auto" w:fill="00558C"/>
          </w:tcPr>
          <w:p>
            <w:pPr>
              <w:spacing w:after="0"/>
              <w:rPr>
                <w:sz w:val="14"/>
                <w:szCs w:val="14"/>
                <w:color w:val="auto"/>
              </w:rPr>
            </w:pPr>
          </w:p>
        </w:tc>
        <w:tc>
          <w:tcPr>
            <w:tcW w:w="112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760" w:type="dxa"/>
            <w:vAlign w:val="bottom"/>
            <w:shd w:val="clear" w:color="auto" w:fill="00558C"/>
          </w:tcPr>
          <w:p>
            <w:pPr>
              <w:spacing w:after="0"/>
              <w:rPr>
                <w:sz w:val="14"/>
                <w:szCs w:val="14"/>
                <w:color w:val="auto"/>
              </w:rPr>
            </w:pPr>
          </w:p>
        </w:tc>
        <w:tc>
          <w:tcPr>
            <w:tcW w:w="160" w:type="dxa"/>
            <w:vAlign w:val="bottom"/>
            <w:shd w:val="clear" w:color="auto" w:fill="00558C"/>
          </w:tcPr>
          <w:p>
            <w:pPr>
              <w:spacing w:after="0"/>
              <w:rPr>
                <w:sz w:val="14"/>
                <w:szCs w:val="14"/>
                <w:color w:val="auto"/>
              </w:rPr>
            </w:pPr>
          </w:p>
        </w:tc>
        <w:tc>
          <w:tcPr>
            <w:tcW w:w="120" w:type="dxa"/>
            <w:vAlign w:val="bottom"/>
            <w:shd w:val="clear" w:color="auto" w:fill="00558C"/>
          </w:tcPr>
          <w:p>
            <w:pPr>
              <w:spacing w:after="0"/>
              <w:rPr>
                <w:sz w:val="14"/>
                <w:szCs w:val="14"/>
                <w:color w:val="auto"/>
              </w:rPr>
            </w:pPr>
          </w:p>
        </w:tc>
        <w:tc>
          <w:tcPr>
            <w:tcW w:w="520" w:type="dxa"/>
            <w:vAlign w:val="bottom"/>
            <w:shd w:val="clear" w:color="auto" w:fill="00558C"/>
          </w:tcPr>
          <w:p>
            <w:pPr>
              <w:spacing w:after="0"/>
              <w:rPr>
                <w:sz w:val="14"/>
                <w:szCs w:val="14"/>
                <w:color w:val="auto"/>
              </w:rPr>
            </w:pPr>
          </w:p>
        </w:tc>
        <w:tc>
          <w:tcPr>
            <w:tcW w:w="28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940" w:type="dxa"/>
            <w:vAlign w:val="bottom"/>
            <w:shd w:val="clear" w:color="auto" w:fill="00558C"/>
          </w:tcPr>
          <w:p>
            <w:pPr>
              <w:spacing w:after="0"/>
              <w:rPr>
                <w:sz w:val="14"/>
                <w:szCs w:val="14"/>
                <w:color w:val="auto"/>
              </w:rPr>
            </w:pPr>
          </w:p>
        </w:tc>
        <w:tc>
          <w:tcPr>
            <w:tcW w:w="3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760" w:type="dxa"/>
            <w:vAlign w:val="bottom"/>
            <w:shd w:val="clear" w:color="auto" w:fill="00558C"/>
          </w:tcPr>
          <w:p>
            <w:pPr>
              <w:spacing w:after="0"/>
              <w:rPr>
                <w:sz w:val="14"/>
                <w:szCs w:val="14"/>
                <w:color w:val="auto"/>
              </w:rPr>
            </w:pPr>
          </w:p>
        </w:tc>
        <w:tc>
          <w:tcPr>
            <w:tcW w:w="2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6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3/1/2025</w:t>
            </w:r>
          </w:p>
        </w:tc>
        <w:tc>
          <w:tcPr>
            <w:tcW w:w="112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2/21/2025</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2F3F2"/>
          </w:tcPr>
          <w:p>
            <w:pPr>
              <w:spacing w:after="0"/>
              <w:rPr>
                <w:sz w:val="15"/>
                <w:szCs w:val="15"/>
                <w:color w:val="auto"/>
              </w:rPr>
            </w:pPr>
          </w:p>
        </w:tc>
        <w:tc>
          <w:tcPr>
            <w:tcW w:w="120" w:type="dxa"/>
            <w:vAlign w:val="bottom"/>
            <w:shd w:val="clear" w:color="auto" w:fill="F2F3F2"/>
          </w:tcPr>
          <w:p>
            <w:pPr>
              <w:spacing w:after="0"/>
              <w:rPr>
                <w:sz w:val="15"/>
                <w:szCs w:val="15"/>
                <w:color w:val="auto"/>
              </w:rPr>
            </w:pPr>
          </w:p>
        </w:tc>
        <w:tc>
          <w:tcPr>
            <w:tcW w:w="5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F2F3F2"/>
          </w:tcPr>
          <w:p>
            <w:pPr>
              <w:spacing w:after="0"/>
              <w:rPr>
                <w:sz w:val="15"/>
                <w:szCs w:val="15"/>
                <w:color w:val="auto"/>
              </w:rPr>
            </w:pPr>
          </w:p>
        </w:tc>
        <w:tc>
          <w:tcPr>
            <w:tcW w:w="840" w:type="dxa"/>
            <w:vAlign w:val="bottom"/>
            <w:shd w:val="clear" w:color="auto" w:fill="F2F3F2"/>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shd w:val="clear" w:color="auto" w:fill="F2F3F2"/>
          </w:tcPr>
          <w:p>
            <w:pPr>
              <w:jc w:val="right"/>
              <w:ind w:right="393"/>
              <w:spacing w:after="0"/>
              <w:rPr>
                <w:sz w:val="20"/>
                <w:szCs w:val="20"/>
                <w:color w:val="auto"/>
              </w:rPr>
            </w:pPr>
            <w:r>
              <w:rPr>
                <w:rFonts w:ascii="Arial" w:cs="Arial" w:eastAsia="Arial" w:hAnsi="Arial"/>
                <w:sz w:val="13"/>
                <w:szCs w:val="13"/>
                <w:color w:val="auto"/>
              </w:rPr>
              <w:t>—</w:t>
            </w:r>
          </w:p>
        </w:tc>
        <w:tc>
          <w:tcPr>
            <w:tcW w:w="3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656</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100,014</w:t>
            </w:r>
          </w:p>
        </w:tc>
        <w:tc>
          <w:tcPr>
            <w:tcW w:w="200" w:type="dxa"/>
            <w:vAlign w:val="bottom"/>
            <w:shd w:val="clear" w:color="auto" w:fill="F2F3F2"/>
          </w:tcPr>
          <w:p>
            <w:pPr>
              <w:jc w:val="right"/>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69"/>
        </w:trPr>
        <w:tc>
          <w:tcPr>
            <w:tcW w:w="820" w:type="dxa"/>
            <w:vAlign w:val="bottom"/>
          </w:tcPr>
          <w:p>
            <w:pPr>
              <w:spacing w:after="0"/>
              <w:rPr>
                <w:sz w:val="23"/>
                <w:szCs w:val="23"/>
                <w:color w:val="auto"/>
              </w:rPr>
            </w:pPr>
          </w:p>
        </w:tc>
        <w:tc>
          <w:tcPr>
            <w:tcW w:w="640" w:type="dxa"/>
            <w:vAlign w:val="bottom"/>
            <w:shd w:val="clear" w:color="auto" w:fill="F2F3F2"/>
          </w:tcPr>
          <w:p>
            <w:pPr>
              <w:spacing w:after="0"/>
              <w:rPr>
                <w:sz w:val="23"/>
                <w:szCs w:val="23"/>
                <w:color w:val="auto"/>
              </w:rPr>
            </w:pPr>
          </w:p>
        </w:tc>
        <w:tc>
          <w:tcPr>
            <w:tcW w:w="1120" w:type="dxa"/>
            <w:vAlign w:val="bottom"/>
            <w:shd w:val="clear" w:color="auto" w:fill="F2F3F2"/>
          </w:tcPr>
          <w:p>
            <w:pPr>
              <w:spacing w:after="0"/>
              <w:rPr>
                <w:sz w:val="23"/>
                <w:szCs w:val="23"/>
                <w:color w:val="auto"/>
              </w:rPr>
            </w:pPr>
          </w:p>
        </w:tc>
        <w:tc>
          <w:tcPr>
            <w:tcW w:w="820" w:type="dxa"/>
            <w:vAlign w:val="bottom"/>
            <w:vMerge w:val="restart"/>
            <w:shd w:val="clear" w:color="auto" w:fill="F2F3F2"/>
          </w:tcPr>
          <w:p>
            <w:pPr>
              <w:jc w:val="right"/>
              <w:spacing w:after="0"/>
              <w:rPr>
                <w:sz w:val="20"/>
                <w:szCs w:val="20"/>
                <w:color w:val="auto"/>
              </w:rPr>
            </w:pPr>
            <w:r>
              <w:rPr>
                <w:rFonts w:ascii="Arial" w:cs="Arial" w:eastAsia="Arial" w:hAnsi="Arial"/>
                <w:sz w:val="13"/>
                <w:szCs w:val="13"/>
                <w:color w:val="auto"/>
              </w:rPr>
              <w:t>31,875</w:t>
            </w:r>
          </w:p>
        </w:tc>
        <w:tc>
          <w:tcPr>
            <w:tcW w:w="760" w:type="dxa"/>
            <w:vAlign w:val="bottom"/>
            <w:vMerge w:val="restart"/>
            <w:shd w:val="clear" w:color="auto" w:fill="F2F3F2"/>
          </w:tcPr>
          <w:p>
            <w:pPr>
              <w:jc w:val="right"/>
              <w:spacing w:after="0"/>
              <w:rPr>
                <w:sz w:val="20"/>
                <w:szCs w:val="20"/>
                <w:color w:val="auto"/>
              </w:rPr>
            </w:pPr>
            <w:r>
              <w:rPr>
                <w:rFonts w:ascii="Arial" w:cs="Arial" w:eastAsia="Arial" w:hAnsi="Arial"/>
                <w:sz w:val="13"/>
                <w:szCs w:val="13"/>
                <w:color w:val="auto"/>
              </w:rPr>
              <w:t>318,750</w:t>
            </w:r>
          </w:p>
        </w:tc>
        <w:tc>
          <w:tcPr>
            <w:tcW w:w="160" w:type="dxa"/>
            <w:vAlign w:val="bottom"/>
            <w:shd w:val="clear" w:color="auto" w:fill="F2F3F2"/>
          </w:tcPr>
          <w:p>
            <w:pPr>
              <w:spacing w:after="0"/>
              <w:rPr>
                <w:sz w:val="23"/>
                <w:szCs w:val="23"/>
                <w:color w:val="auto"/>
              </w:rPr>
            </w:pPr>
          </w:p>
        </w:tc>
        <w:tc>
          <w:tcPr>
            <w:tcW w:w="120" w:type="dxa"/>
            <w:vAlign w:val="bottom"/>
            <w:shd w:val="clear" w:color="auto" w:fill="F2F3F2"/>
          </w:tcPr>
          <w:p>
            <w:pPr>
              <w:spacing w:after="0"/>
              <w:rPr>
                <w:sz w:val="23"/>
                <w:szCs w:val="23"/>
                <w:color w:val="auto"/>
              </w:rPr>
            </w:pPr>
          </w:p>
        </w:tc>
        <w:tc>
          <w:tcPr>
            <w:tcW w:w="520" w:type="dxa"/>
            <w:vAlign w:val="bottom"/>
            <w:vMerge w:val="restart"/>
            <w:shd w:val="clear" w:color="auto" w:fill="F2F3F2"/>
          </w:tcPr>
          <w:p>
            <w:pPr>
              <w:jc w:val="right"/>
              <w:spacing w:after="0"/>
              <w:rPr>
                <w:sz w:val="20"/>
                <w:szCs w:val="20"/>
                <w:color w:val="auto"/>
              </w:rPr>
            </w:pPr>
            <w:r>
              <w:rPr>
                <w:rFonts w:ascii="Arial" w:cs="Arial" w:eastAsia="Arial" w:hAnsi="Arial"/>
                <w:sz w:val="13"/>
                <w:szCs w:val="13"/>
                <w:color w:val="auto"/>
              </w:rPr>
              <w:t>637,500</w:t>
            </w:r>
          </w:p>
        </w:tc>
        <w:tc>
          <w:tcPr>
            <w:tcW w:w="280" w:type="dxa"/>
            <w:vAlign w:val="bottom"/>
            <w:vMerge w:val="restart"/>
            <w:shd w:val="clear" w:color="auto" w:fill="F2F3F2"/>
          </w:tcPr>
          <w:p>
            <w:pPr>
              <w:jc w:val="right"/>
              <w:ind w:right="76"/>
              <w:spacing w:after="0"/>
              <w:rPr>
                <w:sz w:val="20"/>
                <w:szCs w:val="20"/>
                <w:color w:val="auto"/>
              </w:rPr>
            </w:pPr>
            <w:r>
              <w:rPr>
                <w:rFonts w:ascii="Arial" w:cs="Arial" w:eastAsia="Arial" w:hAnsi="Arial"/>
                <w:sz w:val="9"/>
                <w:szCs w:val="9"/>
                <w:color w:val="auto"/>
              </w:rPr>
              <w:t>(1)</w:t>
            </w:r>
          </w:p>
        </w:tc>
        <w:tc>
          <w:tcPr>
            <w:tcW w:w="840" w:type="dxa"/>
            <w:vAlign w:val="bottom"/>
            <w:vMerge w:val="restart"/>
            <w:shd w:val="clear" w:color="auto" w:fill="F2F3F2"/>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F2F3F2"/>
          </w:tcPr>
          <w:p>
            <w:pPr>
              <w:jc w:val="right"/>
              <w:ind w:right="393"/>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F2F3F2"/>
          </w:tcPr>
          <w:p>
            <w:pPr>
              <w:jc w:val="right"/>
              <w:ind w:righ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shd w:val="clear" w:color="auto" w:fill="F2F3F2"/>
          </w:tcPr>
          <w:p>
            <w:pPr>
              <w:spacing w:after="0"/>
              <w:rPr>
                <w:sz w:val="13"/>
                <w:szCs w:val="13"/>
                <w:color w:val="auto"/>
              </w:rPr>
            </w:pPr>
          </w:p>
        </w:tc>
        <w:tc>
          <w:tcPr>
            <w:tcW w:w="820" w:type="dxa"/>
            <w:vAlign w:val="bottom"/>
            <w:vMerge w:val="continue"/>
            <w:shd w:val="clear" w:color="auto" w:fill="F2F3F2"/>
          </w:tcPr>
          <w:p>
            <w:pPr>
              <w:spacing w:after="0"/>
              <w:rPr>
                <w:sz w:val="13"/>
                <w:szCs w:val="13"/>
                <w:color w:val="auto"/>
              </w:rPr>
            </w:pPr>
          </w:p>
        </w:tc>
        <w:tc>
          <w:tcPr>
            <w:tcW w:w="760" w:type="dxa"/>
            <w:vAlign w:val="bottom"/>
            <w:vMerge w:val="continue"/>
            <w:shd w:val="clear" w:color="auto" w:fill="F2F3F2"/>
          </w:tcPr>
          <w:p>
            <w:pPr>
              <w:spacing w:after="0"/>
              <w:rPr>
                <w:sz w:val="13"/>
                <w:szCs w:val="13"/>
                <w:color w:val="auto"/>
              </w:rPr>
            </w:pPr>
          </w:p>
        </w:tc>
        <w:tc>
          <w:tcPr>
            <w:tcW w:w="160" w:type="dxa"/>
            <w:vAlign w:val="bottom"/>
            <w:shd w:val="clear" w:color="auto" w:fill="F2F3F2"/>
          </w:tcPr>
          <w:p>
            <w:pPr>
              <w:spacing w:after="0"/>
              <w:rPr>
                <w:sz w:val="13"/>
                <w:szCs w:val="13"/>
                <w:color w:val="auto"/>
              </w:rPr>
            </w:pPr>
          </w:p>
        </w:tc>
        <w:tc>
          <w:tcPr>
            <w:tcW w:w="120" w:type="dxa"/>
            <w:vAlign w:val="bottom"/>
            <w:shd w:val="clear" w:color="auto" w:fill="F2F3F2"/>
          </w:tcPr>
          <w:p>
            <w:pPr>
              <w:spacing w:after="0"/>
              <w:rPr>
                <w:sz w:val="13"/>
                <w:szCs w:val="13"/>
                <w:color w:val="auto"/>
              </w:rPr>
            </w:pPr>
          </w:p>
        </w:tc>
        <w:tc>
          <w:tcPr>
            <w:tcW w:w="520" w:type="dxa"/>
            <w:vAlign w:val="bottom"/>
            <w:vMerge w:val="continue"/>
            <w:shd w:val="clear" w:color="auto" w:fill="F2F3F2"/>
          </w:tcPr>
          <w:p>
            <w:pPr>
              <w:spacing w:after="0"/>
              <w:rPr>
                <w:sz w:val="13"/>
                <w:szCs w:val="13"/>
                <w:color w:val="auto"/>
              </w:rPr>
            </w:pPr>
          </w:p>
        </w:tc>
        <w:tc>
          <w:tcPr>
            <w:tcW w:w="280" w:type="dxa"/>
            <w:vAlign w:val="bottom"/>
            <w:vMerge w:val="continue"/>
            <w:shd w:val="clear" w:color="auto" w:fill="F2F3F2"/>
          </w:tcPr>
          <w:p>
            <w:pPr>
              <w:spacing w:after="0"/>
              <w:rPr>
                <w:sz w:val="13"/>
                <w:szCs w:val="13"/>
                <w:color w:val="auto"/>
              </w:rPr>
            </w:pPr>
          </w:p>
        </w:tc>
        <w:tc>
          <w:tcPr>
            <w:tcW w:w="840" w:type="dxa"/>
            <w:vAlign w:val="bottom"/>
            <w:vMerge w:val="continue"/>
            <w:shd w:val="clear" w:color="auto" w:fill="F2F3F2"/>
          </w:tcPr>
          <w:p>
            <w:pPr>
              <w:spacing w:after="0"/>
              <w:rPr>
                <w:sz w:val="13"/>
                <w:szCs w:val="13"/>
                <w:color w:val="auto"/>
              </w:rPr>
            </w:pPr>
          </w:p>
        </w:tc>
        <w:tc>
          <w:tcPr>
            <w:tcW w:w="940" w:type="dxa"/>
            <w:vAlign w:val="bottom"/>
            <w:vMerge w:val="continue"/>
            <w:shd w:val="clear" w:color="auto" w:fill="F2F3F2"/>
          </w:tcPr>
          <w:p>
            <w:pPr>
              <w:spacing w:after="0"/>
              <w:rPr>
                <w:sz w:val="13"/>
                <w:szCs w:val="13"/>
                <w:color w:val="auto"/>
              </w:rPr>
            </w:pPr>
          </w:p>
        </w:tc>
        <w:tc>
          <w:tcPr>
            <w:tcW w:w="360" w:type="dxa"/>
            <w:vAlign w:val="bottom"/>
            <w:vMerge w:val="continue"/>
            <w:shd w:val="clear" w:color="auto" w:fill="F2F3F2"/>
          </w:tcPr>
          <w:p>
            <w:pPr>
              <w:spacing w:after="0"/>
              <w:rPr>
                <w:sz w:val="13"/>
                <w:szCs w:val="13"/>
                <w:color w:val="auto"/>
              </w:rPr>
            </w:pPr>
          </w:p>
        </w:tc>
        <w:tc>
          <w:tcPr>
            <w:tcW w:w="740" w:type="dxa"/>
            <w:vAlign w:val="bottom"/>
            <w:vMerge w:val="continue"/>
            <w:shd w:val="clear" w:color="auto" w:fill="F2F3F2"/>
          </w:tcPr>
          <w:p>
            <w:pPr>
              <w:spacing w:after="0"/>
              <w:rPr>
                <w:sz w:val="13"/>
                <w:szCs w:val="13"/>
                <w:color w:val="auto"/>
              </w:rPr>
            </w:pPr>
          </w:p>
        </w:tc>
        <w:tc>
          <w:tcPr>
            <w:tcW w:w="960" w:type="dxa"/>
            <w:vAlign w:val="bottom"/>
            <w:gridSpan w:val="2"/>
            <w:vMerge w:val="continue"/>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shd w:val="clear" w:color="auto" w:fill="F2F3F2"/>
          </w:tcPr>
          <w:p>
            <w:pPr>
              <w:spacing w:after="0"/>
              <w:rPr>
                <w:sz w:val="24"/>
                <w:szCs w:val="24"/>
                <w:color w:val="auto"/>
              </w:rPr>
            </w:pPr>
          </w:p>
        </w:tc>
        <w:tc>
          <w:tcPr>
            <w:tcW w:w="820" w:type="dxa"/>
            <w:vAlign w:val="bottom"/>
            <w:shd w:val="clear" w:color="auto" w:fill="F2F3F2"/>
          </w:tcPr>
          <w:p>
            <w:pPr>
              <w:spacing w:after="0"/>
              <w:rPr>
                <w:sz w:val="24"/>
                <w:szCs w:val="24"/>
                <w:color w:val="auto"/>
              </w:rPr>
            </w:pPr>
          </w:p>
        </w:tc>
        <w:tc>
          <w:tcPr>
            <w:tcW w:w="760" w:type="dxa"/>
            <w:vAlign w:val="bottom"/>
            <w:shd w:val="clear" w:color="auto" w:fill="F2F3F2"/>
          </w:tcPr>
          <w:p>
            <w:pPr>
              <w:spacing w:after="0"/>
              <w:rPr>
                <w:sz w:val="24"/>
                <w:szCs w:val="24"/>
                <w:color w:val="auto"/>
              </w:rPr>
            </w:pPr>
          </w:p>
        </w:tc>
        <w:tc>
          <w:tcPr>
            <w:tcW w:w="160" w:type="dxa"/>
            <w:vAlign w:val="bottom"/>
            <w:shd w:val="clear" w:color="auto" w:fill="F2F3F2"/>
          </w:tcPr>
          <w:p>
            <w:pPr>
              <w:spacing w:after="0"/>
              <w:rPr>
                <w:sz w:val="24"/>
                <w:szCs w:val="24"/>
                <w:color w:val="auto"/>
              </w:rPr>
            </w:pPr>
          </w:p>
        </w:tc>
        <w:tc>
          <w:tcPr>
            <w:tcW w:w="120" w:type="dxa"/>
            <w:vAlign w:val="bottom"/>
            <w:shd w:val="clear" w:color="auto" w:fill="F2F3F2"/>
          </w:tcPr>
          <w:p>
            <w:pPr>
              <w:spacing w:after="0"/>
              <w:rPr>
                <w:sz w:val="24"/>
                <w:szCs w:val="24"/>
                <w:color w:val="auto"/>
              </w:rPr>
            </w:pPr>
          </w:p>
        </w:tc>
        <w:tc>
          <w:tcPr>
            <w:tcW w:w="520" w:type="dxa"/>
            <w:vAlign w:val="bottom"/>
            <w:shd w:val="clear" w:color="auto" w:fill="F2F3F2"/>
          </w:tcPr>
          <w:p>
            <w:pPr>
              <w:spacing w:after="0"/>
              <w:rPr>
                <w:sz w:val="24"/>
                <w:szCs w:val="24"/>
                <w:color w:val="auto"/>
              </w:rPr>
            </w:pPr>
          </w:p>
        </w:tc>
        <w:tc>
          <w:tcPr>
            <w:tcW w:w="280" w:type="dxa"/>
            <w:vAlign w:val="bottom"/>
            <w:shd w:val="clear" w:color="auto" w:fill="F2F3F2"/>
          </w:tcPr>
          <w:p>
            <w:pPr>
              <w:spacing w:after="0"/>
              <w:rPr>
                <w:sz w:val="24"/>
                <w:szCs w:val="24"/>
                <w:color w:val="auto"/>
              </w:rPr>
            </w:pPr>
          </w:p>
        </w:tc>
        <w:tc>
          <w:tcPr>
            <w:tcW w:w="840" w:type="dxa"/>
            <w:vAlign w:val="bottom"/>
            <w:shd w:val="clear" w:color="auto" w:fill="F2F3F2"/>
          </w:tcPr>
          <w:p>
            <w:pPr>
              <w:spacing w:after="0"/>
              <w:rPr>
                <w:sz w:val="24"/>
                <w:szCs w:val="24"/>
                <w:color w:val="auto"/>
              </w:rPr>
            </w:pPr>
          </w:p>
        </w:tc>
        <w:tc>
          <w:tcPr>
            <w:tcW w:w="940" w:type="dxa"/>
            <w:vAlign w:val="bottom"/>
            <w:shd w:val="clear" w:color="auto" w:fill="F2F3F2"/>
          </w:tcPr>
          <w:p>
            <w:pPr>
              <w:spacing w:after="0"/>
              <w:rPr>
                <w:sz w:val="24"/>
                <w:szCs w:val="24"/>
                <w:color w:val="auto"/>
              </w:rPr>
            </w:pPr>
          </w:p>
        </w:tc>
        <w:tc>
          <w:tcPr>
            <w:tcW w:w="360" w:type="dxa"/>
            <w:vAlign w:val="bottom"/>
            <w:shd w:val="clear" w:color="auto" w:fill="F2F3F2"/>
          </w:tcPr>
          <w:p>
            <w:pPr>
              <w:spacing w:after="0"/>
              <w:rPr>
                <w:sz w:val="24"/>
                <w:szCs w:val="24"/>
                <w:color w:val="auto"/>
              </w:rPr>
            </w:pPr>
          </w:p>
        </w:tc>
        <w:tc>
          <w:tcPr>
            <w:tcW w:w="740" w:type="dxa"/>
            <w:vAlign w:val="bottom"/>
            <w:shd w:val="clear" w:color="auto" w:fill="F2F3F2"/>
          </w:tcPr>
          <w:p>
            <w:pPr>
              <w:spacing w:after="0"/>
              <w:rPr>
                <w:sz w:val="24"/>
                <w:szCs w:val="24"/>
                <w:color w:val="auto"/>
              </w:rPr>
            </w:pPr>
          </w:p>
        </w:tc>
        <w:tc>
          <w:tcPr>
            <w:tcW w:w="760" w:type="dxa"/>
            <w:vAlign w:val="bottom"/>
            <w:shd w:val="clear" w:color="auto" w:fill="F2F3F2"/>
          </w:tcPr>
          <w:p>
            <w:pPr>
              <w:spacing w:after="0"/>
              <w:rPr>
                <w:sz w:val="24"/>
                <w:szCs w:val="24"/>
                <w:color w:val="auto"/>
              </w:rPr>
            </w:pPr>
          </w:p>
        </w:tc>
        <w:tc>
          <w:tcPr>
            <w:tcW w:w="2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bl>
    <w:p>
      <w:pPr>
        <w:ind w:left="420" w:right="100" w:hanging="331"/>
        <w:spacing w:after="0" w:line="264" w:lineRule="auto"/>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target, threshold and maximum represent the range of cash award that could be earned under the 2025 NEO annual incentive program. The minimum amount that could be paid is 10% of target, calculated as threshold payout of 50% for the lowest weighted component. Maximum payout represents 200% of target. Based on the achievement of specific financial goals and strategic measures, the Compensation Committee determined that 102% of the target award was earned for 2025.</w:t>
      </w:r>
    </w:p>
    <w:p>
      <w:pPr>
        <w:spacing w:after="0" w:line="24" w:lineRule="exact"/>
        <w:rPr>
          <w:rFonts w:ascii="Arial" w:cs="Arial" w:eastAsia="Arial" w:hAnsi="Arial"/>
          <w:sz w:val="14"/>
          <w:szCs w:val="14"/>
          <w:color w:val="auto"/>
        </w:rPr>
      </w:pPr>
    </w:p>
    <w:p>
      <w:pPr>
        <w:ind w:left="420" w:hanging="331"/>
        <w:spacing w:after="0" w:line="266" w:lineRule="auto"/>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March 1, 2025 grant of PSUs is based on the performance against predefined financial measures of revenues before reimbursable expenses and Adjusted Diluted EPS over the three-year performance cycle from 2025-2027. The minimum amount that could be earned is 25% of target, calculated as threshold payout of 50% on only one of the financial measures; and, if threshold performance is not achieved for all financial measures, the award will be forfeited. The PSUs can be earned up to 200% of target for maximum performance on all financial measures. The PSUs that are earned will vest on March 1, 2028. These PSUs were granted under the Company's 2012 Omnibus Incentive Plan.</w:t>
      </w:r>
    </w:p>
    <w:p>
      <w:pPr>
        <w:spacing w:after="0" w:line="22" w:lineRule="exact"/>
        <w:rPr>
          <w:rFonts w:ascii="Arial" w:cs="Arial" w:eastAsia="Arial" w:hAnsi="Arial"/>
          <w:sz w:val="14"/>
          <w:szCs w:val="14"/>
          <w:color w:val="auto"/>
        </w:rPr>
      </w:pPr>
    </w:p>
    <w:p>
      <w:pPr>
        <w:ind w:left="420" w:right="280" w:hanging="331"/>
        <w:spacing w:after="0" w:line="285" w:lineRule="auto"/>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grant of restricted stock units (RSUs) was made under the 2025 NEO long-term incentive program and will vest annually over a three-year period. The RSUs were granted under the Company’s 2012 Omnibus Incentive Plan.</w:t>
      </w:r>
    </w:p>
    <w:p>
      <w:pPr>
        <w:spacing w:after="0" w:line="9" w:lineRule="exact"/>
        <w:rPr>
          <w:rFonts w:ascii="Arial" w:cs="Arial" w:eastAsia="Arial" w:hAnsi="Arial"/>
          <w:sz w:val="14"/>
          <w:szCs w:val="14"/>
          <w:color w:val="auto"/>
        </w:rPr>
      </w:pPr>
    </w:p>
    <w:p>
      <w:pPr>
        <w:ind w:left="420" w:right="460" w:hanging="331"/>
        <w:spacing w:after="0" w:line="283" w:lineRule="auto"/>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grant of restricted stock units (RSUs) was awarded in 2025 to recognize performance under the 2024 annual Corporate Vice President long-term incentive program. The RSUs vest in equal annual installments over four years and were granted under the Company’s 2012 Omnibus Incentive Plan.</w:t>
      </w:r>
    </w:p>
    <w:p>
      <w:pPr>
        <w:spacing w:after="0" w:line="10" w:lineRule="exact"/>
        <w:rPr>
          <w:rFonts w:ascii="Arial" w:cs="Arial" w:eastAsia="Arial" w:hAnsi="Arial"/>
          <w:sz w:val="14"/>
          <w:szCs w:val="14"/>
          <w:color w:val="auto"/>
        </w:rPr>
      </w:pPr>
    </w:p>
    <w:p>
      <w:pPr>
        <w:ind w:left="420" w:hanging="331"/>
        <w:spacing w:after="0"/>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grant date fair value of all RSU and PSU grants is based on the closing price of Huron stock as of the date of grant, which was</w:t>
      </w:r>
    </w:p>
    <w:p>
      <w:pPr>
        <w:spacing w:after="0" w:line="1" w:lineRule="exact"/>
        <w:rPr>
          <w:rFonts w:ascii="Arial" w:cs="Arial" w:eastAsia="Arial" w:hAnsi="Arial"/>
          <w:sz w:val="14"/>
          <w:szCs w:val="14"/>
          <w:color w:val="auto"/>
        </w:rPr>
      </w:pPr>
    </w:p>
    <w:p>
      <w:pPr>
        <w:ind w:left="420" w:right="20"/>
        <w:spacing w:after="0" w:line="252" w:lineRule="auto"/>
        <w:rPr>
          <w:rFonts w:ascii="Arial" w:cs="Arial" w:eastAsia="Arial" w:hAnsi="Arial"/>
          <w:sz w:val="14"/>
          <w:szCs w:val="14"/>
          <w:color w:val="auto"/>
        </w:rPr>
      </w:pPr>
      <w:r>
        <w:rPr>
          <w:rFonts w:ascii="Arial" w:cs="Arial" w:eastAsia="Arial" w:hAnsi="Arial"/>
          <w:sz w:val="14"/>
          <w:szCs w:val="14"/>
          <w:color w:val="auto"/>
        </w:rPr>
        <w:t>$152.46 on February 28, 2025, the last trading day prior to March 1, 2025; and for performance-based awards, the estimate of expected funding (i.e., the probable outcome of performance conditions) as of the grant date. The total number of PSUs to be earned is contingent on meeting specific financial targets as described in Note 2 above.</w:t>
      </w:r>
    </w:p>
    <w:p>
      <w:pPr>
        <w:spacing w:after="0" w:line="28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52</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6111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10375" cy="6111240"/>
                    </a:xfrm>
                    <a:prstGeom prst="rect">
                      <a:avLst/>
                    </a:prstGeom>
                    <a:noFill/>
                  </pic:spPr>
                </pic:pic>
              </a:graphicData>
            </a:graphic>
          </wp:anchor>
        </w:drawing>
      </w:r>
    </w:p>
    <w:p>
      <w:pPr>
        <w:sectPr>
          <w:pgSz w:w="11900" w:h="16838" w:orient="portrait"/>
          <w:cols w:equalWidth="0" w:num="1">
            <w:col w:w="9080"/>
          </w:cols>
          <w:pgMar w:left="1400" w:top="1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40" w:right="1419" w:bottom="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2025 Outstanding Equity Awards at Fiscal Year-End</w:t>
      </w:r>
    </w:p>
    <w:p>
      <w:pPr>
        <w:spacing w:after="0" w:line="13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2025 for each named executive officer. Market value is based on the closing price of Huron stock of $172.91 on December 31, 2025, the last trading day of the fiscal year.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3"/>
                <w:szCs w:val="13"/>
                <w:b w:val="1"/>
                <w:bCs w:val="1"/>
                <w:color w:val="FFFFFF"/>
              </w:rPr>
              <w:t>Equity</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center"/>
              <w:ind w:left="12"/>
              <w:spacing w:after="0"/>
              <w:rPr>
                <w:sz w:val="20"/>
                <w:szCs w:val="20"/>
                <w:color w:val="auto"/>
              </w:rPr>
            </w:pPr>
            <w:r>
              <w:rPr>
                <w:rFonts w:ascii="Arial" w:cs="Arial" w:eastAsia="Arial" w:hAnsi="Arial"/>
                <w:sz w:val="13"/>
                <w:szCs w:val="13"/>
                <w:b w:val="1"/>
                <w:bCs w:val="1"/>
                <w:color w:val="FFFFFF"/>
              </w:rPr>
              <w:t>Incentive</w:t>
            </w: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3"/>
                <w:szCs w:val="13"/>
                <w:b w:val="1"/>
                <w:bCs w:val="1"/>
                <w:color w:val="FFFFFF"/>
              </w:rPr>
              <w:t>Plan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3"/>
                <w:szCs w:val="13"/>
                <w:b w:val="1"/>
                <w:bCs w:val="1"/>
                <w:color w:val="FFFFFF"/>
              </w:rPr>
              <w:t>Awards:</w:t>
            </w: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FFFFFF"/>
              </w:rPr>
              <w:t>Market</w:t>
            </w:r>
          </w:p>
        </w:tc>
        <w:tc>
          <w:tcPr>
            <w:tcW w:w="900" w:type="dxa"/>
            <w:vAlign w:val="bottom"/>
          </w:tcPr>
          <w:p>
            <w:pPr>
              <w:jc w:val="right"/>
              <w:ind w:right="52"/>
              <w:spacing w:after="0"/>
              <w:rPr>
                <w:sz w:val="20"/>
                <w:szCs w:val="20"/>
                <w:color w:val="auto"/>
              </w:rPr>
            </w:pPr>
            <w:r>
              <w:rPr>
                <w:rFonts w:ascii="Arial" w:cs="Arial" w:eastAsia="Arial" w:hAnsi="Arial"/>
                <w:sz w:val="13"/>
                <w:szCs w:val="13"/>
                <w:b w:val="1"/>
                <w:bCs w:val="1"/>
                <w:color w:val="FFFFFF"/>
              </w:rPr>
              <w:t>Number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FFFFFF"/>
              </w:rPr>
              <w:t>Number of</w:t>
            </w: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FFFFFF"/>
              </w:rPr>
              <w:t>Value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FFFFFF"/>
              </w:rPr>
              <w:t>Unearned</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3"/>
                <w:szCs w:val="13"/>
                <w:b w:val="1"/>
                <w:bCs w:val="1"/>
                <w:color w:val="FFFFFF"/>
              </w:rPr>
              <w:t>Shares or</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FFFFFF"/>
              </w:rPr>
              <w:t>Shares</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FFFFFF"/>
              </w:rPr>
              <w:t>Shares,</w:t>
            </w: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FFFFFF"/>
              </w:rPr>
              <w:t>Number of</w:t>
            </w:r>
          </w:p>
        </w:tc>
        <w:tc>
          <w:tcPr>
            <w:tcW w:w="1160" w:type="dxa"/>
            <w:vAlign w:val="bottom"/>
          </w:tcPr>
          <w:p>
            <w:pPr>
              <w:jc w:val="right"/>
              <w:ind w:right="93"/>
              <w:spacing w:after="0"/>
              <w:rPr>
                <w:sz w:val="20"/>
                <w:szCs w:val="20"/>
                <w:color w:val="auto"/>
              </w:rPr>
            </w:pPr>
            <w:r>
              <w:rPr>
                <w:rFonts w:ascii="Arial" w:cs="Arial" w:eastAsia="Arial" w:hAnsi="Arial"/>
                <w:sz w:val="13"/>
                <w:szCs w:val="13"/>
                <w:b w:val="1"/>
                <w:bCs w:val="1"/>
                <w:color w:val="FFFFFF"/>
              </w:rPr>
              <w:t>Number of</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FFFFFF"/>
              </w:rPr>
              <w:t>Units</w:t>
            </w: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FFFFFF"/>
              </w:rPr>
              <w:t>or Units</w:t>
            </w:r>
          </w:p>
        </w:tc>
        <w:tc>
          <w:tcPr>
            <w:tcW w:w="900" w:type="dxa"/>
            <w:vAlign w:val="bottom"/>
          </w:tcPr>
          <w:p>
            <w:pPr>
              <w:jc w:val="right"/>
              <w:ind w:right="12"/>
              <w:spacing w:after="0"/>
              <w:rPr>
                <w:sz w:val="20"/>
                <w:szCs w:val="20"/>
                <w:color w:val="auto"/>
              </w:rPr>
            </w:pPr>
            <w:r>
              <w:rPr>
                <w:rFonts w:ascii="Arial" w:cs="Arial" w:eastAsia="Arial" w:hAnsi="Arial"/>
                <w:sz w:val="13"/>
                <w:szCs w:val="13"/>
                <w:b w:val="1"/>
                <w:bCs w:val="1"/>
                <w:color w:val="FFFFFF"/>
              </w:rPr>
              <w:t>Units or</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Shares, Units</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b w:val="1"/>
                <w:bCs w:val="1"/>
                <w:color w:val="FFFFFF"/>
              </w:rPr>
              <w:t>Securities</w:t>
            </w:r>
          </w:p>
        </w:tc>
        <w:tc>
          <w:tcPr>
            <w:tcW w:w="1160" w:type="dxa"/>
            <w:vAlign w:val="bottom"/>
          </w:tcPr>
          <w:p>
            <w:pPr>
              <w:ind w:left="380"/>
              <w:spacing w:after="0"/>
              <w:rPr>
                <w:sz w:val="20"/>
                <w:szCs w:val="20"/>
                <w:color w:val="auto"/>
              </w:rPr>
            </w:pPr>
            <w:r>
              <w:rPr>
                <w:rFonts w:ascii="Arial" w:cs="Arial" w:eastAsia="Arial" w:hAnsi="Arial"/>
                <w:sz w:val="13"/>
                <w:szCs w:val="13"/>
                <w:b w:val="1"/>
                <w:bCs w:val="1"/>
                <w:color w:val="FFFFFF"/>
              </w:rPr>
              <w:t>Securities</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3"/>
                <w:szCs w:val="13"/>
                <w:b w:val="1"/>
                <w:bCs w:val="1"/>
                <w:color w:val="FFFFFF"/>
              </w:rPr>
              <w:t>of Stock</w:t>
            </w: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FFFFFF"/>
              </w:rPr>
              <w:t>of Stock</w:t>
            </w: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FFFFFF"/>
              </w:rPr>
              <w:t>Other</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or Other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FFFFFF"/>
              </w:rPr>
              <w:t>Underlying</w:t>
            </w:r>
          </w:p>
        </w:tc>
        <w:tc>
          <w:tcPr>
            <w:tcW w:w="1160" w:type="dxa"/>
            <w:vAlign w:val="bottom"/>
          </w:tcPr>
          <w:p>
            <w:pPr>
              <w:jc w:val="right"/>
              <w:ind w:right="93"/>
              <w:spacing w:after="0"/>
              <w:rPr>
                <w:sz w:val="20"/>
                <w:szCs w:val="20"/>
                <w:color w:val="auto"/>
              </w:rPr>
            </w:pPr>
            <w:r>
              <w:rPr>
                <w:rFonts w:ascii="Arial" w:cs="Arial" w:eastAsia="Arial" w:hAnsi="Arial"/>
                <w:sz w:val="13"/>
                <w:szCs w:val="13"/>
                <w:b w:val="1"/>
                <w:bCs w:val="1"/>
                <w:color w:val="FFFFFF"/>
              </w:rPr>
              <w:t>Underlying</w:t>
            </w: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FFFFFF"/>
              </w:rPr>
              <w:t>Option</w:t>
            </w:r>
          </w:p>
        </w:tc>
        <w:tc>
          <w:tcPr>
            <w:tcW w:w="92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3"/>
                <w:szCs w:val="13"/>
                <w:b w:val="1"/>
                <w:bCs w:val="1"/>
                <w:color w:val="FFFFFF"/>
              </w:rPr>
              <w:t>that</w:t>
            </w: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FFFFFF"/>
              </w:rPr>
              <w:t>that</w:t>
            </w:r>
          </w:p>
        </w:tc>
        <w:tc>
          <w:tcPr>
            <w:tcW w:w="900" w:type="dxa"/>
            <w:vAlign w:val="bottom"/>
          </w:tcPr>
          <w:p>
            <w:pPr>
              <w:jc w:val="right"/>
              <w:ind w:right="52"/>
              <w:spacing w:after="0"/>
              <w:rPr>
                <w:sz w:val="20"/>
                <w:szCs w:val="20"/>
                <w:color w:val="auto"/>
              </w:rPr>
            </w:pPr>
            <w:r>
              <w:rPr>
                <w:rFonts w:ascii="Arial" w:cs="Arial" w:eastAsia="Arial" w:hAnsi="Arial"/>
                <w:sz w:val="13"/>
                <w:szCs w:val="13"/>
                <w:b w:val="1"/>
                <w:bCs w:val="1"/>
                <w:color w:val="FFFFFF"/>
              </w:rPr>
              <w:t>Rights that</w:t>
            </w: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FFFFFF"/>
              </w:rPr>
              <w:t>Rights that</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FFFFFF"/>
              </w:rPr>
              <w:t>Unexercised</w:t>
            </w:r>
          </w:p>
        </w:tc>
        <w:tc>
          <w:tcPr>
            <w:tcW w:w="1160" w:type="dxa"/>
            <w:vAlign w:val="bottom"/>
          </w:tcPr>
          <w:p>
            <w:pPr>
              <w:jc w:val="right"/>
              <w:ind w:right="93"/>
              <w:spacing w:after="0"/>
              <w:rPr>
                <w:sz w:val="20"/>
                <w:szCs w:val="20"/>
                <w:color w:val="auto"/>
              </w:rPr>
            </w:pPr>
            <w:r>
              <w:rPr>
                <w:rFonts w:ascii="Arial" w:cs="Arial" w:eastAsia="Arial" w:hAnsi="Arial"/>
                <w:sz w:val="13"/>
                <w:szCs w:val="13"/>
                <w:b w:val="1"/>
                <w:bCs w:val="1"/>
                <w:color w:val="FFFFFF"/>
              </w:rPr>
              <w:t>Unexercised</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FFFFFF"/>
              </w:rPr>
              <w:t>Exercise</w:t>
            </w:r>
          </w:p>
        </w:tc>
        <w:tc>
          <w:tcPr>
            <w:tcW w:w="920" w:type="dxa"/>
            <w:vAlign w:val="bottom"/>
          </w:tcPr>
          <w:p>
            <w:pPr>
              <w:ind w:left="180"/>
              <w:spacing w:after="0"/>
              <w:rPr>
                <w:sz w:val="20"/>
                <w:szCs w:val="20"/>
                <w:color w:val="auto"/>
              </w:rPr>
            </w:pPr>
            <w:r>
              <w:rPr>
                <w:rFonts w:ascii="Arial" w:cs="Arial" w:eastAsia="Arial" w:hAnsi="Arial"/>
                <w:sz w:val="13"/>
                <w:szCs w:val="13"/>
                <w:b w:val="1"/>
                <w:bCs w:val="1"/>
                <w:color w:val="FFFFFF"/>
              </w:rPr>
              <w:t>Option</w:t>
            </w:r>
          </w:p>
        </w:tc>
        <w:tc>
          <w:tcPr>
            <w:tcW w:w="9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FFFFFF"/>
              </w:rPr>
              <w:t>Have Not</w:t>
            </w: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FFFFFF"/>
              </w:rPr>
              <w:t>Have Not</w:t>
            </w:r>
          </w:p>
        </w:tc>
        <w:tc>
          <w:tcPr>
            <w:tcW w:w="900" w:type="dxa"/>
            <w:vAlign w:val="bottom"/>
          </w:tcPr>
          <w:p>
            <w:pPr>
              <w:jc w:val="center"/>
              <w:ind w:left="32"/>
              <w:spacing w:after="0"/>
              <w:rPr>
                <w:sz w:val="20"/>
                <w:szCs w:val="20"/>
                <w:color w:val="auto"/>
              </w:rPr>
            </w:pPr>
            <w:r>
              <w:rPr>
                <w:rFonts w:ascii="Arial" w:cs="Arial" w:eastAsia="Arial" w:hAnsi="Arial"/>
                <w:sz w:val="13"/>
                <w:szCs w:val="13"/>
                <w:b w:val="1"/>
                <w:bCs w:val="1"/>
                <w:color w:val="FFFFFF"/>
              </w:rPr>
              <w:t>Have Not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FFFFF"/>
              </w:rPr>
              <w:t>Grant</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FFFFFF"/>
              </w:rPr>
              <w:t>Options (#)</w:t>
            </w:r>
          </w:p>
        </w:tc>
        <w:tc>
          <w:tcPr>
            <w:tcW w:w="1160" w:type="dxa"/>
            <w:vAlign w:val="bottom"/>
          </w:tcPr>
          <w:p>
            <w:pPr>
              <w:jc w:val="right"/>
              <w:ind w:right="93"/>
              <w:spacing w:after="0"/>
              <w:rPr>
                <w:sz w:val="20"/>
                <w:szCs w:val="20"/>
                <w:color w:val="auto"/>
              </w:rPr>
            </w:pPr>
            <w:r>
              <w:rPr>
                <w:rFonts w:ascii="Arial" w:cs="Arial" w:eastAsia="Arial" w:hAnsi="Arial"/>
                <w:sz w:val="13"/>
                <w:szCs w:val="13"/>
                <w:b w:val="1"/>
                <w:bCs w:val="1"/>
                <w:color w:val="FFFFFF"/>
              </w:rPr>
              <w:t>Options (#)</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FFFFFF"/>
              </w:rPr>
              <w:t>Price</w:t>
            </w:r>
          </w:p>
        </w:tc>
        <w:tc>
          <w:tcPr>
            <w:tcW w:w="920" w:type="dxa"/>
            <w:vAlign w:val="bottom"/>
          </w:tcPr>
          <w:p>
            <w:pPr>
              <w:ind w:left="80"/>
              <w:spacing w:after="0"/>
              <w:rPr>
                <w:sz w:val="20"/>
                <w:szCs w:val="20"/>
                <w:color w:val="auto"/>
              </w:rPr>
            </w:pPr>
            <w:r>
              <w:rPr>
                <w:rFonts w:ascii="Arial" w:cs="Arial" w:eastAsia="Arial" w:hAnsi="Arial"/>
                <w:sz w:val="13"/>
                <w:szCs w:val="13"/>
                <w:b w:val="1"/>
                <w:bCs w:val="1"/>
                <w:color w:val="FFFFFF"/>
              </w:rPr>
              <w:t>Expiration</w:t>
            </w:r>
          </w:p>
        </w:tc>
        <w:tc>
          <w:tcPr>
            <w:tcW w:w="9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FFFFFF"/>
              </w:rPr>
              <w:t>Vested</w:t>
            </w: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FFFFFF"/>
              </w:rPr>
              <w:t>Vested</w:t>
            </w: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FFFFFF"/>
              </w:rPr>
              <w:t>Vested</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20"/>
                <w:szCs w:val="20"/>
                <w:color w:val="auto"/>
              </w:rPr>
            </w:pPr>
            <w:r>
              <w:rPr>
                <w:rFonts w:ascii="Arial" w:cs="Arial" w:eastAsia="Arial" w:hAnsi="Arial"/>
                <w:sz w:val="13"/>
                <w:szCs w:val="13"/>
                <w:b w:val="1"/>
                <w:bCs w:val="1"/>
                <w:color w:val="FFFFFF"/>
              </w:rPr>
              <w:t>Name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FFFFF"/>
              </w:rPr>
              <w:t>Date</w:t>
            </w:r>
          </w:p>
        </w:tc>
        <w:tc>
          <w:tcPr>
            <w:tcW w:w="1020" w:type="dxa"/>
            <w:vAlign w:val="bottom"/>
          </w:tcPr>
          <w:p>
            <w:pPr>
              <w:jc w:val="right"/>
              <w:ind w:right="53"/>
              <w:spacing w:after="0"/>
              <w:rPr>
                <w:sz w:val="20"/>
                <w:szCs w:val="20"/>
                <w:color w:val="auto"/>
              </w:rPr>
            </w:pPr>
            <w:r>
              <w:rPr>
                <w:rFonts w:ascii="Arial" w:cs="Arial" w:eastAsia="Arial" w:hAnsi="Arial"/>
                <w:sz w:val="13"/>
                <w:szCs w:val="13"/>
                <w:b w:val="1"/>
                <w:bCs w:val="1"/>
                <w:color w:val="FFFFFF"/>
              </w:rPr>
              <w:t>Exercisable</w:t>
            </w:r>
          </w:p>
        </w:tc>
        <w:tc>
          <w:tcPr>
            <w:tcW w:w="1160" w:type="dxa"/>
            <w:vAlign w:val="bottom"/>
          </w:tcPr>
          <w:p>
            <w:pPr>
              <w:jc w:val="right"/>
              <w:ind w:right="93"/>
              <w:spacing w:after="0"/>
              <w:rPr>
                <w:sz w:val="20"/>
                <w:szCs w:val="20"/>
                <w:color w:val="auto"/>
              </w:rPr>
            </w:pPr>
            <w:r>
              <w:rPr>
                <w:rFonts w:ascii="Arial" w:cs="Arial" w:eastAsia="Arial" w:hAnsi="Arial"/>
                <w:sz w:val="13"/>
                <w:szCs w:val="13"/>
                <w:b w:val="1"/>
                <w:bCs w:val="1"/>
                <w:color w:val="FFFFFF"/>
              </w:rPr>
              <w:t>Unexercisable</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Pr>
          <w:p>
            <w:pPr>
              <w:ind w:left="280"/>
              <w:spacing w:after="0"/>
              <w:rPr>
                <w:sz w:val="20"/>
                <w:szCs w:val="20"/>
                <w:color w:val="auto"/>
              </w:rPr>
            </w:pPr>
            <w:r>
              <w:rPr>
                <w:rFonts w:ascii="Arial" w:cs="Arial" w:eastAsia="Arial" w:hAnsi="Arial"/>
                <w:sz w:val="13"/>
                <w:szCs w:val="13"/>
                <w:b w:val="1"/>
                <w:bCs w:val="1"/>
                <w:color w:val="FFFFFF"/>
              </w:rPr>
              <w:t>Date</w:t>
            </w:r>
          </w:p>
        </w:tc>
        <w:tc>
          <w:tcPr>
            <w:tcW w:w="9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FFFFFF"/>
              </w:rPr>
              <w:t>(#)</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FFFFFF"/>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68"/>
        </w:trPr>
        <w:tc>
          <w:tcPr>
            <w:tcW w:w="6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2,553</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441,439</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6"/>
        </w:trPr>
        <w:tc>
          <w:tcPr>
            <w:tcW w:w="6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32,161</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5,560,889</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620" w:type="dxa"/>
            <w:vAlign w:val="bottom"/>
            <w:vMerge w:val="restart"/>
          </w:tcPr>
          <w:p>
            <w:pPr>
              <w:spacing w:after="0"/>
              <w:rPr>
                <w:sz w:val="20"/>
                <w:szCs w:val="20"/>
                <w:color w:val="auto"/>
              </w:rPr>
            </w:pPr>
            <w:r>
              <w:rPr>
                <w:rFonts w:ascii="Arial" w:cs="Arial" w:eastAsia="Arial" w:hAnsi="Arial"/>
                <w:sz w:val="13"/>
                <w:szCs w:val="13"/>
                <w:b w:val="1"/>
                <w:bCs w:val="1"/>
                <w:color w:val="00558C"/>
              </w:rPr>
              <w:t>C. Mark</w:t>
            </w:r>
          </w:p>
        </w:tc>
        <w:tc>
          <w:tcPr>
            <w:tcW w:w="700" w:type="dxa"/>
            <w:vAlign w:val="bottom"/>
          </w:tcPr>
          <w:p>
            <w:pPr>
              <w:jc w:val="center"/>
              <w:spacing w:after="0"/>
              <w:rPr>
                <w:sz w:val="20"/>
                <w:szCs w:val="20"/>
                <w:color w:val="auto"/>
              </w:rPr>
            </w:pPr>
            <w:r>
              <w:rPr>
                <w:rFonts w:ascii="Arial" w:cs="Arial" w:eastAsia="Arial" w:hAnsi="Arial"/>
                <w:sz w:val="13"/>
                <w:szCs w:val="13"/>
                <w:color w:val="auto"/>
              </w:rPr>
              <w:t>3/1/2024</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7,169</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1,239,592</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20"/>
                <w:szCs w:val="20"/>
                <w:color w:val="auto"/>
              </w:rPr>
            </w:pPr>
            <w:r>
              <w:rPr>
                <w:rFonts w:ascii="Arial" w:cs="Arial" w:eastAsia="Arial" w:hAnsi="Arial"/>
                <w:sz w:val="13"/>
                <w:szCs w:val="13"/>
                <w:b w:val="1"/>
                <w:bCs w:val="1"/>
                <w:color w:val="00558C"/>
              </w:rPr>
              <w:t>Hussey</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3/1/2024</w:t>
            </w:r>
          </w:p>
        </w:tc>
        <w:tc>
          <w:tcPr>
            <w:tcW w:w="1020" w:type="dxa"/>
            <w:vAlign w:val="bottom"/>
            <w:vMerge w:val="restart"/>
          </w:tcPr>
          <w:p>
            <w:pPr>
              <w:ind w:left="82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40" w:type="dxa"/>
            <w:vAlign w:val="bottom"/>
            <w:vMerge w:val="restart"/>
          </w:tcPr>
          <w:p>
            <w:pPr>
              <w:jc w:val="right"/>
              <w:ind w:right="48"/>
              <w:spacing w:after="0"/>
              <w:rPr>
                <w:sz w:val="20"/>
                <w:szCs w:val="20"/>
                <w:color w:val="auto"/>
              </w:rPr>
            </w:pPr>
            <w:r>
              <w:rPr>
                <w:rFonts w:ascii="Arial" w:cs="Arial" w:eastAsia="Arial" w:hAnsi="Arial"/>
                <w:sz w:val="13"/>
                <w:szCs w:val="13"/>
                <w:color w:val="auto"/>
                <w:w w:val="91"/>
              </w:rPr>
              <w:t>—</w:t>
            </w: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 xml:space="preserve">50,176 </w:t>
            </w:r>
            <w:r>
              <w:rPr>
                <w:rFonts w:ascii="Arial" w:cs="Arial" w:eastAsia="Arial" w:hAnsi="Arial"/>
                <w:sz w:val="17"/>
                <w:szCs w:val="17"/>
                <w:color w:val="auto"/>
                <w:vertAlign w:val="superscript"/>
              </w:rPr>
              <w:t>(3)</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8,675,932</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3/1/2025</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9,076</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1,569,331</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9"/>
        </w:trPr>
        <w:tc>
          <w:tcPr>
            <w:tcW w:w="6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3/1/2025</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21,178</w:t>
            </w:r>
            <w:r>
              <w:rPr>
                <w:rFonts w:ascii="Arial" w:cs="Arial" w:eastAsia="Arial" w:hAnsi="Arial"/>
                <w:sz w:val="17"/>
                <w:szCs w:val="17"/>
                <w:color w:val="auto"/>
                <w:vertAlign w:val="superscript"/>
              </w:rPr>
              <w:t>(4)</w:t>
            </w:r>
          </w:p>
        </w:tc>
        <w:tc>
          <w:tcPr>
            <w:tcW w:w="980" w:type="dxa"/>
            <w:vAlign w:val="bottom"/>
          </w:tcPr>
          <w:p>
            <w:pPr>
              <w:jc w:val="right"/>
              <w:spacing w:after="0"/>
              <w:rPr>
                <w:sz w:val="20"/>
                <w:szCs w:val="20"/>
                <w:color w:val="auto"/>
              </w:rPr>
            </w:pPr>
            <w:r>
              <w:rPr>
                <w:rFonts w:ascii="Arial" w:cs="Arial" w:eastAsia="Arial" w:hAnsi="Arial"/>
                <w:sz w:val="13"/>
                <w:szCs w:val="13"/>
                <w:color w:val="auto"/>
              </w:rPr>
              <w:t>3,661,888</w:t>
            </w: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1,235</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213,544</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15,548</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2,688,474</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9"/>
        </w:trPr>
        <w:tc>
          <w:tcPr>
            <w:tcW w:w="620" w:type="dxa"/>
            <w:vAlign w:val="bottom"/>
            <w:vMerge w:val="restart"/>
          </w:tcPr>
          <w:p>
            <w:pPr>
              <w:spacing w:after="0"/>
              <w:rPr>
                <w:sz w:val="20"/>
                <w:szCs w:val="20"/>
                <w:color w:val="auto"/>
              </w:rPr>
            </w:pPr>
            <w:r>
              <w:rPr>
                <w:rFonts w:ascii="Arial" w:cs="Arial" w:eastAsia="Arial" w:hAnsi="Arial"/>
                <w:sz w:val="13"/>
                <w:szCs w:val="13"/>
                <w:b w:val="1"/>
                <w:bCs w:val="1"/>
                <w:color w:val="00558C"/>
              </w:rPr>
              <w:t>John D.</w:t>
            </w:r>
          </w:p>
        </w:tc>
        <w:tc>
          <w:tcPr>
            <w:tcW w:w="700" w:type="dxa"/>
            <w:vAlign w:val="bottom"/>
          </w:tcPr>
          <w:p>
            <w:pPr>
              <w:jc w:val="center"/>
              <w:spacing w:after="0"/>
              <w:rPr>
                <w:sz w:val="20"/>
                <w:szCs w:val="20"/>
                <w:color w:val="auto"/>
              </w:rPr>
            </w:pPr>
            <w:r>
              <w:rPr>
                <w:rFonts w:ascii="Arial" w:cs="Arial" w:eastAsia="Arial" w:hAnsi="Arial"/>
                <w:sz w:val="13"/>
                <w:szCs w:val="13"/>
                <w:color w:val="auto"/>
              </w:rPr>
              <w:t>3/1/2024</w:t>
            </w:r>
          </w:p>
        </w:tc>
        <w:tc>
          <w:tcPr>
            <w:tcW w:w="102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3"/>
                <w:szCs w:val="13"/>
                <w:color w:val="auto"/>
              </w:rPr>
              <w:t xml:space="preserve">2,657 </w:t>
            </w:r>
            <w:r>
              <w:rPr>
                <w:rFonts w:ascii="Arial" w:cs="Arial" w:eastAsia="Arial" w:hAnsi="Arial"/>
                <w:sz w:val="17"/>
                <w:szCs w:val="17"/>
                <w:color w:val="auto"/>
                <w:vertAlign w:val="superscript"/>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459,422</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20"/>
                <w:szCs w:val="20"/>
                <w:color w:val="auto"/>
              </w:rPr>
            </w:pPr>
            <w:r>
              <w:rPr>
                <w:rFonts w:ascii="Arial" w:cs="Arial" w:eastAsia="Arial" w:hAnsi="Arial"/>
                <w:sz w:val="13"/>
                <w:szCs w:val="13"/>
                <w:b w:val="1"/>
                <w:bCs w:val="1"/>
                <w:color w:val="00558C"/>
              </w:rPr>
              <w:t>Kelly</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3/1/2024</w:t>
            </w:r>
          </w:p>
        </w:tc>
        <w:tc>
          <w:tcPr>
            <w:tcW w:w="1020" w:type="dxa"/>
            <w:vAlign w:val="bottom"/>
            <w:vMerge w:val="restart"/>
          </w:tcPr>
          <w:p>
            <w:pPr>
              <w:ind w:left="82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ind w:left="9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40" w:type="dxa"/>
            <w:vAlign w:val="bottom"/>
            <w:vMerge w:val="restart"/>
          </w:tcPr>
          <w:p>
            <w:pPr>
              <w:jc w:val="right"/>
              <w:ind w:right="48"/>
              <w:spacing w:after="0"/>
              <w:rPr>
                <w:sz w:val="20"/>
                <w:szCs w:val="20"/>
                <w:color w:val="auto"/>
              </w:rPr>
            </w:pPr>
            <w:r>
              <w:rPr>
                <w:rFonts w:ascii="Arial" w:cs="Arial" w:eastAsia="Arial" w:hAnsi="Arial"/>
                <w:sz w:val="13"/>
                <w:szCs w:val="13"/>
                <w:color w:val="auto"/>
                <w:w w:val="91"/>
              </w:rPr>
              <w:t>—</w:t>
            </w: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 xml:space="preserve">18,592 </w:t>
            </w:r>
            <w:r>
              <w:rPr>
                <w:rFonts w:ascii="Arial" w:cs="Arial" w:eastAsia="Arial" w:hAnsi="Arial"/>
                <w:sz w:val="17"/>
                <w:szCs w:val="17"/>
                <w:color w:val="auto"/>
                <w:vertAlign w:val="superscript"/>
              </w:rPr>
              <w:t>(3)</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3,214,743</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140" w:right="1419" w:bottom="0" w:gutter="0" w:footer="0" w:header="0"/>
          <w:type w:val="continuous"/>
        </w:sectPr>
      </w:pPr>
    </w:p>
    <w:bookmarkStart w:id="55" w:name="page56"/>
    <w:bookmarkEnd w:id="55"/>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745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2745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820" w:type="dxa"/>
            <w:vAlign w:val="bottom"/>
            <w:shd w:val="clear" w:color="auto" w:fill="00558C"/>
          </w:tcPr>
          <w:p>
            <w:pPr>
              <w:spacing w:after="0"/>
              <w:rPr>
                <w:sz w:val="17"/>
                <w:szCs w:val="17"/>
                <w:color w:val="auto"/>
              </w:rPr>
            </w:pPr>
          </w:p>
        </w:tc>
        <w:tc>
          <w:tcPr>
            <w:tcW w:w="640" w:type="dxa"/>
            <w:vAlign w:val="bottom"/>
            <w:shd w:val="clear" w:color="auto" w:fill="00558C"/>
          </w:tcPr>
          <w:p>
            <w:pPr>
              <w:jc w:val="right"/>
              <w:spacing w:after="0"/>
              <w:rPr>
                <w:sz w:val="20"/>
                <w:szCs w:val="20"/>
                <w:color w:val="auto"/>
              </w:rPr>
            </w:pPr>
            <w:r>
              <w:rPr>
                <w:rFonts w:ascii="Arial" w:cs="Arial" w:eastAsia="Arial" w:hAnsi="Arial"/>
                <w:sz w:val="13"/>
                <w:szCs w:val="13"/>
                <w:color w:val="auto"/>
              </w:rPr>
              <w:t>3/1/2025</w:t>
            </w:r>
          </w:p>
        </w:tc>
        <w:tc>
          <w:tcPr>
            <w:tcW w:w="1000" w:type="dxa"/>
            <w:vAlign w:val="bottom"/>
            <w:shd w:val="clear" w:color="auto" w:fill="00558C"/>
          </w:tcPr>
          <w:p>
            <w:pPr>
              <w:ind w:left="82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00558C"/>
          </w:tcPr>
          <w:p>
            <w:pPr>
              <w:ind w:left="960"/>
              <w:spacing w:after="0"/>
              <w:rPr>
                <w:sz w:val="20"/>
                <w:szCs w:val="20"/>
                <w:color w:val="auto"/>
              </w:rPr>
            </w:pPr>
            <w:r>
              <w:rPr>
                <w:rFonts w:ascii="Arial" w:cs="Arial" w:eastAsia="Arial" w:hAnsi="Arial"/>
                <w:sz w:val="13"/>
                <w:szCs w:val="13"/>
                <w:color w:val="auto"/>
              </w:rPr>
              <w:t>—</w:t>
            </w:r>
          </w:p>
        </w:tc>
        <w:tc>
          <w:tcPr>
            <w:tcW w:w="700" w:type="dxa"/>
            <w:vAlign w:val="bottom"/>
            <w:shd w:val="clear" w:color="auto" w:fill="00558C"/>
          </w:tcPr>
          <w:p>
            <w:pPr>
              <w:ind w:left="200"/>
              <w:spacing w:after="0"/>
              <w:rPr>
                <w:sz w:val="20"/>
                <w:szCs w:val="20"/>
                <w:color w:val="auto"/>
              </w:rPr>
            </w:pPr>
            <w:r>
              <w:rPr>
                <w:rFonts w:ascii="Arial" w:cs="Arial" w:eastAsia="Arial" w:hAnsi="Arial"/>
                <w:sz w:val="13"/>
                <w:szCs w:val="13"/>
                <w:color w:val="auto"/>
              </w:rPr>
              <w:t>—</w:t>
            </w:r>
          </w:p>
        </w:tc>
        <w:tc>
          <w:tcPr>
            <w:tcW w:w="740" w:type="dxa"/>
            <w:vAlign w:val="bottom"/>
            <w:shd w:val="clear" w:color="auto" w:fill="00558C"/>
          </w:tcPr>
          <w:p>
            <w:pPr>
              <w:ind w:lef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00558C"/>
          </w:tcPr>
          <w:p>
            <w:pPr>
              <w:jc w:val="right"/>
              <w:ind w:right="113"/>
              <w:spacing w:after="0"/>
              <w:rPr>
                <w:sz w:val="20"/>
                <w:szCs w:val="20"/>
                <w:color w:val="auto"/>
              </w:rPr>
            </w:pPr>
            <w:r>
              <w:rPr>
                <w:rFonts w:ascii="Arial" w:cs="Arial" w:eastAsia="Arial" w:hAnsi="Arial"/>
                <w:sz w:val="13"/>
                <w:szCs w:val="13"/>
                <w:color w:val="auto"/>
              </w:rPr>
              <w:t xml:space="preserve">3,198 </w:t>
            </w:r>
            <w:r>
              <w:rPr>
                <w:rFonts w:ascii="Arial" w:cs="Arial" w:eastAsia="Arial" w:hAnsi="Arial"/>
                <w:sz w:val="17"/>
                <w:szCs w:val="17"/>
                <w:color w:val="auto"/>
                <w:vertAlign w:val="superscript"/>
              </w:rPr>
              <w:t>(1)</w:t>
            </w:r>
          </w:p>
        </w:tc>
        <w:tc>
          <w:tcPr>
            <w:tcW w:w="880" w:type="dxa"/>
            <w:vAlign w:val="bottom"/>
            <w:shd w:val="clear" w:color="auto" w:fill="00558C"/>
          </w:tcPr>
          <w:p>
            <w:pPr>
              <w:jc w:val="right"/>
              <w:ind w:right="173"/>
              <w:spacing w:after="0"/>
              <w:rPr>
                <w:sz w:val="20"/>
                <w:szCs w:val="20"/>
                <w:color w:val="auto"/>
              </w:rPr>
            </w:pPr>
            <w:r>
              <w:rPr>
                <w:rFonts w:ascii="Arial" w:cs="Arial" w:eastAsia="Arial" w:hAnsi="Arial"/>
                <w:sz w:val="13"/>
                <w:szCs w:val="13"/>
                <w:color w:val="auto"/>
              </w:rPr>
              <w:t>552,966</w:t>
            </w:r>
          </w:p>
        </w:tc>
        <w:tc>
          <w:tcPr>
            <w:tcW w:w="460" w:type="dxa"/>
            <w:vAlign w:val="bottom"/>
            <w:shd w:val="clear" w:color="auto" w:fill="00558C"/>
          </w:tcPr>
          <w:p>
            <w:pPr>
              <w:spacing w:after="0"/>
              <w:rPr>
                <w:sz w:val="17"/>
                <w:szCs w:val="17"/>
                <w:color w:val="auto"/>
              </w:rPr>
            </w:pPr>
          </w:p>
        </w:tc>
        <w:tc>
          <w:tcPr>
            <w:tcW w:w="440" w:type="dxa"/>
            <w:vAlign w:val="bottom"/>
            <w:shd w:val="clear" w:color="auto" w:fill="00558C"/>
          </w:tcPr>
          <w:p>
            <w:pPr>
              <w:jc w:val="right"/>
              <w:ind w:right="153"/>
              <w:spacing w:after="0"/>
              <w:rPr>
                <w:sz w:val="20"/>
                <w:szCs w:val="20"/>
                <w:color w:val="auto"/>
              </w:rPr>
            </w:pPr>
            <w:r>
              <w:rPr>
                <w:rFonts w:ascii="Arial" w:cs="Arial" w:eastAsia="Arial" w:hAnsi="Arial"/>
                <w:sz w:val="13"/>
                <w:szCs w:val="13"/>
                <w:color w:val="auto"/>
              </w:rPr>
              <w:t>—</w:t>
            </w:r>
          </w:p>
        </w:tc>
        <w:tc>
          <w:tcPr>
            <w:tcW w:w="980" w:type="dxa"/>
            <w:vAlign w:val="bottom"/>
            <w:shd w:val="clear" w:color="auto" w:fill="00558C"/>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500" w:type="dxa"/>
            <w:vAlign w:val="bottom"/>
            <w:gridSpan w:val="2"/>
            <w:shd w:val="clear" w:color="auto" w:fill="00558C"/>
          </w:tcPr>
          <w:p>
            <w:pPr>
              <w:ind w:left="340"/>
              <w:spacing w:after="0"/>
              <w:rPr>
                <w:sz w:val="20"/>
                <w:szCs w:val="20"/>
                <w:color w:val="auto"/>
              </w:rPr>
            </w:pPr>
            <w:r>
              <w:rPr>
                <w:rFonts w:ascii="Arial" w:cs="Arial" w:eastAsia="Arial" w:hAnsi="Arial"/>
                <w:sz w:val="13"/>
                <w:szCs w:val="13"/>
                <w:b w:val="1"/>
                <w:bCs w:val="1"/>
                <w:color w:val="FFFFFF"/>
              </w:rPr>
              <w:t>Option Awards</w:t>
            </w:r>
          </w:p>
        </w:tc>
        <w:tc>
          <w:tcPr>
            <w:tcW w:w="70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920" w:type="dxa"/>
            <w:vAlign w:val="bottom"/>
            <w:shd w:val="clear" w:color="auto" w:fill="00558C"/>
          </w:tcPr>
          <w:p>
            <w:pPr>
              <w:spacing w:after="0"/>
              <w:rPr>
                <w:sz w:val="14"/>
                <w:szCs w:val="14"/>
                <w:color w:val="auto"/>
              </w:rPr>
            </w:pPr>
          </w:p>
        </w:tc>
        <w:tc>
          <w:tcPr>
            <w:tcW w:w="1340" w:type="dxa"/>
            <w:vAlign w:val="bottom"/>
            <w:gridSpan w:val="2"/>
            <w:shd w:val="clear" w:color="auto" w:fill="00558C"/>
          </w:tcPr>
          <w:p>
            <w:pPr>
              <w:ind w:left="340"/>
              <w:spacing w:after="0"/>
              <w:rPr>
                <w:sz w:val="20"/>
                <w:szCs w:val="20"/>
                <w:color w:val="auto"/>
              </w:rPr>
            </w:pPr>
            <w:r>
              <w:rPr>
                <w:rFonts w:ascii="Arial" w:cs="Arial" w:eastAsia="Arial" w:hAnsi="Arial"/>
                <w:sz w:val="13"/>
                <w:szCs w:val="13"/>
                <w:b w:val="1"/>
                <w:bCs w:val="1"/>
                <w:color w:val="FFFFFF"/>
              </w:rPr>
              <w:t>Stock Awards</w:t>
            </w:r>
          </w:p>
        </w:tc>
        <w:tc>
          <w:tcPr>
            <w:tcW w:w="440" w:type="dxa"/>
            <w:vAlign w:val="bottom"/>
            <w:shd w:val="clear" w:color="auto" w:fill="00558C"/>
          </w:tcPr>
          <w:p>
            <w:pPr>
              <w:spacing w:after="0"/>
              <w:rPr>
                <w:sz w:val="14"/>
                <w:szCs w:val="14"/>
                <w:color w:val="auto"/>
              </w:rPr>
            </w:pPr>
          </w:p>
        </w:tc>
        <w:tc>
          <w:tcPr>
            <w:tcW w:w="98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20" w:type="dxa"/>
            <w:vAlign w:val="bottom"/>
            <w:shd w:val="clear" w:color="auto" w:fill="00558C"/>
          </w:tcPr>
          <w:p>
            <w:pPr>
              <w:spacing w:after="0"/>
              <w:rPr>
                <w:sz w:val="8"/>
                <w:szCs w:val="8"/>
                <w:color w:val="auto"/>
              </w:rPr>
            </w:pPr>
          </w:p>
        </w:tc>
        <w:tc>
          <w:tcPr>
            <w:tcW w:w="640" w:type="dxa"/>
            <w:vAlign w:val="bottom"/>
            <w:shd w:val="clear" w:color="auto" w:fill="00558C"/>
          </w:tcPr>
          <w:p>
            <w:pPr>
              <w:spacing w:after="0"/>
              <w:rPr>
                <w:sz w:val="8"/>
                <w:szCs w:val="8"/>
                <w:color w:val="auto"/>
              </w:rPr>
            </w:pPr>
          </w:p>
        </w:tc>
        <w:tc>
          <w:tcPr>
            <w:tcW w:w="1000" w:type="dxa"/>
            <w:vAlign w:val="bottom"/>
            <w:shd w:val="clear" w:color="auto" w:fill="00558C"/>
          </w:tcPr>
          <w:p>
            <w:pPr>
              <w:spacing w:after="0"/>
              <w:rPr>
                <w:sz w:val="8"/>
                <w:szCs w:val="8"/>
                <w:color w:val="auto"/>
              </w:rPr>
            </w:pPr>
          </w:p>
        </w:tc>
        <w:tc>
          <w:tcPr>
            <w:tcW w:w="1160" w:type="dxa"/>
            <w:vAlign w:val="bottom"/>
            <w:shd w:val="clear" w:color="auto" w:fill="00558C"/>
          </w:tcPr>
          <w:p>
            <w:pPr>
              <w:spacing w:after="0"/>
              <w:rPr>
                <w:sz w:val="8"/>
                <w:szCs w:val="8"/>
                <w:color w:val="auto"/>
              </w:rPr>
            </w:pPr>
          </w:p>
        </w:tc>
        <w:tc>
          <w:tcPr>
            <w:tcW w:w="340" w:type="dxa"/>
            <w:vAlign w:val="bottom"/>
            <w:shd w:val="clear" w:color="auto" w:fill="00558C"/>
          </w:tcPr>
          <w:p>
            <w:pPr>
              <w:spacing w:after="0"/>
              <w:rPr>
                <w:sz w:val="8"/>
                <w:szCs w:val="8"/>
                <w:color w:val="auto"/>
              </w:rPr>
            </w:pPr>
          </w:p>
        </w:tc>
        <w:tc>
          <w:tcPr>
            <w:tcW w:w="700" w:type="dxa"/>
            <w:vAlign w:val="bottom"/>
            <w:shd w:val="clear" w:color="auto" w:fill="00558C"/>
          </w:tcPr>
          <w:p>
            <w:pPr>
              <w:spacing w:after="0"/>
              <w:rPr>
                <w:sz w:val="8"/>
                <w:szCs w:val="8"/>
                <w:color w:val="auto"/>
              </w:rPr>
            </w:pPr>
          </w:p>
        </w:tc>
        <w:tc>
          <w:tcPr>
            <w:tcW w:w="740" w:type="dxa"/>
            <w:vAlign w:val="bottom"/>
            <w:shd w:val="clear" w:color="auto" w:fill="00558C"/>
          </w:tcPr>
          <w:p>
            <w:pPr>
              <w:spacing w:after="0"/>
              <w:rPr>
                <w:sz w:val="8"/>
                <w:szCs w:val="8"/>
                <w:color w:val="auto"/>
              </w:rPr>
            </w:pPr>
          </w:p>
        </w:tc>
        <w:tc>
          <w:tcPr>
            <w:tcW w:w="920" w:type="dxa"/>
            <w:vAlign w:val="bottom"/>
            <w:shd w:val="clear" w:color="auto" w:fill="00558C"/>
          </w:tcPr>
          <w:p>
            <w:pPr>
              <w:spacing w:after="0"/>
              <w:rPr>
                <w:sz w:val="8"/>
                <w:szCs w:val="8"/>
                <w:color w:val="auto"/>
              </w:rPr>
            </w:pPr>
          </w:p>
        </w:tc>
        <w:tc>
          <w:tcPr>
            <w:tcW w:w="880" w:type="dxa"/>
            <w:vAlign w:val="bottom"/>
            <w:shd w:val="clear" w:color="auto" w:fill="00558C"/>
          </w:tcPr>
          <w:p>
            <w:pPr>
              <w:spacing w:after="0"/>
              <w:rPr>
                <w:sz w:val="8"/>
                <w:szCs w:val="8"/>
                <w:color w:val="auto"/>
              </w:rPr>
            </w:pPr>
          </w:p>
        </w:tc>
        <w:tc>
          <w:tcPr>
            <w:tcW w:w="900" w:type="dxa"/>
            <w:vAlign w:val="bottom"/>
            <w:gridSpan w:val="2"/>
            <w:shd w:val="clear" w:color="auto" w:fill="00558C"/>
          </w:tcPr>
          <w:p>
            <w:pPr>
              <w:spacing w:after="0"/>
              <w:rPr>
                <w:sz w:val="8"/>
                <w:szCs w:val="8"/>
                <w:color w:val="auto"/>
              </w:rPr>
            </w:pPr>
          </w:p>
        </w:tc>
        <w:tc>
          <w:tcPr>
            <w:tcW w:w="98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20" w:type="dxa"/>
            <w:vAlign w:val="bottom"/>
            <w:vMerge w:val="restart"/>
            <w:shd w:val="clear" w:color="auto" w:fill="00558C"/>
          </w:tcPr>
          <w:p>
            <w:pPr>
              <w:spacing w:after="0"/>
              <w:rPr>
                <w:sz w:val="8"/>
                <w:szCs w:val="8"/>
                <w:color w:val="auto"/>
              </w:rPr>
            </w:pPr>
          </w:p>
        </w:tc>
        <w:tc>
          <w:tcPr>
            <w:tcW w:w="640" w:type="dxa"/>
            <w:vAlign w:val="bottom"/>
            <w:vMerge w:val="restart"/>
            <w:shd w:val="clear" w:color="auto" w:fill="00558C"/>
          </w:tcPr>
          <w:p>
            <w:pPr>
              <w:jc w:val="right"/>
              <w:spacing w:after="0"/>
              <w:rPr>
                <w:sz w:val="20"/>
                <w:szCs w:val="20"/>
                <w:color w:val="auto"/>
              </w:rPr>
            </w:pPr>
            <w:r>
              <w:rPr>
                <w:rFonts w:ascii="Arial" w:cs="Arial" w:eastAsia="Arial" w:hAnsi="Arial"/>
                <w:sz w:val="13"/>
                <w:szCs w:val="13"/>
                <w:color w:val="auto"/>
              </w:rPr>
              <w:t>3/1/2025</w:t>
            </w:r>
          </w:p>
        </w:tc>
        <w:tc>
          <w:tcPr>
            <w:tcW w:w="1000" w:type="dxa"/>
            <w:vAlign w:val="bottom"/>
            <w:vMerge w:val="restart"/>
            <w:shd w:val="clear" w:color="auto" w:fill="00558C"/>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33"/>
              <w:spacing w:after="0"/>
              <w:rPr>
                <w:sz w:val="20"/>
                <w:szCs w:val="20"/>
                <w:color w:val="auto"/>
              </w:rPr>
            </w:pPr>
            <w:r>
              <w:rPr>
                <w:rFonts w:ascii="Arial" w:cs="Arial" w:eastAsia="Arial" w:hAnsi="Arial"/>
                <w:sz w:val="13"/>
                <w:szCs w:val="13"/>
                <w:color w:val="auto"/>
              </w:rPr>
              <w:t xml:space="preserve">7,461 </w:t>
            </w:r>
            <w:r>
              <w:rPr>
                <w:rFonts w:ascii="Arial" w:cs="Arial" w:eastAsia="Arial" w:hAnsi="Arial"/>
                <w:sz w:val="17"/>
                <w:szCs w:val="17"/>
                <w:color w:val="auto"/>
                <w:vertAlign w:val="superscript"/>
              </w:rPr>
              <w:t>(4)</w:t>
            </w:r>
          </w:p>
        </w:tc>
        <w:tc>
          <w:tcPr>
            <w:tcW w:w="980" w:type="dxa"/>
            <w:vAlign w:val="bottom"/>
            <w:vMerge w:val="restart"/>
          </w:tcPr>
          <w:p>
            <w:pPr>
              <w:jc w:val="right"/>
              <w:ind w:right="93"/>
              <w:spacing w:after="0"/>
              <w:rPr>
                <w:sz w:val="20"/>
                <w:szCs w:val="20"/>
                <w:color w:val="auto"/>
              </w:rPr>
            </w:pPr>
            <w:r>
              <w:rPr>
                <w:rFonts w:ascii="Arial" w:cs="Arial" w:eastAsia="Arial" w:hAnsi="Arial"/>
                <w:sz w:val="13"/>
                <w:szCs w:val="13"/>
                <w:color w:val="auto"/>
              </w:rPr>
              <w:t>1,290,082</w:t>
            </w:r>
          </w:p>
        </w:tc>
        <w:tc>
          <w:tcPr>
            <w:tcW w:w="0" w:type="dxa"/>
            <w:vAlign w:val="bottom"/>
          </w:tcPr>
          <w:p>
            <w:pPr>
              <w:spacing w:after="0"/>
              <w:rPr>
                <w:sz w:val="1"/>
                <w:szCs w:val="1"/>
                <w:color w:val="auto"/>
              </w:rPr>
            </w:pPr>
          </w:p>
        </w:tc>
      </w:tr>
      <w:tr>
        <w:trPr>
          <w:trHeight w:val="188"/>
        </w:trPr>
        <w:tc>
          <w:tcPr>
            <w:tcW w:w="820" w:type="dxa"/>
            <w:vAlign w:val="bottom"/>
            <w:vMerge w:val="continue"/>
            <w:shd w:val="clear" w:color="auto" w:fill="00558C"/>
          </w:tcPr>
          <w:p>
            <w:pPr>
              <w:spacing w:after="0"/>
              <w:rPr>
                <w:sz w:val="16"/>
                <w:szCs w:val="16"/>
                <w:color w:val="auto"/>
              </w:rPr>
            </w:pPr>
          </w:p>
        </w:tc>
        <w:tc>
          <w:tcPr>
            <w:tcW w:w="640" w:type="dxa"/>
            <w:vAlign w:val="bottom"/>
            <w:vMerge w:val="continue"/>
            <w:shd w:val="clear" w:color="auto" w:fill="00558C"/>
          </w:tcPr>
          <w:p>
            <w:pPr>
              <w:spacing w:after="0"/>
              <w:rPr>
                <w:sz w:val="16"/>
                <w:szCs w:val="16"/>
                <w:color w:val="auto"/>
              </w:rPr>
            </w:pPr>
          </w:p>
        </w:tc>
        <w:tc>
          <w:tcPr>
            <w:tcW w:w="1000" w:type="dxa"/>
            <w:vAlign w:val="bottom"/>
            <w:vMerge w:val="continue"/>
            <w:shd w:val="clear" w:color="auto" w:fill="00558C"/>
          </w:tcPr>
          <w:p>
            <w:pPr>
              <w:spacing w:after="0"/>
              <w:rPr>
                <w:sz w:val="16"/>
                <w:szCs w:val="16"/>
                <w:color w:val="auto"/>
              </w:rPr>
            </w:pPr>
          </w:p>
        </w:tc>
        <w:tc>
          <w:tcPr>
            <w:tcW w:w="1160" w:type="dxa"/>
            <w:vAlign w:val="bottom"/>
            <w:shd w:val="clear" w:color="auto" w:fill="00558C"/>
          </w:tcPr>
          <w:p>
            <w:pPr>
              <w:ind w:left="9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2"/>
        </w:trPr>
        <w:tc>
          <w:tcPr>
            <w:tcW w:w="820" w:type="dxa"/>
            <w:vAlign w:val="bottom"/>
            <w:shd w:val="clear" w:color="auto" w:fill="00558C"/>
          </w:tcPr>
          <w:p>
            <w:pPr>
              <w:spacing w:after="0"/>
              <w:rPr>
                <w:sz w:val="24"/>
                <w:szCs w:val="24"/>
                <w:color w:val="auto"/>
              </w:rPr>
            </w:pPr>
          </w:p>
        </w:tc>
        <w:tc>
          <w:tcPr>
            <w:tcW w:w="640" w:type="dxa"/>
            <w:vAlign w:val="bottom"/>
            <w:shd w:val="clear" w:color="auto" w:fill="00558C"/>
          </w:tcPr>
          <w:p>
            <w:pPr>
              <w:spacing w:after="0"/>
              <w:rPr>
                <w:sz w:val="24"/>
                <w:szCs w:val="24"/>
                <w:color w:val="auto"/>
              </w:rPr>
            </w:pPr>
          </w:p>
        </w:tc>
        <w:tc>
          <w:tcPr>
            <w:tcW w:w="1000" w:type="dxa"/>
            <w:vAlign w:val="bottom"/>
            <w:shd w:val="clear" w:color="auto" w:fill="00558C"/>
          </w:tcPr>
          <w:p>
            <w:pPr>
              <w:spacing w:after="0"/>
              <w:rPr>
                <w:sz w:val="24"/>
                <w:szCs w:val="24"/>
                <w:color w:val="auto"/>
              </w:rPr>
            </w:pPr>
          </w:p>
        </w:tc>
        <w:tc>
          <w:tcPr>
            <w:tcW w:w="1160" w:type="dxa"/>
            <w:vAlign w:val="bottom"/>
            <w:shd w:val="clear" w:color="auto" w:fill="00558C"/>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20" w:type="dxa"/>
            <w:vAlign w:val="bottom"/>
            <w:shd w:val="clear" w:color="auto" w:fill="00558C"/>
          </w:tcPr>
          <w:p>
            <w:pPr>
              <w:spacing w:after="0"/>
              <w:rPr>
                <w:sz w:val="8"/>
                <w:szCs w:val="8"/>
                <w:color w:val="auto"/>
              </w:rPr>
            </w:pPr>
          </w:p>
        </w:tc>
        <w:tc>
          <w:tcPr>
            <w:tcW w:w="640" w:type="dxa"/>
            <w:vAlign w:val="bottom"/>
            <w:shd w:val="clear" w:color="auto" w:fill="00558C"/>
          </w:tcPr>
          <w:p>
            <w:pPr>
              <w:spacing w:after="0"/>
              <w:rPr>
                <w:sz w:val="8"/>
                <w:szCs w:val="8"/>
                <w:color w:val="auto"/>
              </w:rPr>
            </w:pPr>
          </w:p>
        </w:tc>
        <w:tc>
          <w:tcPr>
            <w:tcW w:w="1000" w:type="dxa"/>
            <w:vAlign w:val="bottom"/>
            <w:shd w:val="clear" w:color="auto" w:fill="00558C"/>
          </w:tcPr>
          <w:p>
            <w:pPr>
              <w:spacing w:after="0"/>
              <w:rPr>
                <w:sz w:val="8"/>
                <w:szCs w:val="8"/>
                <w:color w:val="auto"/>
              </w:rPr>
            </w:pPr>
          </w:p>
        </w:tc>
        <w:tc>
          <w:tcPr>
            <w:tcW w:w="1160" w:type="dxa"/>
            <w:vAlign w:val="bottom"/>
            <w:shd w:val="clear" w:color="auto" w:fill="00558C"/>
          </w:tcPr>
          <w:p>
            <w:pPr>
              <w:spacing w:after="0"/>
              <w:rPr>
                <w:sz w:val="8"/>
                <w:szCs w:val="8"/>
                <w:color w:val="auto"/>
              </w:rPr>
            </w:pPr>
          </w:p>
        </w:tc>
        <w:tc>
          <w:tcPr>
            <w:tcW w:w="340" w:type="dxa"/>
            <w:vAlign w:val="bottom"/>
            <w:shd w:val="clear" w:color="auto" w:fill="00558C"/>
          </w:tcPr>
          <w:p>
            <w:pPr>
              <w:spacing w:after="0"/>
              <w:rPr>
                <w:sz w:val="8"/>
                <w:szCs w:val="8"/>
                <w:color w:val="auto"/>
              </w:rPr>
            </w:pPr>
          </w:p>
        </w:tc>
        <w:tc>
          <w:tcPr>
            <w:tcW w:w="700" w:type="dxa"/>
            <w:vAlign w:val="bottom"/>
            <w:shd w:val="clear" w:color="auto" w:fill="00558C"/>
          </w:tcPr>
          <w:p>
            <w:pPr>
              <w:spacing w:after="0"/>
              <w:rPr>
                <w:sz w:val="8"/>
                <w:szCs w:val="8"/>
                <w:color w:val="auto"/>
              </w:rPr>
            </w:pPr>
          </w:p>
        </w:tc>
        <w:tc>
          <w:tcPr>
            <w:tcW w:w="740" w:type="dxa"/>
            <w:vAlign w:val="bottom"/>
            <w:shd w:val="clear" w:color="auto" w:fill="00558C"/>
          </w:tcPr>
          <w:p>
            <w:pPr>
              <w:spacing w:after="0"/>
              <w:rPr>
                <w:sz w:val="8"/>
                <w:szCs w:val="8"/>
                <w:color w:val="auto"/>
              </w:rPr>
            </w:pPr>
          </w:p>
        </w:tc>
        <w:tc>
          <w:tcPr>
            <w:tcW w:w="920" w:type="dxa"/>
            <w:vAlign w:val="bottom"/>
            <w:shd w:val="clear" w:color="auto" w:fill="00558C"/>
          </w:tcPr>
          <w:p>
            <w:pPr>
              <w:spacing w:after="0"/>
              <w:rPr>
                <w:sz w:val="8"/>
                <w:szCs w:val="8"/>
                <w:color w:val="auto"/>
              </w:rPr>
            </w:pPr>
          </w:p>
        </w:tc>
        <w:tc>
          <w:tcPr>
            <w:tcW w:w="880" w:type="dxa"/>
            <w:vAlign w:val="bottom"/>
            <w:shd w:val="clear" w:color="auto" w:fill="00558C"/>
          </w:tcPr>
          <w:p>
            <w:pPr>
              <w:spacing w:after="0"/>
              <w:rPr>
                <w:sz w:val="8"/>
                <w:szCs w:val="8"/>
                <w:color w:val="auto"/>
              </w:rPr>
            </w:pPr>
          </w:p>
        </w:tc>
        <w:tc>
          <w:tcPr>
            <w:tcW w:w="460" w:type="dxa"/>
            <w:vAlign w:val="bottom"/>
            <w:shd w:val="clear" w:color="auto" w:fill="00558C"/>
          </w:tcPr>
          <w:p>
            <w:pPr>
              <w:spacing w:after="0"/>
              <w:rPr>
                <w:sz w:val="8"/>
                <w:szCs w:val="8"/>
                <w:color w:val="auto"/>
              </w:rPr>
            </w:pPr>
          </w:p>
        </w:tc>
        <w:tc>
          <w:tcPr>
            <w:tcW w:w="440" w:type="dxa"/>
            <w:vAlign w:val="bottom"/>
            <w:shd w:val="clear" w:color="auto" w:fill="00558C"/>
          </w:tcPr>
          <w:p>
            <w:pPr>
              <w:spacing w:after="0"/>
              <w:rPr>
                <w:sz w:val="8"/>
                <w:szCs w:val="8"/>
                <w:color w:val="auto"/>
              </w:rPr>
            </w:pPr>
          </w:p>
        </w:tc>
        <w:tc>
          <w:tcPr>
            <w:tcW w:w="98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640" w:type="dxa"/>
            <w:vAlign w:val="bottom"/>
            <w:tcBorders>
              <w:bottom w:val="single" w:sz="8" w:color="B2B3B6"/>
            </w:tcBorders>
            <w:shd w:val="clear" w:color="auto" w:fill="F2F3F2"/>
          </w:tcPr>
          <w:p>
            <w:pPr>
              <w:spacing w:after="0"/>
              <w:rPr>
                <w:sz w:val="24"/>
                <w:szCs w:val="24"/>
                <w:color w:val="auto"/>
              </w:rPr>
            </w:pPr>
          </w:p>
        </w:tc>
        <w:tc>
          <w:tcPr>
            <w:tcW w:w="1000" w:type="dxa"/>
            <w:vAlign w:val="bottom"/>
            <w:tcBorders>
              <w:bottom w:val="single" w:sz="8" w:color="B2B3B6"/>
            </w:tcBorders>
            <w:shd w:val="clear" w:color="auto" w:fill="F2F3F2"/>
          </w:tcPr>
          <w:p>
            <w:pPr>
              <w:spacing w:after="0"/>
              <w:rPr>
                <w:sz w:val="24"/>
                <w:szCs w:val="24"/>
                <w:color w:val="auto"/>
              </w:rPr>
            </w:pPr>
          </w:p>
        </w:tc>
        <w:tc>
          <w:tcPr>
            <w:tcW w:w="1160" w:type="dxa"/>
            <w:vAlign w:val="bottom"/>
            <w:tcBorders>
              <w:bottom w:val="single" w:sz="8" w:color="B2B3B6"/>
            </w:tcBorders>
            <w:shd w:val="clear" w:color="auto" w:fill="F2F3F2"/>
          </w:tcPr>
          <w:p>
            <w:pPr>
              <w:spacing w:after="0"/>
              <w:rPr>
                <w:sz w:val="24"/>
                <w:szCs w:val="24"/>
                <w:color w:val="auto"/>
              </w:rPr>
            </w:pPr>
          </w:p>
        </w:tc>
        <w:tc>
          <w:tcPr>
            <w:tcW w:w="340" w:type="dxa"/>
            <w:vAlign w:val="bottom"/>
            <w:tcBorders>
              <w:bottom w:val="single" w:sz="8" w:color="B2B3B6"/>
            </w:tcBorders>
            <w:shd w:val="clear" w:color="auto" w:fill="F2F3F2"/>
          </w:tcPr>
          <w:p>
            <w:pPr>
              <w:spacing w:after="0"/>
              <w:rPr>
                <w:sz w:val="24"/>
                <w:szCs w:val="24"/>
                <w:color w:val="auto"/>
              </w:rPr>
            </w:pPr>
          </w:p>
        </w:tc>
        <w:tc>
          <w:tcPr>
            <w:tcW w:w="700" w:type="dxa"/>
            <w:vAlign w:val="bottom"/>
            <w:tcBorders>
              <w:bottom w:val="single" w:sz="8" w:color="B2B3B6"/>
            </w:tcBorders>
            <w:shd w:val="clear" w:color="auto" w:fill="F2F3F2"/>
          </w:tcPr>
          <w:p>
            <w:pPr>
              <w:spacing w:after="0"/>
              <w:rPr>
                <w:sz w:val="24"/>
                <w:szCs w:val="24"/>
                <w:color w:val="auto"/>
              </w:rPr>
            </w:pPr>
          </w:p>
        </w:tc>
        <w:tc>
          <w:tcPr>
            <w:tcW w:w="740" w:type="dxa"/>
            <w:vAlign w:val="bottom"/>
            <w:tcBorders>
              <w:bottom w:val="single" w:sz="8" w:color="B2B3B6"/>
            </w:tcBorders>
            <w:shd w:val="clear" w:color="auto" w:fill="F2F3F2"/>
          </w:tcPr>
          <w:p>
            <w:pPr>
              <w:spacing w:after="0"/>
              <w:rPr>
                <w:sz w:val="24"/>
                <w:szCs w:val="24"/>
                <w:color w:val="auto"/>
              </w:rPr>
            </w:pPr>
          </w:p>
        </w:tc>
        <w:tc>
          <w:tcPr>
            <w:tcW w:w="920" w:type="dxa"/>
            <w:vAlign w:val="bottom"/>
            <w:tcBorders>
              <w:bottom w:val="single" w:sz="8" w:color="B2B3B6"/>
            </w:tcBorders>
            <w:shd w:val="clear" w:color="auto" w:fill="F2F3F2"/>
          </w:tcPr>
          <w:p>
            <w:pPr>
              <w:spacing w:after="0"/>
              <w:rPr>
                <w:sz w:val="24"/>
                <w:szCs w:val="24"/>
                <w:color w:val="auto"/>
              </w:rPr>
            </w:pPr>
          </w:p>
        </w:tc>
        <w:tc>
          <w:tcPr>
            <w:tcW w:w="880" w:type="dxa"/>
            <w:vAlign w:val="bottom"/>
            <w:tcBorders>
              <w:bottom w:val="single" w:sz="8" w:color="B2B3B6"/>
            </w:tcBorders>
            <w:shd w:val="clear" w:color="auto" w:fill="F2F3F2"/>
          </w:tcPr>
          <w:p>
            <w:pPr>
              <w:spacing w:after="0"/>
              <w:rPr>
                <w:sz w:val="24"/>
                <w:szCs w:val="24"/>
                <w:color w:val="auto"/>
              </w:rPr>
            </w:pPr>
          </w:p>
        </w:tc>
        <w:tc>
          <w:tcPr>
            <w:tcW w:w="460" w:type="dxa"/>
            <w:vAlign w:val="bottom"/>
            <w:tcBorders>
              <w:bottom w:val="single" w:sz="8" w:color="B2B3B6"/>
            </w:tcBorders>
            <w:shd w:val="clear" w:color="auto" w:fill="F2F3F2"/>
          </w:tcPr>
          <w:p>
            <w:pPr>
              <w:spacing w:after="0"/>
              <w:rPr>
                <w:sz w:val="24"/>
                <w:szCs w:val="24"/>
                <w:color w:val="auto"/>
              </w:rPr>
            </w:pPr>
          </w:p>
        </w:tc>
        <w:tc>
          <w:tcPr>
            <w:tcW w:w="440" w:type="dxa"/>
            <w:vAlign w:val="bottom"/>
            <w:tcBorders>
              <w:bottom w:val="single" w:sz="8" w:color="B2B3B6"/>
            </w:tcBorders>
            <w:shd w:val="clear" w:color="auto" w:fill="F2F3F2"/>
          </w:tcPr>
          <w:p>
            <w:pPr>
              <w:spacing w:after="0"/>
              <w:rPr>
                <w:sz w:val="24"/>
                <w:szCs w:val="24"/>
                <w:color w:val="auto"/>
              </w:rPr>
            </w:pPr>
          </w:p>
        </w:tc>
        <w:tc>
          <w:tcPr>
            <w:tcW w:w="980" w:type="dxa"/>
            <w:vAlign w:val="bottom"/>
            <w:tcBorders>
              <w:bottom w:val="single" w:sz="8" w:color="B2B3B6"/>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58"/>
        </w:trPr>
        <w:tc>
          <w:tcPr>
            <w:tcW w:w="2400" w:type="dxa"/>
            <w:vAlign w:val="bottom"/>
            <w:gridSpan w:val="2"/>
            <w:vMerge w:val="restart"/>
          </w:tcPr>
          <w:p>
            <w:pPr>
              <w:spacing w:after="0"/>
              <w:rPr>
                <w:sz w:val="20"/>
                <w:szCs w:val="20"/>
                <w:color w:val="auto"/>
              </w:rPr>
            </w:pPr>
            <w:r>
              <w:rPr>
                <w:rFonts w:ascii="Arial" w:cs="Arial" w:eastAsia="Arial" w:hAnsi="Arial"/>
                <w:sz w:val="13"/>
                <w:szCs w:val="13"/>
                <w:color w:val="auto"/>
              </w:rPr>
              <w:t>Huron Consulting Group Inc.</w:t>
            </w:r>
          </w:p>
        </w:tc>
        <w:tc>
          <w:tcPr>
            <w:tcW w:w="1160" w:type="dxa"/>
            <w:vAlign w:val="bottom"/>
          </w:tcPr>
          <w:p>
            <w:pPr>
              <w:spacing w:after="0"/>
              <w:rPr>
                <w:sz w:val="5"/>
                <w:szCs w:val="5"/>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00558C"/>
              </w:rPr>
              <w:t>53</w:t>
            </w:r>
          </w:p>
        </w:tc>
        <w:tc>
          <w:tcPr>
            <w:tcW w:w="4220" w:type="dxa"/>
            <w:vAlign w:val="bottom"/>
            <w:vMerge w:val="restart"/>
          </w:tcPr>
          <w:p>
            <w:pPr>
              <w:ind w:left="2920"/>
              <w:spacing w:after="0"/>
              <w:rPr>
                <w:sz w:val="20"/>
                <w:szCs w:val="20"/>
                <w:color w:val="auto"/>
              </w:rPr>
            </w:pPr>
            <w:r>
              <w:rPr>
                <w:rFonts w:ascii="Arial" w:cs="Arial" w:eastAsia="Arial" w:hAnsi="Arial"/>
                <w:sz w:val="13"/>
                <w:szCs w:val="13"/>
                <w:color w:val="auto"/>
                <w:w w:val="99"/>
              </w:rPr>
              <w:t>2026 Proxy Statement</w:t>
            </w:r>
          </w:p>
        </w:tc>
        <w:tc>
          <w:tcPr>
            <w:tcW w:w="0" w:type="dxa"/>
            <w:vAlign w:val="bottom"/>
          </w:tcPr>
          <w:p>
            <w:pPr>
              <w:spacing w:after="0"/>
              <w:rPr>
                <w:sz w:val="1"/>
                <w:szCs w:val="1"/>
                <w:color w:val="auto"/>
              </w:rPr>
            </w:pPr>
          </w:p>
        </w:tc>
      </w:tr>
      <w:tr>
        <w:trPr>
          <w:trHeight w:val="134"/>
        </w:trPr>
        <w:tc>
          <w:tcPr>
            <w:tcW w:w="2400" w:type="dxa"/>
            <w:vAlign w:val="bottom"/>
            <w:gridSpan w:val="2"/>
            <w:vMerge w:val="continue"/>
          </w:tcPr>
          <w:p>
            <w:pPr>
              <w:spacing w:after="0"/>
              <w:rPr>
                <w:sz w:val="11"/>
                <w:szCs w:val="11"/>
                <w:color w:val="auto"/>
              </w:rPr>
            </w:pPr>
          </w:p>
        </w:tc>
        <w:tc>
          <w:tcPr>
            <w:tcW w:w="1160" w:type="dxa"/>
            <w:vAlign w:val="bottom"/>
            <w:shd w:val="clear" w:color="auto" w:fill="F2F3F2"/>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4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760" w:type="dxa"/>
            <w:vAlign w:val="bottom"/>
          </w:tcPr>
          <w:p>
            <w:pPr>
              <w:spacing w:after="0"/>
              <w:rPr>
                <w:sz w:val="24"/>
                <w:szCs w:val="24"/>
                <w:color w:val="auto"/>
              </w:rPr>
            </w:pPr>
          </w:p>
        </w:tc>
        <w:tc>
          <w:tcPr>
            <w:tcW w:w="1640" w:type="dxa"/>
            <w:vAlign w:val="bottom"/>
            <w:tcBorders>
              <w:bottom w:val="single" w:sz="8" w:color="B2B3B6"/>
            </w:tcBorders>
          </w:tcPr>
          <w:p>
            <w:pPr>
              <w:spacing w:after="0"/>
              <w:rPr>
                <w:sz w:val="24"/>
                <w:szCs w:val="24"/>
                <w:color w:val="auto"/>
              </w:rPr>
            </w:pPr>
          </w:p>
        </w:tc>
        <w:tc>
          <w:tcPr>
            <w:tcW w:w="1160" w:type="dxa"/>
            <w:vAlign w:val="bottom"/>
            <w:tcBorders>
              <w:bottom w:val="single" w:sz="8" w:color="B2B3B6"/>
            </w:tcBorders>
            <w:shd w:val="clear" w:color="auto" w:fill="F2F3F2"/>
          </w:tcPr>
          <w:p>
            <w:pPr>
              <w:spacing w:after="0"/>
              <w:rPr>
                <w:sz w:val="24"/>
                <w:szCs w:val="24"/>
                <w:color w:val="auto"/>
              </w:rPr>
            </w:pPr>
          </w:p>
        </w:tc>
        <w:tc>
          <w:tcPr>
            <w:tcW w:w="60" w:type="dxa"/>
            <w:vAlign w:val="bottom"/>
            <w:tcBorders>
              <w:bottom w:val="single" w:sz="8" w:color="B2B3B6"/>
            </w:tcBorders>
          </w:tcPr>
          <w:p>
            <w:pPr>
              <w:spacing w:after="0"/>
              <w:rPr>
                <w:sz w:val="24"/>
                <w:szCs w:val="24"/>
                <w:color w:val="auto"/>
              </w:rPr>
            </w:pPr>
          </w:p>
        </w:tc>
        <w:tc>
          <w:tcPr>
            <w:tcW w:w="1180" w:type="dxa"/>
            <w:vAlign w:val="bottom"/>
            <w:tcBorders>
              <w:bottom w:val="single" w:sz="8" w:color="B2B3B6"/>
            </w:tcBorders>
          </w:tcPr>
          <w:p>
            <w:pPr>
              <w:spacing w:after="0"/>
              <w:rPr>
                <w:sz w:val="24"/>
                <w:szCs w:val="24"/>
                <w:color w:val="auto"/>
              </w:rPr>
            </w:pPr>
          </w:p>
        </w:tc>
        <w:tc>
          <w:tcPr>
            <w:tcW w:w="4220" w:type="dxa"/>
            <w:vAlign w:val="bottom"/>
            <w:tcBorders>
              <w:bottom w:val="single" w:sz="8" w:color="B2B3B6"/>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shd w:val="clear" w:color="auto" w:fill="F2F3F2"/>
          </w:tcPr>
          <w:p>
            <w:pPr>
              <w:spacing w:after="0"/>
              <w:rPr>
                <w:sz w:val="12"/>
                <w:szCs w:val="12"/>
                <w:color w:val="auto"/>
              </w:rPr>
            </w:pPr>
          </w:p>
        </w:tc>
        <w:tc>
          <w:tcPr>
            <w:tcW w:w="60" w:type="dxa"/>
            <w:vAlign w:val="bottom"/>
            <w:shd w:val="clear" w:color="auto" w:fill="F2F3F2"/>
          </w:tcPr>
          <w:p>
            <w:pPr>
              <w:spacing w:after="0"/>
              <w:rPr>
                <w:sz w:val="12"/>
                <w:szCs w:val="12"/>
                <w:color w:val="auto"/>
              </w:rPr>
            </w:pPr>
          </w:p>
        </w:tc>
        <w:tc>
          <w:tcPr>
            <w:tcW w:w="1180" w:type="dxa"/>
            <w:vAlign w:val="bottom"/>
            <w:shd w:val="clear" w:color="auto" w:fill="F2F3F2"/>
          </w:tcPr>
          <w:p>
            <w:pPr>
              <w:spacing w:after="0"/>
              <w:rPr>
                <w:sz w:val="12"/>
                <w:szCs w:val="12"/>
                <w:color w:val="auto"/>
              </w:rPr>
            </w:pPr>
          </w:p>
        </w:tc>
        <w:tc>
          <w:tcPr>
            <w:tcW w:w="422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bottom w:val="single" w:sz="8" w:color="6AAA37"/>
            </w:tcBorders>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-250190</wp:posOffset>
            </wp:positionV>
            <wp:extent cx="6810375" cy="768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7688580"/>
                    </a:xfrm>
                    <a:prstGeom prst="rect">
                      <a:avLst/>
                    </a:prstGeom>
                    <a:noFill/>
                  </pic:spPr>
                </pic:pic>
              </a:graphicData>
            </a:graphic>
          </wp:anchor>
        </w:drawing>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Arial" w:cs="Arial" w:eastAsia="Arial" w:hAnsi="Arial"/>
                <w:sz w:val="13"/>
                <w:szCs w:val="13"/>
                <w:b w:val="1"/>
                <w:bCs w:val="1"/>
                <w:color w:val="B2B3B6"/>
              </w:rPr>
              <w:t>General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180" w:type="dxa"/>
            <w:vAlign w:val="bottom"/>
          </w:tcPr>
          <w:p>
            <w:pPr>
              <w:ind w:left="140"/>
              <w:spacing w:after="0"/>
              <w:rPr>
                <w:sz w:val="20"/>
                <w:szCs w:val="20"/>
                <w:color w:val="auto"/>
              </w:rPr>
            </w:pPr>
            <w:r>
              <w:rPr>
                <w:rFonts w:ascii="Arial" w:cs="Arial" w:eastAsia="Arial" w:hAnsi="Arial"/>
                <w:sz w:val="13"/>
                <w:szCs w:val="13"/>
                <w:b w:val="1"/>
                <w:bCs w:val="1"/>
                <w:color w:val="6AAA37"/>
              </w:rPr>
              <w:t>Executive</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B2B3B6"/>
              </w:rPr>
              <w:t>Other</w:t>
            </w:r>
          </w:p>
        </w:tc>
      </w:tr>
      <w:tr>
        <w:trPr>
          <w:trHeight w:val="172"/>
        </w:trPr>
        <w:tc>
          <w:tcPr>
            <w:tcW w:w="86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80" w:type="dxa"/>
            <w:vAlign w:val="bottom"/>
          </w:tcPr>
          <w:p>
            <w:pPr>
              <w:ind w:left="140"/>
              <w:spacing w:after="0"/>
              <w:rPr>
                <w:sz w:val="20"/>
                <w:szCs w:val="20"/>
                <w:color w:val="auto"/>
              </w:rPr>
            </w:pPr>
            <w:r>
              <w:rPr>
                <w:rFonts w:ascii="Arial" w:cs="Arial" w:eastAsia="Arial" w:hAnsi="Arial"/>
                <w:sz w:val="13"/>
                <w:szCs w:val="13"/>
                <w:b w:val="1"/>
                <w:bCs w:val="1"/>
                <w:color w:val="6AAA37"/>
              </w:rPr>
              <w:t>Compensation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Three</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B2B3B6"/>
                <w:w w:val="90"/>
              </w:rPr>
              <w:t>Matters</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820" w:type="dxa"/>
            <w:vAlign w:val="bottom"/>
            <w:shd w:val="clear" w:color="auto" w:fill="00558C"/>
          </w:tcPr>
          <w:p>
            <w:pPr>
              <w:spacing w:after="0"/>
              <w:rPr>
                <w:sz w:val="24"/>
                <w:szCs w:val="24"/>
                <w:color w:val="auto"/>
              </w:rPr>
            </w:pPr>
          </w:p>
        </w:tc>
        <w:tc>
          <w:tcPr>
            <w:tcW w:w="640" w:type="dxa"/>
            <w:vAlign w:val="bottom"/>
            <w:shd w:val="clear" w:color="auto" w:fill="00558C"/>
          </w:tcPr>
          <w:p>
            <w:pPr>
              <w:spacing w:after="0"/>
              <w:rPr>
                <w:sz w:val="24"/>
                <w:szCs w:val="24"/>
                <w:color w:val="auto"/>
              </w:rPr>
            </w:pPr>
          </w:p>
        </w:tc>
        <w:tc>
          <w:tcPr>
            <w:tcW w:w="1000" w:type="dxa"/>
            <w:vAlign w:val="bottom"/>
            <w:shd w:val="clear" w:color="auto" w:fill="00558C"/>
          </w:tcPr>
          <w:p>
            <w:pPr>
              <w:spacing w:after="0"/>
              <w:rPr>
                <w:sz w:val="24"/>
                <w:szCs w:val="24"/>
                <w:color w:val="auto"/>
              </w:rPr>
            </w:pPr>
          </w:p>
        </w:tc>
        <w:tc>
          <w:tcPr>
            <w:tcW w:w="1900" w:type="dxa"/>
            <w:vAlign w:val="bottom"/>
            <w:gridSpan w:val="2"/>
            <w:shd w:val="clear" w:color="auto" w:fill="00558C"/>
          </w:tcPr>
          <w:p>
            <w:pPr>
              <w:jc w:val="right"/>
              <w:ind w:right="533"/>
              <w:spacing w:after="0"/>
              <w:rPr>
                <w:sz w:val="20"/>
                <w:szCs w:val="20"/>
                <w:color w:val="auto"/>
              </w:rPr>
            </w:pPr>
            <w:r>
              <w:rPr>
                <w:rFonts w:ascii="Arial" w:cs="Arial" w:eastAsia="Arial" w:hAnsi="Arial"/>
                <w:sz w:val="13"/>
                <w:szCs w:val="13"/>
                <w:b w:val="1"/>
                <w:bCs w:val="1"/>
                <w:color w:val="FFFFFF"/>
              </w:rPr>
              <w:t>Option Awards</w:t>
            </w:r>
          </w:p>
        </w:tc>
        <w:tc>
          <w:tcPr>
            <w:tcW w:w="860" w:type="dxa"/>
            <w:vAlign w:val="bottom"/>
            <w:shd w:val="clear" w:color="auto" w:fill="00558C"/>
          </w:tcPr>
          <w:p>
            <w:pPr>
              <w:spacing w:after="0"/>
              <w:rPr>
                <w:sz w:val="24"/>
                <w:szCs w:val="24"/>
                <w:color w:val="auto"/>
              </w:rPr>
            </w:pPr>
          </w:p>
        </w:tc>
        <w:tc>
          <w:tcPr>
            <w:tcW w:w="100" w:type="dxa"/>
            <w:vAlign w:val="bottom"/>
            <w:shd w:val="clear" w:color="auto" w:fill="00558C"/>
          </w:tcPr>
          <w:p>
            <w:pPr>
              <w:spacing w:after="0"/>
              <w:rPr>
                <w:sz w:val="24"/>
                <w:szCs w:val="24"/>
                <w:color w:val="auto"/>
              </w:rPr>
            </w:pPr>
          </w:p>
        </w:tc>
        <w:tc>
          <w:tcPr>
            <w:tcW w:w="880" w:type="dxa"/>
            <w:vAlign w:val="bottom"/>
            <w:shd w:val="clear" w:color="auto" w:fill="00558C"/>
          </w:tcPr>
          <w:p>
            <w:pPr>
              <w:spacing w:after="0"/>
              <w:rPr>
                <w:sz w:val="24"/>
                <w:szCs w:val="24"/>
                <w:color w:val="auto"/>
              </w:rPr>
            </w:pPr>
          </w:p>
        </w:tc>
        <w:tc>
          <w:tcPr>
            <w:tcW w:w="1740" w:type="dxa"/>
            <w:vAlign w:val="bottom"/>
            <w:gridSpan w:val="2"/>
            <w:shd w:val="clear" w:color="auto" w:fill="00558C"/>
          </w:tcPr>
          <w:p>
            <w:pPr>
              <w:jc w:val="right"/>
              <w:ind w:right="313"/>
              <w:spacing w:after="0"/>
              <w:rPr>
                <w:sz w:val="20"/>
                <w:szCs w:val="20"/>
                <w:color w:val="auto"/>
              </w:rPr>
            </w:pPr>
            <w:r>
              <w:rPr>
                <w:rFonts w:ascii="Arial" w:cs="Arial" w:eastAsia="Arial" w:hAnsi="Arial"/>
                <w:sz w:val="13"/>
                <w:szCs w:val="13"/>
                <w:b w:val="1"/>
                <w:bCs w:val="1"/>
                <w:color w:val="FFFFFF"/>
              </w:rPr>
              <w:t>Stock Awards</w:t>
            </w:r>
          </w:p>
        </w:tc>
        <w:tc>
          <w:tcPr>
            <w:tcW w:w="1040" w:type="dxa"/>
            <w:vAlign w:val="bottom"/>
            <w:shd w:val="clear" w:color="auto" w:fill="00558C"/>
          </w:tcPr>
          <w:p>
            <w:pPr>
              <w:spacing w:after="0"/>
              <w:rPr>
                <w:sz w:val="24"/>
                <w:szCs w:val="24"/>
                <w:color w:val="auto"/>
              </w:rPr>
            </w:pPr>
          </w:p>
        </w:tc>
        <w:tc>
          <w:tcPr>
            <w:tcW w:w="10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20" w:type="dxa"/>
            <w:vAlign w:val="bottom"/>
            <w:shd w:val="clear" w:color="auto" w:fill="00558C"/>
          </w:tcPr>
          <w:p>
            <w:pPr>
              <w:spacing w:after="0"/>
              <w:rPr>
                <w:sz w:val="24"/>
                <w:szCs w:val="24"/>
                <w:color w:val="auto"/>
              </w:rPr>
            </w:pPr>
          </w:p>
        </w:tc>
        <w:tc>
          <w:tcPr>
            <w:tcW w:w="640" w:type="dxa"/>
            <w:vAlign w:val="bottom"/>
            <w:shd w:val="clear" w:color="auto" w:fill="00558C"/>
          </w:tcPr>
          <w:p>
            <w:pPr>
              <w:spacing w:after="0"/>
              <w:rPr>
                <w:sz w:val="24"/>
                <w:szCs w:val="24"/>
                <w:color w:val="auto"/>
              </w:rPr>
            </w:pPr>
          </w:p>
        </w:tc>
        <w:tc>
          <w:tcPr>
            <w:tcW w:w="1000" w:type="dxa"/>
            <w:vAlign w:val="bottom"/>
            <w:shd w:val="clear" w:color="auto" w:fill="00558C"/>
          </w:tcPr>
          <w:p>
            <w:pPr>
              <w:spacing w:after="0"/>
              <w:rPr>
                <w:sz w:val="24"/>
                <w:szCs w:val="24"/>
                <w:color w:val="auto"/>
              </w:rPr>
            </w:pPr>
          </w:p>
        </w:tc>
        <w:tc>
          <w:tcPr>
            <w:tcW w:w="1160" w:type="dxa"/>
            <w:vAlign w:val="bottom"/>
            <w:shd w:val="clear" w:color="auto" w:fill="00558C"/>
          </w:tcPr>
          <w:p>
            <w:pPr>
              <w:spacing w:after="0"/>
              <w:rPr>
                <w:sz w:val="24"/>
                <w:szCs w:val="24"/>
                <w:color w:val="auto"/>
              </w:rPr>
            </w:pPr>
          </w:p>
        </w:tc>
        <w:tc>
          <w:tcPr>
            <w:tcW w:w="740" w:type="dxa"/>
            <w:vAlign w:val="bottom"/>
            <w:shd w:val="clear" w:color="auto" w:fill="00558C"/>
          </w:tcPr>
          <w:p>
            <w:pPr>
              <w:spacing w:after="0"/>
              <w:rPr>
                <w:sz w:val="24"/>
                <w:szCs w:val="24"/>
                <w:color w:val="auto"/>
              </w:rPr>
            </w:pPr>
          </w:p>
        </w:tc>
        <w:tc>
          <w:tcPr>
            <w:tcW w:w="860" w:type="dxa"/>
            <w:vAlign w:val="bottom"/>
            <w:shd w:val="clear" w:color="auto" w:fill="00558C"/>
          </w:tcPr>
          <w:p>
            <w:pPr>
              <w:spacing w:after="0"/>
              <w:rPr>
                <w:sz w:val="24"/>
                <w:szCs w:val="24"/>
                <w:color w:val="auto"/>
              </w:rPr>
            </w:pPr>
          </w:p>
        </w:tc>
        <w:tc>
          <w:tcPr>
            <w:tcW w:w="100" w:type="dxa"/>
            <w:vAlign w:val="bottom"/>
            <w:shd w:val="clear" w:color="auto" w:fill="00558C"/>
          </w:tcPr>
          <w:p>
            <w:pPr>
              <w:spacing w:after="0"/>
              <w:rPr>
                <w:sz w:val="24"/>
                <w:szCs w:val="24"/>
                <w:color w:val="auto"/>
              </w:rPr>
            </w:pPr>
          </w:p>
        </w:tc>
        <w:tc>
          <w:tcPr>
            <w:tcW w:w="880" w:type="dxa"/>
            <w:vAlign w:val="bottom"/>
            <w:shd w:val="clear" w:color="auto" w:fill="00558C"/>
          </w:tcPr>
          <w:p>
            <w:pPr>
              <w:spacing w:after="0"/>
              <w:rPr>
                <w:sz w:val="24"/>
                <w:szCs w:val="24"/>
                <w:color w:val="auto"/>
              </w:rPr>
            </w:pPr>
          </w:p>
        </w:tc>
        <w:tc>
          <w:tcPr>
            <w:tcW w:w="820" w:type="dxa"/>
            <w:vAlign w:val="bottom"/>
            <w:shd w:val="clear" w:color="auto" w:fill="00558C"/>
          </w:tcPr>
          <w:p>
            <w:pPr>
              <w:spacing w:after="0"/>
              <w:rPr>
                <w:sz w:val="24"/>
                <w:szCs w:val="24"/>
                <w:color w:val="auto"/>
              </w:rPr>
            </w:pP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Equity</w:t>
            </w:r>
          </w:p>
        </w:tc>
        <w:tc>
          <w:tcPr>
            <w:tcW w:w="1140" w:type="dxa"/>
            <w:vAlign w:val="bottom"/>
            <w:gridSpan w:val="2"/>
            <w:shd w:val="clear" w:color="auto" w:fill="00558C"/>
          </w:tcPr>
          <w:p>
            <w:pPr>
              <w:ind w:left="520"/>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920" w:type="dxa"/>
            <w:vAlign w:val="bottom"/>
            <w:shd w:val="clear" w:color="auto" w:fill="00558C"/>
          </w:tcPr>
          <w:p>
            <w:pPr>
              <w:jc w:val="center"/>
              <w:ind w:left="33"/>
              <w:spacing w:after="0"/>
              <w:rPr>
                <w:sz w:val="20"/>
                <w:szCs w:val="20"/>
                <w:color w:val="auto"/>
              </w:rPr>
            </w:pPr>
            <w:r>
              <w:rPr>
                <w:rFonts w:ascii="Arial" w:cs="Arial" w:eastAsia="Arial" w:hAnsi="Arial"/>
                <w:sz w:val="13"/>
                <w:szCs w:val="13"/>
                <w:b w:val="1"/>
                <w:bCs w:val="1"/>
                <w:color w:val="FFFFFF"/>
              </w:rPr>
              <w:t>Incentive</w:t>
            </w:r>
          </w:p>
        </w:tc>
        <w:tc>
          <w:tcPr>
            <w:tcW w:w="1140" w:type="dxa"/>
            <w:vAlign w:val="bottom"/>
            <w:gridSpan w:val="2"/>
            <w:shd w:val="clear" w:color="auto" w:fill="00558C"/>
          </w:tcPr>
          <w:p>
            <w:pPr>
              <w:jc w:val="right"/>
              <w:ind w:right="240"/>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Plan</w:t>
            </w:r>
          </w:p>
        </w:tc>
        <w:tc>
          <w:tcPr>
            <w:tcW w:w="1140" w:type="dxa"/>
            <w:vAlign w:val="bottom"/>
            <w:gridSpan w:val="2"/>
            <w:shd w:val="clear" w:color="auto" w:fill="00558C"/>
          </w:tcPr>
          <w:p>
            <w:pPr>
              <w:jc w:val="right"/>
              <w:ind w:right="220"/>
              <w:spacing w:after="0"/>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Awards:</w:t>
            </w:r>
          </w:p>
        </w:tc>
        <w:tc>
          <w:tcPr>
            <w:tcW w:w="1140" w:type="dxa"/>
            <w:vAlign w:val="bottom"/>
            <w:gridSpan w:val="2"/>
            <w:shd w:val="clear" w:color="auto" w:fill="00558C"/>
          </w:tcPr>
          <w:p>
            <w:pPr>
              <w:jc w:val="right"/>
              <w:ind w:right="240"/>
              <w:spacing w:after="0"/>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spacing w:after="0"/>
              <w:rPr>
                <w:sz w:val="14"/>
                <w:szCs w:val="14"/>
                <w:color w:val="auto"/>
              </w:rPr>
            </w:pP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Market</w:t>
            </w:r>
          </w:p>
        </w:tc>
        <w:tc>
          <w:tcPr>
            <w:tcW w:w="92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Number of</w:t>
            </w:r>
          </w:p>
        </w:tc>
        <w:tc>
          <w:tcPr>
            <w:tcW w:w="1140" w:type="dxa"/>
            <w:vAlign w:val="bottom"/>
            <w:gridSpan w:val="2"/>
            <w:shd w:val="clear" w:color="auto" w:fill="00558C"/>
          </w:tcPr>
          <w:p>
            <w:pPr>
              <w:ind w:left="480"/>
              <w:spacing w:after="0"/>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Number of</w:t>
            </w: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Value of</w:t>
            </w:r>
          </w:p>
        </w:tc>
        <w:tc>
          <w:tcPr>
            <w:tcW w:w="9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Unearned</w:t>
            </w:r>
          </w:p>
        </w:tc>
        <w:tc>
          <w:tcPr>
            <w:tcW w:w="1140" w:type="dxa"/>
            <w:vAlign w:val="bottom"/>
            <w:gridSpan w:val="2"/>
            <w:shd w:val="clear" w:color="auto" w:fill="00558C"/>
          </w:tcPr>
          <w:p>
            <w:pPr>
              <w:jc w:val="right"/>
              <w:ind w:right="220"/>
              <w:spacing w:after="0"/>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Shares or</w:t>
            </w:r>
          </w:p>
        </w:tc>
        <w:tc>
          <w:tcPr>
            <w:tcW w:w="8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Shares</w:t>
            </w:r>
          </w:p>
        </w:tc>
        <w:tc>
          <w:tcPr>
            <w:tcW w:w="9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Shares,</w:t>
            </w:r>
          </w:p>
        </w:tc>
        <w:tc>
          <w:tcPr>
            <w:tcW w:w="1140" w:type="dxa"/>
            <w:vAlign w:val="bottom"/>
            <w:gridSpan w:val="2"/>
            <w:shd w:val="clear" w:color="auto" w:fill="00558C"/>
          </w:tcPr>
          <w:p>
            <w:pPr>
              <w:jc w:val="right"/>
              <w:ind w:right="240"/>
              <w:spacing w:after="0"/>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Number of</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Number of</w:t>
            </w: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Units</w:t>
            </w:r>
          </w:p>
        </w:tc>
        <w:tc>
          <w:tcPr>
            <w:tcW w:w="8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or Units</w:t>
            </w: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Units or</w:t>
            </w:r>
          </w:p>
        </w:tc>
        <w:tc>
          <w:tcPr>
            <w:tcW w:w="1140" w:type="dxa"/>
            <w:vAlign w:val="bottom"/>
            <w:gridSpan w:val="2"/>
            <w:shd w:val="clear" w:color="auto" w:fill="00558C"/>
          </w:tcPr>
          <w:p>
            <w:pPr>
              <w:jc w:val="right"/>
              <w:ind w:right="220"/>
              <w:spacing w:after="0"/>
              <w:rPr>
                <w:sz w:val="20"/>
                <w:szCs w:val="20"/>
                <w:color w:val="auto"/>
              </w:rPr>
            </w:pPr>
            <w:r>
              <w:rPr>
                <w:rFonts w:ascii="Arial" w:cs="Arial" w:eastAsia="Arial" w:hAnsi="Arial"/>
                <w:sz w:val="13"/>
                <w:szCs w:val="13"/>
                <w:b w:val="1"/>
                <w:bCs w:val="1"/>
                <w:color w:val="FFFFFF"/>
              </w:rPr>
              <w:t>Shares, Units</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Securities</w:t>
            </w:r>
          </w:p>
        </w:tc>
        <w:tc>
          <w:tcPr>
            <w:tcW w:w="1160" w:type="dxa"/>
            <w:vAlign w:val="bottom"/>
            <w:shd w:val="clear" w:color="auto" w:fill="00558C"/>
          </w:tcPr>
          <w:p>
            <w:pPr>
              <w:ind w:left="400"/>
              <w:spacing w:after="0"/>
              <w:rPr>
                <w:sz w:val="20"/>
                <w:szCs w:val="20"/>
                <w:color w:val="auto"/>
              </w:rPr>
            </w:pPr>
            <w:r>
              <w:rPr>
                <w:rFonts w:ascii="Arial" w:cs="Arial" w:eastAsia="Arial" w:hAnsi="Arial"/>
                <w:sz w:val="13"/>
                <w:szCs w:val="13"/>
                <w:b w:val="1"/>
                <w:bCs w:val="1"/>
                <w:color w:val="FFFFFF"/>
              </w:rPr>
              <w:t>Securities</w:t>
            </w: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of Stock</w:t>
            </w:r>
          </w:p>
        </w:tc>
        <w:tc>
          <w:tcPr>
            <w:tcW w:w="8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of Stock</w:t>
            </w:r>
          </w:p>
        </w:tc>
        <w:tc>
          <w:tcPr>
            <w:tcW w:w="9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Other</w:t>
            </w:r>
          </w:p>
        </w:tc>
        <w:tc>
          <w:tcPr>
            <w:tcW w:w="1140" w:type="dxa"/>
            <w:vAlign w:val="bottom"/>
            <w:gridSpan w:val="2"/>
            <w:shd w:val="clear" w:color="auto" w:fill="00558C"/>
          </w:tcPr>
          <w:p>
            <w:pPr>
              <w:jc w:val="right"/>
              <w:ind w:right="220"/>
              <w:spacing w:after="0"/>
              <w:rPr>
                <w:sz w:val="20"/>
                <w:szCs w:val="20"/>
                <w:color w:val="auto"/>
              </w:rPr>
            </w:pPr>
            <w:r>
              <w:rPr>
                <w:rFonts w:ascii="Arial" w:cs="Arial" w:eastAsia="Arial" w:hAnsi="Arial"/>
                <w:sz w:val="13"/>
                <w:szCs w:val="13"/>
                <w:b w:val="1"/>
                <w:bCs w:val="1"/>
                <w:color w:val="FFFFFF"/>
              </w:rPr>
              <w:t>or Other</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Underlying</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Underlying</w:t>
            </w:r>
          </w:p>
        </w:tc>
        <w:tc>
          <w:tcPr>
            <w:tcW w:w="74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Option</w:t>
            </w:r>
          </w:p>
        </w:tc>
        <w:tc>
          <w:tcPr>
            <w:tcW w:w="860" w:type="dxa"/>
            <w:vAlign w:val="bottom"/>
            <w:shd w:val="clear" w:color="auto" w:fill="00558C"/>
          </w:tcPr>
          <w:p>
            <w:pPr>
              <w:spacing w:after="0"/>
              <w:rPr>
                <w:sz w:val="14"/>
                <w:szCs w:val="14"/>
                <w:color w:val="auto"/>
              </w:rPr>
            </w:pP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that</w:t>
            </w:r>
          </w:p>
        </w:tc>
        <w:tc>
          <w:tcPr>
            <w:tcW w:w="8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that</w:t>
            </w:r>
          </w:p>
        </w:tc>
        <w:tc>
          <w:tcPr>
            <w:tcW w:w="92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Rights that</w:t>
            </w:r>
          </w:p>
        </w:tc>
        <w:tc>
          <w:tcPr>
            <w:tcW w:w="1140" w:type="dxa"/>
            <w:vAlign w:val="bottom"/>
            <w:gridSpan w:val="2"/>
            <w:shd w:val="clear" w:color="auto" w:fill="00558C"/>
          </w:tcPr>
          <w:p>
            <w:pPr>
              <w:jc w:val="right"/>
              <w:ind w:right="240"/>
              <w:spacing w:after="0"/>
              <w:rPr>
                <w:sz w:val="20"/>
                <w:szCs w:val="20"/>
                <w:color w:val="auto"/>
              </w:rPr>
            </w:pPr>
            <w:r>
              <w:rPr>
                <w:rFonts w:ascii="Arial" w:cs="Arial" w:eastAsia="Arial" w:hAnsi="Arial"/>
                <w:sz w:val="13"/>
                <w:szCs w:val="13"/>
                <w:b w:val="1"/>
                <w:bCs w:val="1"/>
                <w:color w:val="FFFFFF"/>
              </w:rPr>
              <w:t>Rights that</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Unexercised</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Unexercised</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Exercise</w:t>
            </w:r>
          </w:p>
        </w:tc>
        <w:tc>
          <w:tcPr>
            <w:tcW w:w="860" w:type="dxa"/>
            <w:vAlign w:val="bottom"/>
            <w:shd w:val="clear" w:color="auto" w:fill="00558C"/>
          </w:tcPr>
          <w:p>
            <w:pPr>
              <w:jc w:val="right"/>
              <w:ind w:right="169"/>
              <w:spacing w:after="0"/>
              <w:rPr>
                <w:sz w:val="20"/>
                <w:szCs w:val="20"/>
                <w:color w:val="auto"/>
              </w:rPr>
            </w:pPr>
            <w:r>
              <w:rPr>
                <w:rFonts w:ascii="Arial" w:cs="Arial" w:eastAsia="Arial" w:hAnsi="Arial"/>
                <w:sz w:val="13"/>
                <w:szCs w:val="13"/>
                <w:b w:val="1"/>
                <w:bCs w:val="1"/>
                <w:color w:val="FFFFFF"/>
              </w:rPr>
              <w:t>Option</w:t>
            </w: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Have Not</w:t>
            </w: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Have Not</w:t>
            </w:r>
          </w:p>
        </w:tc>
        <w:tc>
          <w:tcPr>
            <w:tcW w:w="920" w:type="dxa"/>
            <w:vAlign w:val="bottom"/>
            <w:shd w:val="clear" w:color="auto" w:fill="00558C"/>
          </w:tcPr>
          <w:p>
            <w:pPr>
              <w:jc w:val="center"/>
              <w:ind w:left="53"/>
              <w:spacing w:after="0"/>
              <w:rPr>
                <w:sz w:val="20"/>
                <w:szCs w:val="20"/>
                <w:color w:val="auto"/>
              </w:rPr>
            </w:pPr>
            <w:r>
              <w:rPr>
                <w:rFonts w:ascii="Arial" w:cs="Arial" w:eastAsia="Arial" w:hAnsi="Arial"/>
                <w:sz w:val="13"/>
                <w:szCs w:val="13"/>
                <w:b w:val="1"/>
                <w:bCs w:val="1"/>
                <w:color w:val="FFFFFF"/>
              </w:rPr>
              <w:t>Have Not</w:t>
            </w:r>
          </w:p>
        </w:tc>
        <w:tc>
          <w:tcPr>
            <w:tcW w:w="1140" w:type="dxa"/>
            <w:vAlign w:val="bottom"/>
            <w:gridSpan w:val="2"/>
            <w:shd w:val="clear" w:color="auto" w:fill="00558C"/>
          </w:tcPr>
          <w:p>
            <w:pPr>
              <w:jc w:val="right"/>
              <w:ind w:right="220"/>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Grant</w:t>
            </w: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Options (#)</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Options (#)</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Price</w:t>
            </w:r>
          </w:p>
        </w:tc>
        <w:tc>
          <w:tcPr>
            <w:tcW w:w="860" w:type="dxa"/>
            <w:vAlign w:val="bottom"/>
            <w:shd w:val="clear" w:color="auto" w:fill="00558C"/>
          </w:tcPr>
          <w:p>
            <w:pPr>
              <w:jc w:val="right"/>
              <w:ind w:right="49"/>
              <w:spacing w:after="0"/>
              <w:rPr>
                <w:sz w:val="20"/>
                <w:szCs w:val="20"/>
                <w:color w:val="auto"/>
              </w:rPr>
            </w:pPr>
            <w:r>
              <w:rPr>
                <w:rFonts w:ascii="Arial" w:cs="Arial" w:eastAsia="Arial" w:hAnsi="Arial"/>
                <w:sz w:val="13"/>
                <w:szCs w:val="13"/>
                <w:b w:val="1"/>
                <w:bCs w:val="1"/>
                <w:color w:val="FFFFFF"/>
              </w:rPr>
              <w:t>Expiration</w:t>
            </w:r>
          </w:p>
        </w:tc>
        <w:tc>
          <w:tcPr>
            <w:tcW w:w="100" w:type="dxa"/>
            <w:vAlign w:val="bottom"/>
            <w:shd w:val="clear" w:color="auto" w:fill="00558C"/>
          </w:tcPr>
          <w:p>
            <w:pPr>
              <w:spacing w:after="0"/>
              <w:rPr>
                <w:sz w:val="14"/>
                <w:szCs w:val="14"/>
                <w:color w:val="auto"/>
              </w:rPr>
            </w:pPr>
          </w:p>
        </w:tc>
        <w:tc>
          <w:tcPr>
            <w:tcW w:w="88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Vested</w:t>
            </w: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Vested</w:t>
            </w:r>
          </w:p>
        </w:tc>
        <w:tc>
          <w:tcPr>
            <w:tcW w:w="9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Vested</w:t>
            </w:r>
          </w:p>
        </w:tc>
        <w:tc>
          <w:tcPr>
            <w:tcW w:w="1140" w:type="dxa"/>
            <w:vAlign w:val="bottom"/>
            <w:gridSpan w:val="2"/>
            <w:shd w:val="clear" w:color="auto" w:fill="00558C"/>
          </w:tcPr>
          <w:p>
            <w:pPr>
              <w:jc w:val="right"/>
              <w:ind w:right="220"/>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186"/>
        </w:trPr>
        <w:tc>
          <w:tcPr>
            <w:tcW w:w="82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FFFFFF"/>
              </w:rPr>
              <w:t>Name</w:t>
            </w:r>
          </w:p>
        </w:tc>
        <w:tc>
          <w:tcPr>
            <w:tcW w:w="6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Date</w:t>
            </w:r>
          </w:p>
        </w:tc>
        <w:tc>
          <w:tcPr>
            <w:tcW w:w="10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Exercisable</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Unexercisable</w:t>
            </w:r>
          </w:p>
        </w:tc>
        <w:tc>
          <w:tcPr>
            <w:tcW w:w="74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558C"/>
          </w:tcPr>
          <w:p>
            <w:pPr>
              <w:jc w:val="right"/>
              <w:ind w:right="229"/>
              <w:spacing w:after="0"/>
              <w:rPr>
                <w:sz w:val="20"/>
                <w:szCs w:val="20"/>
                <w:color w:val="auto"/>
              </w:rPr>
            </w:pPr>
            <w:r>
              <w:rPr>
                <w:rFonts w:ascii="Arial" w:cs="Arial" w:eastAsia="Arial" w:hAnsi="Arial"/>
                <w:sz w:val="13"/>
                <w:szCs w:val="13"/>
                <w:b w:val="1"/>
                <w:bCs w:val="1"/>
                <w:color w:val="FFFFFF"/>
              </w:rPr>
              <w:t>Date</w:t>
            </w:r>
          </w:p>
        </w:tc>
        <w:tc>
          <w:tcPr>
            <w:tcW w:w="980" w:type="dxa"/>
            <w:vAlign w:val="bottom"/>
            <w:gridSpan w:val="2"/>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20" w:type="dxa"/>
            <w:vAlign w:val="bottom"/>
            <w:shd w:val="clear" w:color="auto" w:fill="00558C"/>
          </w:tcPr>
          <w:p>
            <w:pPr>
              <w:spacing w:after="0"/>
              <w:rPr>
                <w:sz w:val="13"/>
                <w:szCs w:val="13"/>
                <w:color w:val="auto"/>
              </w:rPr>
            </w:pPr>
          </w:p>
        </w:tc>
        <w:tc>
          <w:tcPr>
            <w:tcW w:w="640" w:type="dxa"/>
            <w:vAlign w:val="bottom"/>
            <w:shd w:val="clear" w:color="auto" w:fill="00558C"/>
          </w:tcPr>
          <w:p>
            <w:pPr>
              <w:spacing w:after="0"/>
              <w:rPr>
                <w:sz w:val="13"/>
                <w:szCs w:val="13"/>
                <w:color w:val="auto"/>
              </w:rPr>
            </w:pPr>
          </w:p>
        </w:tc>
        <w:tc>
          <w:tcPr>
            <w:tcW w:w="1000" w:type="dxa"/>
            <w:vAlign w:val="bottom"/>
            <w:shd w:val="clear" w:color="auto" w:fill="00558C"/>
          </w:tcPr>
          <w:p>
            <w:pPr>
              <w:spacing w:after="0"/>
              <w:rPr>
                <w:sz w:val="13"/>
                <w:szCs w:val="13"/>
                <w:color w:val="auto"/>
              </w:rPr>
            </w:pPr>
          </w:p>
        </w:tc>
        <w:tc>
          <w:tcPr>
            <w:tcW w:w="1160" w:type="dxa"/>
            <w:vAlign w:val="bottom"/>
            <w:shd w:val="clear" w:color="auto" w:fill="00558C"/>
          </w:tcPr>
          <w:p>
            <w:pPr>
              <w:spacing w:after="0"/>
              <w:rPr>
                <w:sz w:val="13"/>
                <w:szCs w:val="13"/>
                <w:color w:val="auto"/>
              </w:rPr>
            </w:pPr>
          </w:p>
        </w:tc>
        <w:tc>
          <w:tcPr>
            <w:tcW w:w="740" w:type="dxa"/>
            <w:vAlign w:val="bottom"/>
            <w:shd w:val="clear" w:color="auto" w:fill="00558C"/>
          </w:tcPr>
          <w:p>
            <w:pPr>
              <w:spacing w:after="0"/>
              <w:rPr>
                <w:sz w:val="13"/>
                <w:szCs w:val="13"/>
                <w:color w:val="auto"/>
              </w:rPr>
            </w:pPr>
          </w:p>
        </w:tc>
        <w:tc>
          <w:tcPr>
            <w:tcW w:w="860" w:type="dxa"/>
            <w:vAlign w:val="bottom"/>
            <w:shd w:val="clear" w:color="auto" w:fill="00558C"/>
          </w:tcPr>
          <w:p>
            <w:pPr>
              <w:spacing w:after="0"/>
              <w:rPr>
                <w:sz w:val="13"/>
                <w:szCs w:val="13"/>
                <w:color w:val="auto"/>
              </w:rPr>
            </w:pPr>
          </w:p>
        </w:tc>
        <w:tc>
          <w:tcPr>
            <w:tcW w:w="100" w:type="dxa"/>
            <w:vAlign w:val="bottom"/>
            <w:shd w:val="clear" w:color="auto" w:fill="00558C"/>
          </w:tcPr>
          <w:p>
            <w:pPr>
              <w:spacing w:after="0"/>
              <w:rPr>
                <w:sz w:val="13"/>
                <w:szCs w:val="13"/>
                <w:color w:val="auto"/>
              </w:rPr>
            </w:pPr>
          </w:p>
        </w:tc>
        <w:tc>
          <w:tcPr>
            <w:tcW w:w="880" w:type="dxa"/>
            <w:vAlign w:val="bottom"/>
            <w:shd w:val="clear" w:color="auto" w:fill="00558C"/>
          </w:tcPr>
          <w:p>
            <w:pPr>
              <w:spacing w:after="0"/>
              <w:rPr>
                <w:sz w:val="13"/>
                <w:szCs w:val="13"/>
                <w:color w:val="auto"/>
              </w:rPr>
            </w:pPr>
          </w:p>
        </w:tc>
        <w:tc>
          <w:tcPr>
            <w:tcW w:w="820" w:type="dxa"/>
            <w:vAlign w:val="bottom"/>
            <w:shd w:val="clear" w:color="auto" w:fill="00558C"/>
          </w:tcPr>
          <w:p>
            <w:pPr>
              <w:spacing w:after="0"/>
              <w:rPr>
                <w:sz w:val="13"/>
                <w:szCs w:val="13"/>
                <w:color w:val="auto"/>
              </w:rPr>
            </w:pPr>
          </w:p>
        </w:tc>
        <w:tc>
          <w:tcPr>
            <w:tcW w:w="920" w:type="dxa"/>
            <w:vAlign w:val="bottom"/>
            <w:shd w:val="clear" w:color="auto" w:fill="00558C"/>
          </w:tcPr>
          <w:p>
            <w:pPr>
              <w:spacing w:after="0"/>
              <w:rPr>
                <w:sz w:val="13"/>
                <w:szCs w:val="13"/>
                <w:color w:val="auto"/>
              </w:rPr>
            </w:pPr>
          </w:p>
        </w:tc>
        <w:tc>
          <w:tcPr>
            <w:tcW w:w="1040" w:type="dxa"/>
            <w:vAlign w:val="bottom"/>
            <w:shd w:val="clear" w:color="auto" w:fill="00558C"/>
          </w:tcPr>
          <w:p>
            <w:pPr>
              <w:spacing w:after="0"/>
              <w:rPr>
                <w:sz w:val="13"/>
                <w:szCs w:val="13"/>
                <w:color w:val="auto"/>
              </w:rPr>
            </w:pPr>
          </w:p>
        </w:tc>
        <w:tc>
          <w:tcPr>
            <w:tcW w:w="100" w:type="dxa"/>
            <w:vAlign w:val="bottom"/>
            <w:shd w:val="clear" w:color="auto" w:fill="00558C"/>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2F3F2"/>
          </w:tcPr>
          <w:p>
            <w:pPr>
              <w:jc w:val="right"/>
              <w:spacing w:after="0"/>
              <w:rPr>
                <w:sz w:val="20"/>
                <w:szCs w:val="20"/>
                <w:color w:val="auto"/>
              </w:rPr>
            </w:pPr>
            <w:r>
              <w:rPr>
                <w:rFonts w:ascii="Arial" w:cs="Arial" w:eastAsia="Arial" w:hAnsi="Arial"/>
                <w:sz w:val="13"/>
                <w:szCs w:val="13"/>
                <w:color w:val="auto"/>
              </w:rPr>
              <w:t xml:space="preserve">1,324 </w:t>
            </w:r>
            <w:r>
              <w:rPr>
                <w:rFonts w:ascii="Arial" w:cs="Arial" w:eastAsia="Arial" w:hAnsi="Arial"/>
                <w:sz w:val="17"/>
                <w:szCs w:val="17"/>
                <w:color w:val="auto"/>
                <w:vertAlign w:val="superscript"/>
              </w:rPr>
              <w:t>(5)</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228,933</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3F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820" w:type="dxa"/>
            <w:vAlign w:val="bottom"/>
            <w:tcBorders>
              <w:bottom w:val="single" w:sz="8" w:color="F2F3F2"/>
            </w:tcBorders>
            <w:shd w:val="clear" w:color="auto" w:fill="F2F3F2"/>
          </w:tcPr>
          <w:p>
            <w:pPr>
              <w:spacing w:after="0"/>
              <w:rPr>
                <w:sz w:val="5"/>
                <w:szCs w:val="5"/>
                <w:color w:val="auto"/>
              </w:rPr>
            </w:pPr>
          </w:p>
        </w:tc>
        <w:tc>
          <w:tcPr>
            <w:tcW w:w="640" w:type="dxa"/>
            <w:vAlign w:val="bottom"/>
            <w:tcBorders>
              <w:bottom w:val="single" w:sz="8" w:color="B2B3B6"/>
            </w:tcBorders>
            <w:shd w:val="clear" w:color="auto" w:fill="F2F3F2"/>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880" w:type="dxa"/>
            <w:vAlign w:val="bottom"/>
            <w:tcBorders>
              <w:bottom w:val="single" w:sz="8" w:color="B2B3B6"/>
            </w:tcBorders>
            <w:shd w:val="clear" w:color="auto" w:fill="F2F3F2"/>
          </w:tcPr>
          <w:p>
            <w:pPr>
              <w:spacing w:after="0"/>
              <w:rPr>
                <w:sz w:val="5"/>
                <w:szCs w:val="5"/>
                <w:color w:val="auto"/>
              </w:rPr>
            </w:pPr>
          </w:p>
        </w:tc>
        <w:tc>
          <w:tcPr>
            <w:tcW w:w="82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2B3B6"/>
            </w:tcBorders>
            <w:shd w:val="clear" w:color="auto" w:fill="F2F3F2"/>
          </w:tcPr>
          <w:p>
            <w:pPr>
              <w:spacing w:after="0"/>
              <w:rPr>
                <w:sz w:val="5"/>
                <w:szCs w:val="5"/>
                <w:color w:val="auto"/>
              </w:rPr>
            </w:pPr>
          </w:p>
        </w:tc>
        <w:tc>
          <w:tcPr>
            <w:tcW w:w="104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3,677 </w:t>
            </w:r>
            <w:r>
              <w:rPr>
                <w:rFonts w:ascii="Arial" w:cs="Arial" w:eastAsia="Arial" w:hAnsi="Arial"/>
                <w:sz w:val="17"/>
                <w:szCs w:val="17"/>
                <w:color w:val="auto"/>
                <w:vertAlign w:val="superscript"/>
              </w:rPr>
              <w:t>(6)</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48.22</w:t>
            </w: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3/1/2029</w:t>
            </w:r>
          </w:p>
        </w:tc>
        <w:tc>
          <w:tcPr>
            <w:tcW w:w="100" w:type="dxa"/>
            <w:vAlign w:val="bottom"/>
            <w:shd w:val="clear" w:color="auto" w:fill="F2F3F2"/>
          </w:tcPr>
          <w:p>
            <w:pPr>
              <w:spacing w:after="0"/>
              <w:rPr>
                <w:sz w:val="24"/>
                <w:szCs w:val="24"/>
                <w:color w:val="auto"/>
              </w:rPr>
            </w:pPr>
          </w:p>
        </w:tc>
        <w:tc>
          <w:tcPr>
            <w:tcW w:w="8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3F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820" w:type="dxa"/>
            <w:vAlign w:val="bottom"/>
            <w:tcBorders>
              <w:bottom w:val="single" w:sz="8" w:color="F2F3F2"/>
            </w:tcBorders>
            <w:shd w:val="clear" w:color="auto" w:fill="F2F3F2"/>
          </w:tcPr>
          <w:p>
            <w:pPr>
              <w:spacing w:after="0"/>
              <w:rPr>
                <w:sz w:val="5"/>
                <w:szCs w:val="5"/>
                <w:color w:val="auto"/>
              </w:rPr>
            </w:pPr>
          </w:p>
        </w:tc>
        <w:tc>
          <w:tcPr>
            <w:tcW w:w="640" w:type="dxa"/>
            <w:vAlign w:val="bottom"/>
            <w:tcBorders>
              <w:bottom w:val="single" w:sz="8" w:color="B2B3B6"/>
            </w:tcBorders>
            <w:shd w:val="clear" w:color="auto" w:fill="F2F3F2"/>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880" w:type="dxa"/>
            <w:vAlign w:val="bottom"/>
            <w:tcBorders>
              <w:bottom w:val="single" w:sz="8" w:color="B6B6B6"/>
            </w:tcBorders>
            <w:shd w:val="clear" w:color="auto" w:fill="F2F3F2"/>
          </w:tcPr>
          <w:p>
            <w:pPr>
              <w:spacing w:after="0"/>
              <w:rPr>
                <w:sz w:val="5"/>
                <w:szCs w:val="5"/>
                <w:color w:val="auto"/>
              </w:rPr>
            </w:pPr>
          </w:p>
        </w:tc>
        <w:tc>
          <w:tcPr>
            <w:tcW w:w="82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6B6B6"/>
            </w:tcBorders>
            <w:shd w:val="clear" w:color="auto" w:fill="F2F3F2"/>
          </w:tcPr>
          <w:p>
            <w:pPr>
              <w:spacing w:after="0"/>
              <w:rPr>
                <w:sz w:val="5"/>
                <w:szCs w:val="5"/>
                <w:color w:val="auto"/>
              </w:rPr>
            </w:pPr>
          </w:p>
        </w:tc>
        <w:tc>
          <w:tcPr>
            <w:tcW w:w="1040" w:type="dxa"/>
            <w:vAlign w:val="bottom"/>
            <w:tcBorders>
              <w:bottom w:val="single" w:sz="8" w:color="B6B6B6"/>
            </w:tcBorders>
            <w:shd w:val="clear" w:color="auto" w:fill="F2F3F2"/>
          </w:tcPr>
          <w:p>
            <w:pPr>
              <w:spacing w:after="0"/>
              <w:rPr>
                <w:sz w:val="5"/>
                <w:szCs w:val="5"/>
                <w:color w:val="auto"/>
              </w:rPr>
            </w:pPr>
          </w:p>
        </w:tc>
        <w:tc>
          <w:tcPr>
            <w:tcW w:w="100" w:type="dxa"/>
            <w:vAlign w:val="bottom"/>
            <w:tcBorders>
              <w:bottom w:val="single" w:sz="8" w:color="B6B6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2F3F2"/>
          </w:tcPr>
          <w:p>
            <w:pPr>
              <w:jc w:val="right"/>
              <w:spacing w:after="0"/>
              <w:rPr>
                <w:sz w:val="20"/>
                <w:szCs w:val="20"/>
                <w:color w:val="auto"/>
              </w:rPr>
            </w:pPr>
            <w:r>
              <w:rPr>
                <w:rFonts w:ascii="Arial" w:cs="Arial" w:eastAsia="Arial" w:hAnsi="Arial"/>
                <w:sz w:val="26"/>
                <w:szCs w:val="26"/>
                <w:color w:val="auto"/>
                <w:vertAlign w:val="subscript"/>
              </w:rPr>
              <w:t>788</w:t>
            </w:r>
            <w:r>
              <w:rPr>
                <w:rFonts w:ascii="Arial" w:cs="Arial" w:eastAsia="Arial" w:hAnsi="Arial"/>
                <w:sz w:val="9"/>
                <w:szCs w:val="9"/>
                <w:color w:val="auto"/>
              </w:rPr>
              <w:t xml:space="preserve"> (5)</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136,253</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3F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3"/>
        </w:trPr>
        <w:tc>
          <w:tcPr>
            <w:tcW w:w="820" w:type="dxa"/>
            <w:vAlign w:val="bottom"/>
            <w:tcBorders>
              <w:bottom w:val="single" w:sz="8" w:color="F2F3F2"/>
            </w:tcBorders>
            <w:shd w:val="clear" w:color="auto" w:fill="F2F3F2"/>
          </w:tcPr>
          <w:p>
            <w:pPr>
              <w:spacing w:after="0"/>
              <w:rPr>
                <w:sz w:val="6"/>
                <w:szCs w:val="6"/>
                <w:color w:val="auto"/>
              </w:rPr>
            </w:pPr>
          </w:p>
        </w:tc>
        <w:tc>
          <w:tcPr>
            <w:tcW w:w="640" w:type="dxa"/>
            <w:vAlign w:val="bottom"/>
            <w:tcBorders>
              <w:bottom w:val="single" w:sz="8" w:color="B2B3B6"/>
            </w:tcBorders>
            <w:shd w:val="clear" w:color="auto" w:fill="F2F3F2"/>
          </w:tcPr>
          <w:p>
            <w:pPr>
              <w:spacing w:after="0"/>
              <w:rPr>
                <w:sz w:val="6"/>
                <w:szCs w:val="6"/>
                <w:color w:val="auto"/>
              </w:rPr>
            </w:pPr>
          </w:p>
        </w:tc>
        <w:tc>
          <w:tcPr>
            <w:tcW w:w="1000" w:type="dxa"/>
            <w:vAlign w:val="bottom"/>
            <w:tcBorders>
              <w:bottom w:val="single" w:sz="8" w:color="B2B3B6"/>
            </w:tcBorders>
            <w:shd w:val="clear" w:color="auto" w:fill="F2F3F2"/>
          </w:tcPr>
          <w:p>
            <w:pPr>
              <w:spacing w:after="0"/>
              <w:rPr>
                <w:sz w:val="6"/>
                <w:szCs w:val="6"/>
                <w:color w:val="auto"/>
              </w:rPr>
            </w:pPr>
          </w:p>
        </w:tc>
        <w:tc>
          <w:tcPr>
            <w:tcW w:w="1160" w:type="dxa"/>
            <w:vAlign w:val="bottom"/>
            <w:tcBorders>
              <w:bottom w:val="single" w:sz="8" w:color="B2B3B6"/>
            </w:tcBorders>
            <w:shd w:val="clear" w:color="auto" w:fill="F2F3F2"/>
          </w:tcPr>
          <w:p>
            <w:pPr>
              <w:spacing w:after="0"/>
              <w:rPr>
                <w:sz w:val="6"/>
                <w:szCs w:val="6"/>
                <w:color w:val="auto"/>
              </w:rPr>
            </w:pPr>
          </w:p>
        </w:tc>
        <w:tc>
          <w:tcPr>
            <w:tcW w:w="740" w:type="dxa"/>
            <w:vAlign w:val="bottom"/>
            <w:tcBorders>
              <w:bottom w:val="single" w:sz="8" w:color="B2B3B6"/>
            </w:tcBorders>
            <w:shd w:val="clear" w:color="auto" w:fill="F2F3F2"/>
          </w:tcPr>
          <w:p>
            <w:pPr>
              <w:spacing w:after="0"/>
              <w:rPr>
                <w:sz w:val="6"/>
                <w:szCs w:val="6"/>
                <w:color w:val="auto"/>
              </w:rPr>
            </w:pPr>
          </w:p>
        </w:tc>
        <w:tc>
          <w:tcPr>
            <w:tcW w:w="860" w:type="dxa"/>
            <w:vAlign w:val="bottom"/>
            <w:tcBorders>
              <w:bottom w:val="single" w:sz="8" w:color="B2B3B6"/>
            </w:tcBorders>
            <w:shd w:val="clear" w:color="auto" w:fill="F2F3F2"/>
          </w:tcPr>
          <w:p>
            <w:pPr>
              <w:spacing w:after="0"/>
              <w:rPr>
                <w:sz w:val="6"/>
                <w:szCs w:val="6"/>
                <w:color w:val="auto"/>
              </w:rPr>
            </w:pPr>
          </w:p>
        </w:tc>
        <w:tc>
          <w:tcPr>
            <w:tcW w:w="100" w:type="dxa"/>
            <w:vAlign w:val="bottom"/>
            <w:tcBorders>
              <w:bottom w:val="single" w:sz="8" w:color="B2B3B6"/>
            </w:tcBorders>
            <w:shd w:val="clear" w:color="auto" w:fill="F2F3F2"/>
          </w:tcPr>
          <w:p>
            <w:pPr>
              <w:spacing w:after="0"/>
              <w:rPr>
                <w:sz w:val="6"/>
                <w:szCs w:val="6"/>
                <w:color w:val="auto"/>
              </w:rPr>
            </w:pPr>
          </w:p>
        </w:tc>
        <w:tc>
          <w:tcPr>
            <w:tcW w:w="880" w:type="dxa"/>
            <w:vAlign w:val="bottom"/>
            <w:tcBorders>
              <w:bottom w:val="single" w:sz="8" w:color="B2B3B6"/>
            </w:tcBorders>
            <w:shd w:val="clear" w:color="auto" w:fill="F2F3F2"/>
          </w:tcPr>
          <w:p>
            <w:pPr>
              <w:spacing w:after="0"/>
              <w:rPr>
                <w:sz w:val="6"/>
                <w:szCs w:val="6"/>
                <w:color w:val="auto"/>
              </w:rPr>
            </w:pPr>
          </w:p>
        </w:tc>
        <w:tc>
          <w:tcPr>
            <w:tcW w:w="820" w:type="dxa"/>
            <w:vAlign w:val="bottom"/>
            <w:tcBorders>
              <w:bottom w:val="single" w:sz="8" w:color="B2B3B6"/>
            </w:tcBorders>
            <w:shd w:val="clear" w:color="auto" w:fill="F2F3F2"/>
          </w:tcPr>
          <w:p>
            <w:pPr>
              <w:spacing w:after="0"/>
              <w:rPr>
                <w:sz w:val="6"/>
                <w:szCs w:val="6"/>
                <w:color w:val="auto"/>
              </w:rPr>
            </w:pPr>
          </w:p>
        </w:tc>
        <w:tc>
          <w:tcPr>
            <w:tcW w:w="920" w:type="dxa"/>
            <w:vAlign w:val="bottom"/>
            <w:tcBorders>
              <w:bottom w:val="single" w:sz="8" w:color="B2B3B6"/>
            </w:tcBorders>
            <w:shd w:val="clear" w:color="auto" w:fill="F2F3F2"/>
          </w:tcPr>
          <w:p>
            <w:pPr>
              <w:spacing w:after="0"/>
              <w:rPr>
                <w:sz w:val="6"/>
                <w:szCs w:val="6"/>
                <w:color w:val="auto"/>
              </w:rPr>
            </w:pPr>
          </w:p>
        </w:tc>
        <w:tc>
          <w:tcPr>
            <w:tcW w:w="1040" w:type="dxa"/>
            <w:vAlign w:val="bottom"/>
            <w:tcBorders>
              <w:bottom w:val="single" w:sz="8" w:color="B2B3B6"/>
            </w:tcBorders>
            <w:shd w:val="clear" w:color="auto" w:fill="F2F3F2"/>
          </w:tcPr>
          <w:p>
            <w:pPr>
              <w:spacing w:after="0"/>
              <w:rPr>
                <w:sz w:val="6"/>
                <w:szCs w:val="6"/>
                <w:color w:val="auto"/>
              </w:rPr>
            </w:pPr>
          </w:p>
        </w:tc>
        <w:tc>
          <w:tcPr>
            <w:tcW w:w="100" w:type="dxa"/>
            <w:vAlign w:val="bottom"/>
            <w:tcBorders>
              <w:bottom w:val="single" w:sz="8" w:color="B2B3B6"/>
            </w:tcBorders>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2F3F2"/>
          </w:tcPr>
          <w:p>
            <w:pPr>
              <w:jc w:val="right"/>
              <w:spacing w:after="0"/>
              <w:rPr>
                <w:sz w:val="20"/>
                <w:szCs w:val="20"/>
                <w:color w:val="auto"/>
              </w:rPr>
            </w:pPr>
            <w:r>
              <w:rPr>
                <w:rFonts w:ascii="Arial" w:cs="Arial" w:eastAsia="Arial" w:hAnsi="Arial"/>
                <w:sz w:val="26"/>
                <w:szCs w:val="26"/>
                <w:color w:val="auto"/>
                <w:vertAlign w:val="subscript"/>
              </w:rPr>
              <w:t>997</w:t>
            </w:r>
            <w:r>
              <w:rPr>
                <w:rFonts w:ascii="Arial" w:cs="Arial" w:eastAsia="Arial" w:hAnsi="Arial"/>
                <w:sz w:val="9"/>
                <w:szCs w:val="9"/>
                <w:color w:val="auto"/>
              </w:rPr>
              <w:t xml:space="preserve"> (1)</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172,391</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3F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3"/>
        </w:trPr>
        <w:tc>
          <w:tcPr>
            <w:tcW w:w="820" w:type="dxa"/>
            <w:vAlign w:val="bottom"/>
            <w:tcBorders>
              <w:bottom w:val="single" w:sz="8" w:color="F2F3F2"/>
            </w:tcBorders>
            <w:vMerge w:val="restart"/>
            <w:shd w:val="clear" w:color="auto" w:fill="F2F3F2"/>
          </w:tcPr>
          <w:p>
            <w:pPr>
              <w:ind w:left="140"/>
              <w:spacing w:after="0"/>
              <w:rPr>
                <w:sz w:val="20"/>
                <w:szCs w:val="20"/>
                <w:color w:val="auto"/>
              </w:rPr>
            </w:pPr>
            <w:r>
              <w:rPr>
                <w:rFonts w:ascii="Arial" w:cs="Arial" w:eastAsia="Arial" w:hAnsi="Arial"/>
                <w:sz w:val="13"/>
                <w:szCs w:val="13"/>
                <w:b w:val="1"/>
                <w:bCs w:val="1"/>
                <w:color w:val="00558C"/>
              </w:rPr>
              <w:t>J. Ronald</w:t>
            </w:r>
          </w:p>
        </w:tc>
        <w:tc>
          <w:tcPr>
            <w:tcW w:w="640" w:type="dxa"/>
            <w:vAlign w:val="bottom"/>
            <w:tcBorders>
              <w:bottom w:val="single" w:sz="8" w:color="B2B3B6"/>
            </w:tcBorders>
            <w:shd w:val="clear" w:color="auto" w:fill="F2F3F2"/>
          </w:tcPr>
          <w:p>
            <w:pPr>
              <w:spacing w:after="0"/>
              <w:rPr>
                <w:sz w:val="6"/>
                <w:szCs w:val="6"/>
                <w:color w:val="auto"/>
              </w:rPr>
            </w:pPr>
          </w:p>
        </w:tc>
        <w:tc>
          <w:tcPr>
            <w:tcW w:w="1000" w:type="dxa"/>
            <w:vAlign w:val="bottom"/>
            <w:tcBorders>
              <w:bottom w:val="single" w:sz="8" w:color="B2B3B6"/>
            </w:tcBorders>
            <w:shd w:val="clear" w:color="auto" w:fill="F2F3F2"/>
          </w:tcPr>
          <w:p>
            <w:pPr>
              <w:spacing w:after="0"/>
              <w:rPr>
                <w:sz w:val="6"/>
                <w:szCs w:val="6"/>
                <w:color w:val="auto"/>
              </w:rPr>
            </w:pPr>
          </w:p>
        </w:tc>
        <w:tc>
          <w:tcPr>
            <w:tcW w:w="1160" w:type="dxa"/>
            <w:vAlign w:val="bottom"/>
            <w:tcBorders>
              <w:bottom w:val="single" w:sz="8" w:color="B2B3B6"/>
            </w:tcBorders>
            <w:shd w:val="clear" w:color="auto" w:fill="F2F3F2"/>
          </w:tcPr>
          <w:p>
            <w:pPr>
              <w:spacing w:after="0"/>
              <w:rPr>
                <w:sz w:val="6"/>
                <w:szCs w:val="6"/>
                <w:color w:val="auto"/>
              </w:rPr>
            </w:pPr>
          </w:p>
        </w:tc>
        <w:tc>
          <w:tcPr>
            <w:tcW w:w="740" w:type="dxa"/>
            <w:vAlign w:val="bottom"/>
            <w:tcBorders>
              <w:bottom w:val="single" w:sz="8" w:color="B2B3B6"/>
            </w:tcBorders>
            <w:shd w:val="clear" w:color="auto" w:fill="F2F3F2"/>
          </w:tcPr>
          <w:p>
            <w:pPr>
              <w:spacing w:after="0"/>
              <w:rPr>
                <w:sz w:val="6"/>
                <w:szCs w:val="6"/>
                <w:color w:val="auto"/>
              </w:rPr>
            </w:pPr>
          </w:p>
        </w:tc>
        <w:tc>
          <w:tcPr>
            <w:tcW w:w="860" w:type="dxa"/>
            <w:vAlign w:val="bottom"/>
            <w:tcBorders>
              <w:bottom w:val="single" w:sz="8" w:color="B2B3B6"/>
            </w:tcBorders>
            <w:shd w:val="clear" w:color="auto" w:fill="F2F3F2"/>
          </w:tcPr>
          <w:p>
            <w:pPr>
              <w:spacing w:after="0"/>
              <w:rPr>
                <w:sz w:val="6"/>
                <w:szCs w:val="6"/>
                <w:color w:val="auto"/>
              </w:rPr>
            </w:pPr>
          </w:p>
        </w:tc>
        <w:tc>
          <w:tcPr>
            <w:tcW w:w="100" w:type="dxa"/>
            <w:vAlign w:val="bottom"/>
            <w:tcBorders>
              <w:bottom w:val="single" w:sz="8" w:color="B2B3B6"/>
            </w:tcBorders>
            <w:shd w:val="clear" w:color="auto" w:fill="F2F3F2"/>
          </w:tcPr>
          <w:p>
            <w:pPr>
              <w:spacing w:after="0"/>
              <w:rPr>
                <w:sz w:val="6"/>
                <w:szCs w:val="6"/>
                <w:color w:val="auto"/>
              </w:rPr>
            </w:pPr>
          </w:p>
        </w:tc>
        <w:tc>
          <w:tcPr>
            <w:tcW w:w="880" w:type="dxa"/>
            <w:vAlign w:val="bottom"/>
            <w:tcBorders>
              <w:bottom w:val="single" w:sz="8" w:color="B2B3B6"/>
            </w:tcBorders>
            <w:shd w:val="clear" w:color="auto" w:fill="F2F3F2"/>
          </w:tcPr>
          <w:p>
            <w:pPr>
              <w:spacing w:after="0"/>
              <w:rPr>
                <w:sz w:val="6"/>
                <w:szCs w:val="6"/>
                <w:color w:val="auto"/>
              </w:rPr>
            </w:pPr>
          </w:p>
        </w:tc>
        <w:tc>
          <w:tcPr>
            <w:tcW w:w="820" w:type="dxa"/>
            <w:vAlign w:val="bottom"/>
            <w:tcBorders>
              <w:bottom w:val="single" w:sz="8" w:color="B2B3B6"/>
            </w:tcBorders>
            <w:shd w:val="clear" w:color="auto" w:fill="F2F3F2"/>
          </w:tcPr>
          <w:p>
            <w:pPr>
              <w:spacing w:after="0"/>
              <w:rPr>
                <w:sz w:val="6"/>
                <w:szCs w:val="6"/>
                <w:color w:val="auto"/>
              </w:rPr>
            </w:pPr>
          </w:p>
        </w:tc>
        <w:tc>
          <w:tcPr>
            <w:tcW w:w="920" w:type="dxa"/>
            <w:vAlign w:val="bottom"/>
            <w:tcBorders>
              <w:bottom w:val="single" w:sz="8" w:color="B2B3B6"/>
            </w:tcBorders>
            <w:shd w:val="clear" w:color="auto" w:fill="F2F3F2"/>
          </w:tcPr>
          <w:p>
            <w:pPr>
              <w:spacing w:after="0"/>
              <w:rPr>
                <w:sz w:val="6"/>
                <w:szCs w:val="6"/>
                <w:color w:val="auto"/>
              </w:rPr>
            </w:pPr>
          </w:p>
        </w:tc>
        <w:tc>
          <w:tcPr>
            <w:tcW w:w="1040" w:type="dxa"/>
            <w:vAlign w:val="bottom"/>
            <w:tcBorders>
              <w:bottom w:val="single" w:sz="8" w:color="B2B3B6"/>
            </w:tcBorders>
            <w:shd w:val="clear" w:color="auto" w:fill="F2F3F2"/>
          </w:tcPr>
          <w:p>
            <w:pPr>
              <w:spacing w:after="0"/>
              <w:rPr>
                <w:sz w:val="6"/>
                <w:szCs w:val="6"/>
                <w:color w:val="auto"/>
              </w:rPr>
            </w:pPr>
          </w:p>
        </w:tc>
        <w:tc>
          <w:tcPr>
            <w:tcW w:w="100" w:type="dxa"/>
            <w:vAlign w:val="bottom"/>
            <w:tcBorders>
              <w:bottom w:val="single" w:sz="8" w:color="B2B3B6"/>
            </w:tcBorders>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20" w:type="dxa"/>
            <w:vAlign w:val="bottom"/>
            <w:vMerge w:val="continue"/>
            <w:shd w:val="clear" w:color="auto" w:fill="F2F3F2"/>
          </w:tcPr>
          <w:p>
            <w:pPr>
              <w:spacing w:after="0"/>
              <w:rPr>
                <w:sz w:val="21"/>
                <w:szCs w:val="21"/>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2F3F2"/>
          </w:tcPr>
          <w:p>
            <w:pPr>
              <w:jc w:val="right"/>
              <w:spacing w:after="0"/>
              <w:rPr>
                <w:sz w:val="20"/>
                <w:szCs w:val="20"/>
                <w:color w:val="auto"/>
              </w:rPr>
            </w:pPr>
            <w:r>
              <w:rPr>
                <w:rFonts w:ascii="Arial" w:cs="Arial" w:eastAsia="Arial" w:hAnsi="Arial"/>
                <w:sz w:val="13"/>
                <w:szCs w:val="13"/>
                <w:color w:val="auto"/>
              </w:rPr>
              <w:t xml:space="preserve">12,555 </w:t>
            </w:r>
            <w:r>
              <w:rPr>
                <w:rFonts w:ascii="Arial" w:cs="Arial" w:eastAsia="Arial" w:hAnsi="Arial"/>
                <w:sz w:val="17"/>
                <w:szCs w:val="17"/>
                <w:color w:val="auto"/>
                <w:vertAlign w:val="superscript"/>
              </w:rPr>
              <w:t>(2)</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2,170,885</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3F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3"/>
                <w:szCs w:val="13"/>
                <w:b w:val="1"/>
                <w:bCs w:val="1"/>
                <w:color w:val="00558C"/>
              </w:rPr>
              <w:t>Dail</w:t>
            </w:r>
          </w:p>
        </w:tc>
        <w:tc>
          <w:tcPr>
            <w:tcW w:w="640" w:type="dxa"/>
            <w:vAlign w:val="bottom"/>
            <w:tcBorders>
              <w:bottom w:val="single" w:sz="8" w:color="B2B3B6"/>
            </w:tcBorders>
            <w:shd w:val="clear" w:color="auto" w:fill="F2F3F2"/>
          </w:tcPr>
          <w:p>
            <w:pPr>
              <w:spacing w:after="0"/>
              <w:rPr>
                <w:sz w:val="15"/>
                <w:szCs w:val="15"/>
                <w:color w:val="auto"/>
              </w:rPr>
            </w:pPr>
          </w:p>
        </w:tc>
        <w:tc>
          <w:tcPr>
            <w:tcW w:w="1000" w:type="dxa"/>
            <w:vAlign w:val="bottom"/>
            <w:tcBorders>
              <w:bottom w:val="single" w:sz="8" w:color="B2B3B6"/>
            </w:tcBorders>
            <w:shd w:val="clear" w:color="auto" w:fill="F2F3F2"/>
          </w:tcPr>
          <w:p>
            <w:pPr>
              <w:spacing w:after="0"/>
              <w:rPr>
                <w:sz w:val="15"/>
                <w:szCs w:val="15"/>
                <w:color w:val="auto"/>
              </w:rPr>
            </w:pPr>
          </w:p>
        </w:tc>
        <w:tc>
          <w:tcPr>
            <w:tcW w:w="1160" w:type="dxa"/>
            <w:vAlign w:val="bottom"/>
            <w:tcBorders>
              <w:bottom w:val="single" w:sz="8" w:color="B2B3B6"/>
            </w:tcBorders>
            <w:shd w:val="clear" w:color="auto" w:fill="F2F3F2"/>
          </w:tcPr>
          <w:p>
            <w:pPr>
              <w:spacing w:after="0"/>
              <w:rPr>
                <w:sz w:val="15"/>
                <w:szCs w:val="15"/>
                <w:color w:val="auto"/>
              </w:rPr>
            </w:pPr>
          </w:p>
        </w:tc>
        <w:tc>
          <w:tcPr>
            <w:tcW w:w="740" w:type="dxa"/>
            <w:vAlign w:val="bottom"/>
            <w:tcBorders>
              <w:bottom w:val="single" w:sz="8" w:color="B2B3B6"/>
            </w:tcBorders>
            <w:shd w:val="clear" w:color="auto" w:fill="F2F3F2"/>
          </w:tcPr>
          <w:p>
            <w:pPr>
              <w:spacing w:after="0"/>
              <w:rPr>
                <w:sz w:val="15"/>
                <w:szCs w:val="15"/>
                <w:color w:val="auto"/>
              </w:rPr>
            </w:pPr>
          </w:p>
        </w:tc>
        <w:tc>
          <w:tcPr>
            <w:tcW w:w="860" w:type="dxa"/>
            <w:vAlign w:val="bottom"/>
            <w:tcBorders>
              <w:bottom w:val="single" w:sz="8" w:color="B2B3B6"/>
            </w:tcBorders>
            <w:shd w:val="clear" w:color="auto" w:fill="F2F3F2"/>
          </w:tcPr>
          <w:p>
            <w:pPr>
              <w:spacing w:after="0"/>
              <w:rPr>
                <w:sz w:val="15"/>
                <w:szCs w:val="15"/>
                <w:color w:val="auto"/>
              </w:rPr>
            </w:pPr>
          </w:p>
        </w:tc>
        <w:tc>
          <w:tcPr>
            <w:tcW w:w="100" w:type="dxa"/>
            <w:vAlign w:val="bottom"/>
            <w:tcBorders>
              <w:bottom w:val="single" w:sz="8" w:color="B2B3B6"/>
            </w:tcBorders>
            <w:shd w:val="clear" w:color="auto" w:fill="F2F3F2"/>
          </w:tcPr>
          <w:p>
            <w:pPr>
              <w:spacing w:after="0"/>
              <w:rPr>
                <w:sz w:val="15"/>
                <w:szCs w:val="15"/>
                <w:color w:val="auto"/>
              </w:rPr>
            </w:pPr>
          </w:p>
        </w:tc>
        <w:tc>
          <w:tcPr>
            <w:tcW w:w="880" w:type="dxa"/>
            <w:vAlign w:val="bottom"/>
            <w:tcBorders>
              <w:bottom w:val="single" w:sz="8" w:color="B2B3B6"/>
            </w:tcBorders>
            <w:shd w:val="clear" w:color="auto" w:fill="F2F3F2"/>
          </w:tcPr>
          <w:p>
            <w:pPr>
              <w:spacing w:after="0"/>
              <w:rPr>
                <w:sz w:val="15"/>
                <w:szCs w:val="15"/>
                <w:color w:val="auto"/>
              </w:rPr>
            </w:pPr>
          </w:p>
        </w:tc>
        <w:tc>
          <w:tcPr>
            <w:tcW w:w="820" w:type="dxa"/>
            <w:vAlign w:val="bottom"/>
            <w:tcBorders>
              <w:bottom w:val="single" w:sz="8" w:color="B2B3B6"/>
            </w:tcBorders>
            <w:shd w:val="clear" w:color="auto" w:fill="F2F3F2"/>
          </w:tcPr>
          <w:p>
            <w:pPr>
              <w:spacing w:after="0"/>
              <w:rPr>
                <w:sz w:val="15"/>
                <w:szCs w:val="15"/>
                <w:color w:val="auto"/>
              </w:rPr>
            </w:pPr>
          </w:p>
        </w:tc>
        <w:tc>
          <w:tcPr>
            <w:tcW w:w="920" w:type="dxa"/>
            <w:vAlign w:val="bottom"/>
            <w:tcBorders>
              <w:bottom w:val="single" w:sz="8" w:color="B6B6B6"/>
            </w:tcBorders>
            <w:shd w:val="clear" w:color="auto" w:fill="F2F3F2"/>
          </w:tcPr>
          <w:p>
            <w:pPr>
              <w:spacing w:after="0"/>
              <w:rPr>
                <w:sz w:val="15"/>
                <w:szCs w:val="15"/>
                <w:color w:val="auto"/>
              </w:rPr>
            </w:pPr>
          </w:p>
        </w:tc>
        <w:tc>
          <w:tcPr>
            <w:tcW w:w="1040" w:type="dxa"/>
            <w:vAlign w:val="bottom"/>
            <w:tcBorders>
              <w:bottom w:val="single" w:sz="8" w:color="B6B6B6"/>
            </w:tcBorders>
            <w:shd w:val="clear" w:color="auto" w:fill="F2F3F2"/>
          </w:tcPr>
          <w:p>
            <w:pPr>
              <w:spacing w:after="0"/>
              <w:rPr>
                <w:sz w:val="15"/>
                <w:szCs w:val="15"/>
                <w:color w:val="auto"/>
              </w:rPr>
            </w:pPr>
          </w:p>
        </w:tc>
        <w:tc>
          <w:tcPr>
            <w:tcW w:w="100" w:type="dxa"/>
            <w:vAlign w:val="bottom"/>
            <w:tcBorders>
              <w:bottom w:val="single" w:sz="8" w:color="B2B3B6"/>
            </w:tcBorders>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2F3F2"/>
          </w:tcPr>
          <w:p>
            <w:pPr>
              <w:spacing w:after="0"/>
              <w:rPr>
                <w:sz w:val="24"/>
                <w:szCs w:val="24"/>
                <w:color w:val="auto"/>
              </w:rPr>
            </w:pPr>
          </w:p>
        </w:tc>
        <w:tc>
          <w:tcPr>
            <w:tcW w:w="8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1,902 </w:t>
            </w:r>
            <w:r>
              <w:rPr>
                <w:rFonts w:ascii="Arial" w:cs="Arial" w:eastAsia="Arial" w:hAnsi="Arial"/>
                <w:sz w:val="17"/>
                <w:szCs w:val="17"/>
                <w:color w:val="auto"/>
                <w:vertAlign w:val="superscript"/>
              </w:rPr>
              <w:t>(1)</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328,875</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3F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820" w:type="dxa"/>
            <w:vAlign w:val="bottom"/>
            <w:tcBorders>
              <w:bottom w:val="single" w:sz="8" w:color="F2F3F2"/>
            </w:tcBorders>
            <w:shd w:val="clear" w:color="auto" w:fill="F2F3F2"/>
          </w:tcPr>
          <w:p>
            <w:pPr>
              <w:spacing w:after="0"/>
              <w:rPr>
                <w:sz w:val="5"/>
                <w:szCs w:val="5"/>
                <w:color w:val="auto"/>
              </w:rPr>
            </w:pPr>
          </w:p>
        </w:tc>
        <w:tc>
          <w:tcPr>
            <w:tcW w:w="640" w:type="dxa"/>
            <w:vAlign w:val="bottom"/>
            <w:tcBorders>
              <w:bottom w:val="single" w:sz="8" w:color="B2B3B6"/>
            </w:tcBorders>
            <w:shd w:val="clear" w:color="auto" w:fill="F2F3F2"/>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880" w:type="dxa"/>
            <w:vAlign w:val="bottom"/>
            <w:tcBorders>
              <w:bottom w:val="single" w:sz="8" w:color="B2B3B6"/>
            </w:tcBorders>
            <w:shd w:val="clear" w:color="auto" w:fill="F2F3F2"/>
          </w:tcPr>
          <w:p>
            <w:pPr>
              <w:spacing w:after="0"/>
              <w:rPr>
                <w:sz w:val="5"/>
                <w:szCs w:val="5"/>
                <w:color w:val="auto"/>
              </w:rPr>
            </w:pPr>
          </w:p>
        </w:tc>
        <w:tc>
          <w:tcPr>
            <w:tcW w:w="82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2B3B6"/>
            </w:tcBorders>
            <w:shd w:val="clear" w:color="auto" w:fill="F2F3F2"/>
          </w:tcPr>
          <w:p>
            <w:pPr>
              <w:spacing w:after="0"/>
              <w:rPr>
                <w:sz w:val="5"/>
                <w:szCs w:val="5"/>
                <w:color w:val="auto"/>
              </w:rPr>
            </w:pPr>
          </w:p>
        </w:tc>
        <w:tc>
          <w:tcPr>
            <w:tcW w:w="104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2F3F2"/>
          </w:tcPr>
          <w:p>
            <w:pPr>
              <w:spacing w:after="0"/>
              <w:rPr>
                <w:sz w:val="24"/>
                <w:szCs w:val="24"/>
                <w:color w:val="auto"/>
              </w:rPr>
            </w:pPr>
          </w:p>
        </w:tc>
        <w:tc>
          <w:tcPr>
            <w:tcW w:w="8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13,310 </w:t>
            </w:r>
            <w:r>
              <w:rPr>
                <w:rFonts w:ascii="Arial" w:cs="Arial" w:eastAsia="Arial" w:hAnsi="Arial"/>
                <w:sz w:val="17"/>
                <w:szCs w:val="17"/>
                <w:color w:val="auto"/>
                <w:vertAlign w:val="superscript"/>
              </w:rPr>
              <w:t>(3)</w:t>
            </w:r>
          </w:p>
        </w:tc>
        <w:tc>
          <w:tcPr>
            <w:tcW w:w="10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2,301,432</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820" w:type="dxa"/>
            <w:vAlign w:val="bottom"/>
            <w:tcBorders>
              <w:bottom w:val="single" w:sz="8" w:color="F2F3F2"/>
            </w:tcBorders>
            <w:shd w:val="clear" w:color="auto" w:fill="F2F3F2"/>
          </w:tcPr>
          <w:p>
            <w:pPr>
              <w:spacing w:after="0"/>
              <w:rPr>
                <w:sz w:val="5"/>
                <w:szCs w:val="5"/>
                <w:color w:val="auto"/>
              </w:rPr>
            </w:pPr>
          </w:p>
        </w:tc>
        <w:tc>
          <w:tcPr>
            <w:tcW w:w="640" w:type="dxa"/>
            <w:vAlign w:val="bottom"/>
            <w:tcBorders>
              <w:bottom w:val="single" w:sz="8" w:color="B2B3B6"/>
            </w:tcBorders>
            <w:shd w:val="clear" w:color="auto" w:fill="F2F3F2"/>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880" w:type="dxa"/>
            <w:vAlign w:val="bottom"/>
            <w:tcBorders>
              <w:bottom w:val="single" w:sz="8" w:color="B6B6B6"/>
            </w:tcBorders>
            <w:shd w:val="clear" w:color="auto" w:fill="F2F3F2"/>
          </w:tcPr>
          <w:p>
            <w:pPr>
              <w:spacing w:after="0"/>
              <w:rPr>
                <w:sz w:val="5"/>
                <w:szCs w:val="5"/>
                <w:color w:val="auto"/>
              </w:rPr>
            </w:pPr>
          </w:p>
        </w:tc>
        <w:tc>
          <w:tcPr>
            <w:tcW w:w="820" w:type="dxa"/>
            <w:vAlign w:val="bottom"/>
            <w:tcBorders>
              <w:bottom w:val="single" w:sz="8" w:color="B6B6B6"/>
            </w:tcBorders>
            <w:shd w:val="clear" w:color="auto" w:fill="F2F3F2"/>
          </w:tcPr>
          <w:p>
            <w:pPr>
              <w:spacing w:after="0"/>
              <w:rPr>
                <w:sz w:val="5"/>
                <w:szCs w:val="5"/>
                <w:color w:val="auto"/>
              </w:rPr>
            </w:pPr>
          </w:p>
        </w:tc>
        <w:tc>
          <w:tcPr>
            <w:tcW w:w="920" w:type="dxa"/>
            <w:vAlign w:val="bottom"/>
            <w:tcBorders>
              <w:bottom w:val="single" w:sz="8" w:color="B2B3B6"/>
            </w:tcBorders>
            <w:shd w:val="clear" w:color="auto" w:fill="F2F3F2"/>
          </w:tcPr>
          <w:p>
            <w:pPr>
              <w:spacing w:after="0"/>
              <w:rPr>
                <w:sz w:val="5"/>
                <w:szCs w:val="5"/>
                <w:color w:val="auto"/>
              </w:rPr>
            </w:pPr>
          </w:p>
        </w:tc>
        <w:tc>
          <w:tcPr>
            <w:tcW w:w="104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3/1/2025</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2F3F2"/>
          </w:tcPr>
          <w:p>
            <w:pPr>
              <w:spacing w:after="0"/>
              <w:rPr>
                <w:sz w:val="24"/>
                <w:szCs w:val="24"/>
                <w:color w:val="auto"/>
              </w:rPr>
            </w:pPr>
          </w:p>
        </w:tc>
        <w:tc>
          <w:tcPr>
            <w:tcW w:w="8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2,125 </w:t>
            </w:r>
            <w:r>
              <w:rPr>
                <w:rFonts w:ascii="Arial" w:cs="Arial" w:eastAsia="Arial" w:hAnsi="Arial"/>
                <w:sz w:val="17"/>
                <w:szCs w:val="17"/>
                <w:color w:val="auto"/>
                <w:vertAlign w:val="superscript"/>
              </w:rPr>
              <w:t>(1)</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367,434</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F2F3F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820" w:type="dxa"/>
            <w:vAlign w:val="bottom"/>
            <w:tcBorders>
              <w:bottom w:val="single" w:sz="8" w:color="F2F3F2"/>
            </w:tcBorders>
            <w:shd w:val="clear" w:color="auto" w:fill="F2F3F2"/>
          </w:tcPr>
          <w:p>
            <w:pPr>
              <w:spacing w:after="0"/>
              <w:rPr>
                <w:sz w:val="5"/>
                <w:szCs w:val="5"/>
                <w:color w:val="auto"/>
              </w:rPr>
            </w:pPr>
          </w:p>
        </w:tc>
        <w:tc>
          <w:tcPr>
            <w:tcW w:w="640" w:type="dxa"/>
            <w:vAlign w:val="bottom"/>
            <w:tcBorders>
              <w:bottom w:val="single" w:sz="8" w:color="B2B3B6"/>
            </w:tcBorders>
            <w:shd w:val="clear" w:color="auto" w:fill="F2F3F2"/>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880" w:type="dxa"/>
            <w:vAlign w:val="bottom"/>
            <w:tcBorders>
              <w:bottom w:val="single" w:sz="8" w:color="B2B3B6"/>
            </w:tcBorders>
            <w:shd w:val="clear" w:color="auto" w:fill="F2F3F2"/>
          </w:tcPr>
          <w:p>
            <w:pPr>
              <w:spacing w:after="0"/>
              <w:rPr>
                <w:sz w:val="5"/>
                <w:szCs w:val="5"/>
                <w:color w:val="auto"/>
              </w:rPr>
            </w:pPr>
          </w:p>
        </w:tc>
        <w:tc>
          <w:tcPr>
            <w:tcW w:w="82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6B6B6"/>
            </w:tcBorders>
            <w:shd w:val="clear" w:color="auto" w:fill="F2F3F2"/>
          </w:tcPr>
          <w:p>
            <w:pPr>
              <w:spacing w:after="0"/>
              <w:rPr>
                <w:sz w:val="5"/>
                <w:szCs w:val="5"/>
                <w:color w:val="auto"/>
              </w:rPr>
            </w:pPr>
          </w:p>
        </w:tc>
        <w:tc>
          <w:tcPr>
            <w:tcW w:w="1040" w:type="dxa"/>
            <w:vAlign w:val="bottom"/>
            <w:tcBorders>
              <w:bottom w:val="single" w:sz="8" w:color="B6B6B6"/>
            </w:tcBorders>
            <w:shd w:val="clear" w:color="auto" w:fill="F2F3F2"/>
          </w:tcPr>
          <w:p>
            <w:pPr>
              <w:spacing w:after="0"/>
              <w:rPr>
                <w:sz w:val="5"/>
                <w:szCs w:val="5"/>
                <w:color w:val="auto"/>
              </w:rPr>
            </w:pPr>
          </w:p>
        </w:tc>
        <w:tc>
          <w:tcPr>
            <w:tcW w:w="10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3/1/2025</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2F3F2"/>
          </w:tcPr>
          <w:p>
            <w:pPr>
              <w:spacing w:after="0"/>
              <w:rPr>
                <w:sz w:val="24"/>
                <w:szCs w:val="24"/>
                <w:color w:val="auto"/>
              </w:rPr>
            </w:pPr>
          </w:p>
        </w:tc>
        <w:tc>
          <w:tcPr>
            <w:tcW w:w="8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4,959 </w:t>
            </w:r>
            <w:r>
              <w:rPr>
                <w:rFonts w:ascii="Arial" w:cs="Arial" w:eastAsia="Arial" w:hAnsi="Arial"/>
                <w:sz w:val="17"/>
                <w:szCs w:val="17"/>
                <w:color w:val="auto"/>
                <w:vertAlign w:val="superscript"/>
              </w:rPr>
              <w:t>(4)</w:t>
            </w:r>
          </w:p>
        </w:tc>
        <w:tc>
          <w:tcPr>
            <w:tcW w:w="10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857,461</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820" w:type="dxa"/>
            <w:vAlign w:val="bottom"/>
            <w:tcBorders>
              <w:bottom w:val="single" w:sz="8" w:color="B6B6B6"/>
            </w:tcBorders>
            <w:shd w:val="clear" w:color="auto" w:fill="F2F3F2"/>
          </w:tcPr>
          <w:p>
            <w:pPr>
              <w:spacing w:after="0"/>
              <w:rPr>
                <w:sz w:val="5"/>
                <w:szCs w:val="5"/>
                <w:color w:val="auto"/>
              </w:rPr>
            </w:pPr>
          </w:p>
        </w:tc>
        <w:tc>
          <w:tcPr>
            <w:tcW w:w="640" w:type="dxa"/>
            <w:vAlign w:val="bottom"/>
            <w:tcBorders>
              <w:bottom w:val="single" w:sz="8" w:color="B6B6B6"/>
            </w:tcBorders>
            <w:shd w:val="clear" w:color="auto" w:fill="F2F3F2"/>
          </w:tcPr>
          <w:p>
            <w:pPr>
              <w:spacing w:after="0"/>
              <w:rPr>
                <w:sz w:val="5"/>
                <w:szCs w:val="5"/>
                <w:color w:val="auto"/>
              </w:rPr>
            </w:pPr>
          </w:p>
        </w:tc>
        <w:tc>
          <w:tcPr>
            <w:tcW w:w="1000" w:type="dxa"/>
            <w:vAlign w:val="bottom"/>
            <w:tcBorders>
              <w:bottom w:val="single" w:sz="8" w:color="B6B6B6"/>
            </w:tcBorders>
            <w:shd w:val="clear" w:color="auto" w:fill="F2F3F2"/>
          </w:tcPr>
          <w:p>
            <w:pPr>
              <w:spacing w:after="0"/>
              <w:rPr>
                <w:sz w:val="5"/>
                <w:szCs w:val="5"/>
                <w:color w:val="auto"/>
              </w:rPr>
            </w:pPr>
          </w:p>
        </w:tc>
        <w:tc>
          <w:tcPr>
            <w:tcW w:w="1160" w:type="dxa"/>
            <w:vAlign w:val="bottom"/>
            <w:tcBorders>
              <w:bottom w:val="single" w:sz="8" w:color="B6B6B6"/>
            </w:tcBorders>
            <w:shd w:val="clear" w:color="auto" w:fill="F2F3F2"/>
          </w:tcPr>
          <w:p>
            <w:pPr>
              <w:spacing w:after="0"/>
              <w:rPr>
                <w:sz w:val="5"/>
                <w:szCs w:val="5"/>
                <w:color w:val="auto"/>
              </w:rPr>
            </w:pPr>
          </w:p>
        </w:tc>
        <w:tc>
          <w:tcPr>
            <w:tcW w:w="740" w:type="dxa"/>
            <w:vAlign w:val="bottom"/>
            <w:tcBorders>
              <w:bottom w:val="single" w:sz="8" w:color="B6B6B6"/>
            </w:tcBorders>
            <w:shd w:val="clear" w:color="auto" w:fill="F2F3F2"/>
          </w:tcPr>
          <w:p>
            <w:pPr>
              <w:spacing w:after="0"/>
              <w:rPr>
                <w:sz w:val="5"/>
                <w:szCs w:val="5"/>
                <w:color w:val="auto"/>
              </w:rPr>
            </w:pPr>
          </w:p>
        </w:tc>
        <w:tc>
          <w:tcPr>
            <w:tcW w:w="860" w:type="dxa"/>
            <w:vAlign w:val="bottom"/>
            <w:tcBorders>
              <w:bottom w:val="single" w:sz="8" w:color="B6B6B6"/>
            </w:tcBorders>
            <w:shd w:val="clear" w:color="auto" w:fill="F2F3F2"/>
          </w:tcPr>
          <w:p>
            <w:pPr>
              <w:spacing w:after="0"/>
              <w:rPr>
                <w:sz w:val="5"/>
                <w:szCs w:val="5"/>
                <w:color w:val="auto"/>
              </w:rPr>
            </w:pPr>
          </w:p>
        </w:tc>
        <w:tc>
          <w:tcPr>
            <w:tcW w:w="100" w:type="dxa"/>
            <w:vAlign w:val="bottom"/>
            <w:tcBorders>
              <w:bottom w:val="single" w:sz="8" w:color="B6B6B6"/>
            </w:tcBorders>
            <w:shd w:val="clear" w:color="auto" w:fill="F2F3F2"/>
          </w:tcPr>
          <w:p>
            <w:pPr>
              <w:spacing w:after="0"/>
              <w:rPr>
                <w:sz w:val="5"/>
                <w:szCs w:val="5"/>
                <w:color w:val="auto"/>
              </w:rPr>
            </w:pPr>
          </w:p>
        </w:tc>
        <w:tc>
          <w:tcPr>
            <w:tcW w:w="880" w:type="dxa"/>
            <w:vAlign w:val="bottom"/>
            <w:tcBorders>
              <w:bottom w:val="single" w:sz="8" w:color="B6B6B6"/>
            </w:tcBorders>
            <w:shd w:val="clear" w:color="auto" w:fill="F2F3F2"/>
          </w:tcPr>
          <w:p>
            <w:pPr>
              <w:spacing w:after="0"/>
              <w:rPr>
                <w:sz w:val="5"/>
                <w:szCs w:val="5"/>
                <w:color w:val="auto"/>
              </w:rPr>
            </w:pPr>
          </w:p>
        </w:tc>
        <w:tc>
          <w:tcPr>
            <w:tcW w:w="820" w:type="dxa"/>
            <w:vAlign w:val="bottom"/>
            <w:tcBorders>
              <w:bottom w:val="single" w:sz="8" w:color="B6B6B6"/>
            </w:tcBorders>
            <w:shd w:val="clear" w:color="auto" w:fill="F2F3F2"/>
          </w:tcPr>
          <w:p>
            <w:pPr>
              <w:spacing w:after="0"/>
              <w:rPr>
                <w:sz w:val="5"/>
                <w:szCs w:val="5"/>
                <w:color w:val="auto"/>
              </w:rPr>
            </w:pPr>
          </w:p>
        </w:tc>
        <w:tc>
          <w:tcPr>
            <w:tcW w:w="920" w:type="dxa"/>
            <w:vAlign w:val="bottom"/>
            <w:tcBorders>
              <w:bottom w:val="single" w:sz="8" w:color="B6B6B6"/>
            </w:tcBorders>
            <w:shd w:val="clear" w:color="auto" w:fill="F2F3F2"/>
          </w:tcPr>
          <w:p>
            <w:pPr>
              <w:spacing w:after="0"/>
              <w:rPr>
                <w:sz w:val="5"/>
                <w:szCs w:val="5"/>
                <w:color w:val="auto"/>
              </w:rPr>
            </w:pPr>
          </w:p>
        </w:tc>
        <w:tc>
          <w:tcPr>
            <w:tcW w:w="1040" w:type="dxa"/>
            <w:vAlign w:val="bottom"/>
            <w:tcBorders>
              <w:bottom w:val="single" w:sz="8" w:color="B6B6B6"/>
            </w:tcBorders>
            <w:shd w:val="clear" w:color="auto" w:fill="F2F3F2"/>
          </w:tcPr>
          <w:p>
            <w:pPr>
              <w:spacing w:after="0"/>
              <w:rPr>
                <w:sz w:val="5"/>
                <w:szCs w:val="5"/>
                <w:color w:val="auto"/>
              </w:rPr>
            </w:pPr>
          </w:p>
        </w:tc>
        <w:tc>
          <w:tcPr>
            <w:tcW w:w="100" w:type="dxa"/>
            <w:vAlign w:val="bottom"/>
            <w:tcBorders>
              <w:bottom w:val="single" w:sz="8" w:color="B6B6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4/1/2024</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ind w:left="9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26"/>
                <w:szCs w:val="26"/>
                <w:color w:val="auto"/>
                <w:vertAlign w:val="subscript"/>
              </w:rPr>
              <w:t>788</w:t>
            </w:r>
            <w:r>
              <w:rPr>
                <w:rFonts w:ascii="Arial" w:cs="Arial" w:eastAsia="Arial" w:hAnsi="Arial"/>
                <w:sz w:val="9"/>
                <w:szCs w:val="9"/>
                <w:color w:val="auto"/>
              </w:rPr>
              <w:t xml:space="preserve"> (5)</w:t>
            </w:r>
          </w:p>
        </w:tc>
        <w:tc>
          <w:tcPr>
            <w:tcW w:w="820" w:type="dxa"/>
            <w:vAlign w:val="bottom"/>
          </w:tcPr>
          <w:p>
            <w:pPr>
              <w:jc w:val="right"/>
              <w:spacing w:after="0"/>
              <w:rPr>
                <w:sz w:val="20"/>
                <w:szCs w:val="20"/>
                <w:color w:val="auto"/>
              </w:rPr>
            </w:pPr>
            <w:r>
              <w:rPr>
                <w:rFonts w:ascii="Arial" w:cs="Arial" w:eastAsia="Arial" w:hAnsi="Arial"/>
                <w:sz w:val="13"/>
                <w:szCs w:val="13"/>
                <w:color w:val="auto"/>
              </w:rPr>
              <w:t>136,253</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3"/>
        </w:trPr>
        <w:tc>
          <w:tcPr>
            <w:tcW w:w="820" w:type="dxa"/>
            <w:vAlign w:val="bottom"/>
          </w:tcPr>
          <w:p>
            <w:pPr>
              <w:spacing w:after="0"/>
              <w:rPr>
                <w:sz w:val="6"/>
                <w:szCs w:val="6"/>
                <w:color w:val="auto"/>
              </w:rPr>
            </w:pPr>
          </w:p>
        </w:tc>
        <w:tc>
          <w:tcPr>
            <w:tcW w:w="640" w:type="dxa"/>
            <w:vAlign w:val="bottom"/>
            <w:tcBorders>
              <w:bottom w:val="single" w:sz="8" w:color="B2B3B6"/>
            </w:tcBorders>
          </w:tcPr>
          <w:p>
            <w:pPr>
              <w:spacing w:after="0"/>
              <w:rPr>
                <w:sz w:val="6"/>
                <w:szCs w:val="6"/>
                <w:color w:val="auto"/>
              </w:rPr>
            </w:pPr>
          </w:p>
        </w:tc>
        <w:tc>
          <w:tcPr>
            <w:tcW w:w="1000" w:type="dxa"/>
            <w:vAlign w:val="bottom"/>
            <w:tcBorders>
              <w:bottom w:val="single" w:sz="8" w:color="B2B3B6"/>
            </w:tcBorders>
          </w:tcPr>
          <w:p>
            <w:pPr>
              <w:spacing w:after="0"/>
              <w:rPr>
                <w:sz w:val="6"/>
                <w:szCs w:val="6"/>
                <w:color w:val="auto"/>
              </w:rPr>
            </w:pPr>
          </w:p>
        </w:tc>
        <w:tc>
          <w:tcPr>
            <w:tcW w:w="1160" w:type="dxa"/>
            <w:vAlign w:val="bottom"/>
            <w:tcBorders>
              <w:bottom w:val="single" w:sz="8" w:color="B2B3B6"/>
            </w:tcBorders>
          </w:tcPr>
          <w:p>
            <w:pPr>
              <w:spacing w:after="0"/>
              <w:rPr>
                <w:sz w:val="6"/>
                <w:szCs w:val="6"/>
                <w:color w:val="auto"/>
              </w:rPr>
            </w:pPr>
          </w:p>
        </w:tc>
        <w:tc>
          <w:tcPr>
            <w:tcW w:w="740" w:type="dxa"/>
            <w:vAlign w:val="bottom"/>
            <w:tcBorders>
              <w:bottom w:val="single" w:sz="8" w:color="B2B3B6"/>
            </w:tcBorders>
          </w:tcPr>
          <w:p>
            <w:pPr>
              <w:spacing w:after="0"/>
              <w:rPr>
                <w:sz w:val="6"/>
                <w:szCs w:val="6"/>
                <w:color w:val="auto"/>
              </w:rPr>
            </w:pPr>
          </w:p>
        </w:tc>
        <w:tc>
          <w:tcPr>
            <w:tcW w:w="860" w:type="dxa"/>
            <w:vAlign w:val="bottom"/>
            <w:tcBorders>
              <w:bottom w:val="single" w:sz="8" w:color="B2B3B6"/>
            </w:tcBorders>
          </w:tcPr>
          <w:p>
            <w:pPr>
              <w:spacing w:after="0"/>
              <w:rPr>
                <w:sz w:val="6"/>
                <w:szCs w:val="6"/>
                <w:color w:val="auto"/>
              </w:rPr>
            </w:pPr>
          </w:p>
        </w:tc>
        <w:tc>
          <w:tcPr>
            <w:tcW w:w="100" w:type="dxa"/>
            <w:vAlign w:val="bottom"/>
            <w:tcBorders>
              <w:bottom w:val="single" w:sz="8" w:color="B2B3B6"/>
            </w:tcBorders>
          </w:tcPr>
          <w:p>
            <w:pPr>
              <w:spacing w:after="0"/>
              <w:rPr>
                <w:sz w:val="6"/>
                <w:szCs w:val="6"/>
                <w:color w:val="auto"/>
              </w:rPr>
            </w:pPr>
          </w:p>
        </w:tc>
        <w:tc>
          <w:tcPr>
            <w:tcW w:w="880" w:type="dxa"/>
            <w:vAlign w:val="bottom"/>
            <w:tcBorders>
              <w:bottom w:val="single" w:sz="8" w:color="B6B6B6"/>
            </w:tcBorders>
          </w:tcPr>
          <w:p>
            <w:pPr>
              <w:spacing w:after="0"/>
              <w:rPr>
                <w:sz w:val="6"/>
                <w:szCs w:val="6"/>
                <w:color w:val="auto"/>
              </w:rPr>
            </w:pPr>
          </w:p>
        </w:tc>
        <w:tc>
          <w:tcPr>
            <w:tcW w:w="820" w:type="dxa"/>
            <w:vAlign w:val="bottom"/>
            <w:tcBorders>
              <w:bottom w:val="single" w:sz="8" w:color="B2B3B6"/>
            </w:tcBorders>
          </w:tcPr>
          <w:p>
            <w:pPr>
              <w:spacing w:after="0"/>
              <w:rPr>
                <w:sz w:val="6"/>
                <w:szCs w:val="6"/>
                <w:color w:val="auto"/>
              </w:rPr>
            </w:pPr>
          </w:p>
        </w:tc>
        <w:tc>
          <w:tcPr>
            <w:tcW w:w="920" w:type="dxa"/>
            <w:vAlign w:val="bottom"/>
            <w:tcBorders>
              <w:bottom w:val="single" w:sz="8" w:color="B6B6B6"/>
            </w:tcBorders>
          </w:tcPr>
          <w:p>
            <w:pPr>
              <w:spacing w:after="0"/>
              <w:rPr>
                <w:sz w:val="6"/>
                <w:szCs w:val="6"/>
                <w:color w:val="auto"/>
              </w:rPr>
            </w:pPr>
          </w:p>
        </w:tc>
        <w:tc>
          <w:tcPr>
            <w:tcW w:w="1040" w:type="dxa"/>
            <w:vAlign w:val="bottom"/>
            <w:tcBorders>
              <w:bottom w:val="single" w:sz="8" w:color="B6B6B6"/>
            </w:tcBorders>
          </w:tcPr>
          <w:p>
            <w:pPr>
              <w:spacing w:after="0"/>
              <w:rPr>
                <w:sz w:val="6"/>
                <w:szCs w:val="6"/>
                <w:color w:val="auto"/>
              </w:rPr>
            </w:pPr>
          </w:p>
        </w:tc>
        <w:tc>
          <w:tcPr>
            <w:tcW w:w="100" w:type="dxa"/>
            <w:vAlign w:val="bottom"/>
            <w:tcBorders>
              <w:bottom w:val="single" w:sz="8" w:color="B2B3B6"/>
            </w:tcBorders>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00558C"/>
              </w:rPr>
              <w:t>Hope</w:t>
            </w:r>
          </w:p>
        </w:tc>
        <w:tc>
          <w:tcPr>
            <w:tcW w:w="640" w:type="dxa"/>
            <w:vAlign w:val="bottom"/>
          </w:tcPr>
          <w:p>
            <w:pPr>
              <w:jc w:val="center"/>
              <w:spacing w:after="0"/>
              <w:rPr>
                <w:sz w:val="20"/>
                <w:szCs w:val="20"/>
                <w:color w:val="auto"/>
              </w:rPr>
            </w:pPr>
            <w:r>
              <w:rPr>
                <w:rFonts w:ascii="Arial" w:cs="Arial" w:eastAsia="Arial" w:hAnsi="Arial"/>
                <w:sz w:val="13"/>
                <w:szCs w:val="13"/>
                <w:color w:val="auto"/>
              </w:rPr>
              <w:t>3/1/2025</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ind w:left="9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 xml:space="preserve">656 </w:t>
            </w:r>
            <w:r>
              <w:rPr>
                <w:rFonts w:ascii="Arial" w:cs="Arial" w:eastAsia="Arial" w:hAnsi="Arial"/>
                <w:sz w:val="17"/>
                <w:szCs w:val="17"/>
                <w:color w:val="auto"/>
                <w:vertAlign w:val="superscript"/>
              </w:rPr>
              <w:t>(5)</w:t>
            </w:r>
          </w:p>
        </w:tc>
        <w:tc>
          <w:tcPr>
            <w:tcW w:w="820" w:type="dxa"/>
            <w:vAlign w:val="bottom"/>
          </w:tcPr>
          <w:p>
            <w:pPr>
              <w:jc w:val="right"/>
              <w:spacing w:after="0"/>
              <w:rPr>
                <w:sz w:val="20"/>
                <w:szCs w:val="20"/>
                <w:color w:val="auto"/>
              </w:rPr>
            </w:pPr>
            <w:r>
              <w:rPr>
                <w:rFonts w:ascii="Arial" w:cs="Arial" w:eastAsia="Arial" w:hAnsi="Arial"/>
                <w:sz w:val="13"/>
                <w:szCs w:val="13"/>
                <w:color w:val="auto"/>
              </w:rPr>
              <w:t>113,429</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820" w:type="dxa"/>
            <w:vAlign w:val="bottom"/>
            <w:vMerge w:val="continue"/>
          </w:tcPr>
          <w:p>
            <w:pPr>
              <w:spacing w:after="0"/>
              <w:rPr>
                <w:sz w:val="5"/>
                <w:szCs w:val="5"/>
                <w:color w:val="auto"/>
              </w:rPr>
            </w:pPr>
          </w:p>
        </w:tc>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tcPr>
          <w:p>
            <w:pPr>
              <w:spacing w:after="0"/>
              <w:rPr>
                <w:sz w:val="5"/>
                <w:szCs w:val="5"/>
                <w:color w:val="auto"/>
              </w:rPr>
            </w:pPr>
          </w:p>
        </w:tc>
        <w:tc>
          <w:tcPr>
            <w:tcW w:w="1160" w:type="dxa"/>
            <w:vAlign w:val="bottom"/>
            <w:tcBorders>
              <w:bottom w:val="single" w:sz="8" w:color="B2B3B6"/>
            </w:tcBorders>
          </w:tcPr>
          <w:p>
            <w:pPr>
              <w:spacing w:after="0"/>
              <w:rPr>
                <w:sz w:val="5"/>
                <w:szCs w:val="5"/>
                <w:color w:val="auto"/>
              </w:rPr>
            </w:pPr>
          </w:p>
        </w:tc>
        <w:tc>
          <w:tcPr>
            <w:tcW w:w="740" w:type="dxa"/>
            <w:vAlign w:val="bottom"/>
            <w:tcBorders>
              <w:bottom w:val="single" w:sz="8" w:color="B2B3B6"/>
            </w:tcBorders>
          </w:tcPr>
          <w:p>
            <w:pPr>
              <w:spacing w:after="0"/>
              <w:rPr>
                <w:sz w:val="5"/>
                <w:szCs w:val="5"/>
                <w:color w:val="auto"/>
              </w:rPr>
            </w:pPr>
          </w:p>
        </w:tc>
        <w:tc>
          <w:tcPr>
            <w:tcW w:w="860" w:type="dxa"/>
            <w:vAlign w:val="bottom"/>
            <w:tcBorders>
              <w:bottom w:val="single" w:sz="8" w:color="B2B3B6"/>
            </w:tcBorders>
          </w:tcPr>
          <w:p>
            <w:pPr>
              <w:spacing w:after="0"/>
              <w:rPr>
                <w:sz w:val="5"/>
                <w:szCs w:val="5"/>
                <w:color w:val="auto"/>
              </w:rPr>
            </w:pPr>
          </w:p>
        </w:tc>
        <w:tc>
          <w:tcPr>
            <w:tcW w:w="100" w:type="dxa"/>
            <w:vAlign w:val="bottom"/>
            <w:tcBorders>
              <w:bottom w:val="single" w:sz="8" w:color="B2B3B6"/>
            </w:tcBorders>
          </w:tcPr>
          <w:p>
            <w:pPr>
              <w:spacing w:after="0"/>
              <w:rPr>
                <w:sz w:val="5"/>
                <w:szCs w:val="5"/>
                <w:color w:val="auto"/>
              </w:rPr>
            </w:pPr>
          </w:p>
        </w:tc>
        <w:tc>
          <w:tcPr>
            <w:tcW w:w="880" w:type="dxa"/>
            <w:vAlign w:val="bottom"/>
            <w:tcBorders>
              <w:bottom w:val="single" w:sz="8" w:color="B6B6B6"/>
            </w:tcBorders>
          </w:tcPr>
          <w:p>
            <w:pPr>
              <w:spacing w:after="0"/>
              <w:rPr>
                <w:sz w:val="5"/>
                <w:szCs w:val="5"/>
                <w:color w:val="auto"/>
              </w:rPr>
            </w:pPr>
          </w:p>
        </w:tc>
        <w:tc>
          <w:tcPr>
            <w:tcW w:w="820" w:type="dxa"/>
            <w:vAlign w:val="bottom"/>
            <w:tcBorders>
              <w:bottom w:val="single" w:sz="8" w:color="B2B3B6"/>
            </w:tcBorders>
          </w:tcPr>
          <w:p>
            <w:pPr>
              <w:spacing w:after="0"/>
              <w:rPr>
                <w:sz w:val="5"/>
                <w:szCs w:val="5"/>
                <w:color w:val="auto"/>
              </w:rPr>
            </w:pPr>
          </w:p>
        </w:tc>
        <w:tc>
          <w:tcPr>
            <w:tcW w:w="920" w:type="dxa"/>
            <w:vAlign w:val="bottom"/>
            <w:tcBorders>
              <w:bottom w:val="single" w:sz="8" w:color="B2B3B6"/>
            </w:tcBorders>
          </w:tcPr>
          <w:p>
            <w:pPr>
              <w:spacing w:after="0"/>
              <w:rPr>
                <w:sz w:val="5"/>
                <w:szCs w:val="5"/>
                <w:color w:val="auto"/>
              </w:rPr>
            </w:pPr>
          </w:p>
        </w:tc>
        <w:tc>
          <w:tcPr>
            <w:tcW w:w="1040" w:type="dxa"/>
            <w:vAlign w:val="bottom"/>
            <w:tcBorders>
              <w:bottom w:val="single" w:sz="8" w:color="B2B3B6"/>
            </w:tcBorders>
          </w:tcPr>
          <w:p>
            <w:pPr>
              <w:spacing w:after="0"/>
              <w:rPr>
                <w:sz w:val="5"/>
                <w:szCs w:val="5"/>
                <w:color w:val="auto"/>
              </w:rPr>
            </w:pPr>
          </w:p>
        </w:tc>
        <w:tc>
          <w:tcPr>
            <w:tcW w:w="100" w:type="dxa"/>
            <w:vAlign w:val="bottom"/>
            <w:tcBorders>
              <w:bottom w:val="single" w:sz="8" w:color="B2B3B6"/>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40"/>
              <w:spacing w:after="0"/>
              <w:rPr>
                <w:sz w:val="20"/>
                <w:szCs w:val="20"/>
                <w:color w:val="auto"/>
              </w:rPr>
            </w:pPr>
            <w:r>
              <w:rPr>
                <w:rFonts w:ascii="Arial" w:cs="Arial" w:eastAsia="Arial" w:hAnsi="Arial"/>
                <w:sz w:val="13"/>
                <w:szCs w:val="13"/>
                <w:b w:val="1"/>
                <w:bCs w:val="1"/>
                <w:color w:val="00558C"/>
              </w:rPr>
              <w:t>Katz</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3/1/2025</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ind w:left="9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836 </w:t>
            </w:r>
            <w:r>
              <w:rPr>
                <w:rFonts w:ascii="Arial" w:cs="Arial" w:eastAsia="Arial" w:hAnsi="Arial"/>
                <w:sz w:val="17"/>
                <w:szCs w:val="17"/>
                <w:color w:val="auto"/>
                <w:vertAlign w:val="superscript"/>
              </w:rPr>
              <w:t>(1)</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144,553</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820" w:type="dxa"/>
            <w:vAlign w:val="bottom"/>
          </w:tcPr>
          <w:p>
            <w:pPr>
              <w:spacing w:after="0"/>
              <w:rPr>
                <w:sz w:val="5"/>
                <w:szCs w:val="5"/>
                <w:color w:val="auto"/>
              </w:rPr>
            </w:pPr>
          </w:p>
        </w:tc>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tcPr>
          <w:p>
            <w:pPr>
              <w:spacing w:after="0"/>
              <w:rPr>
                <w:sz w:val="5"/>
                <w:szCs w:val="5"/>
                <w:color w:val="auto"/>
              </w:rPr>
            </w:pPr>
          </w:p>
        </w:tc>
        <w:tc>
          <w:tcPr>
            <w:tcW w:w="1160" w:type="dxa"/>
            <w:vAlign w:val="bottom"/>
            <w:tcBorders>
              <w:bottom w:val="single" w:sz="8" w:color="B2B3B6"/>
            </w:tcBorders>
          </w:tcPr>
          <w:p>
            <w:pPr>
              <w:spacing w:after="0"/>
              <w:rPr>
                <w:sz w:val="5"/>
                <w:szCs w:val="5"/>
                <w:color w:val="auto"/>
              </w:rPr>
            </w:pPr>
          </w:p>
        </w:tc>
        <w:tc>
          <w:tcPr>
            <w:tcW w:w="740" w:type="dxa"/>
            <w:vAlign w:val="bottom"/>
            <w:tcBorders>
              <w:bottom w:val="single" w:sz="8" w:color="B2B3B6"/>
            </w:tcBorders>
          </w:tcPr>
          <w:p>
            <w:pPr>
              <w:spacing w:after="0"/>
              <w:rPr>
                <w:sz w:val="5"/>
                <w:szCs w:val="5"/>
                <w:color w:val="auto"/>
              </w:rPr>
            </w:pPr>
          </w:p>
        </w:tc>
        <w:tc>
          <w:tcPr>
            <w:tcW w:w="860" w:type="dxa"/>
            <w:vAlign w:val="bottom"/>
            <w:tcBorders>
              <w:bottom w:val="single" w:sz="8" w:color="B2B3B6"/>
            </w:tcBorders>
          </w:tcPr>
          <w:p>
            <w:pPr>
              <w:spacing w:after="0"/>
              <w:rPr>
                <w:sz w:val="5"/>
                <w:szCs w:val="5"/>
                <w:color w:val="auto"/>
              </w:rPr>
            </w:pPr>
          </w:p>
        </w:tc>
        <w:tc>
          <w:tcPr>
            <w:tcW w:w="100" w:type="dxa"/>
            <w:vAlign w:val="bottom"/>
            <w:tcBorders>
              <w:bottom w:val="single" w:sz="8" w:color="B2B3B6"/>
            </w:tcBorders>
          </w:tcPr>
          <w:p>
            <w:pPr>
              <w:spacing w:after="0"/>
              <w:rPr>
                <w:sz w:val="5"/>
                <w:szCs w:val="5"/>
                <w:color w:val="auto"/>
              </w:rPr>
            </w:pPr>
          </w:p>
        </w:tc>
        <w:tc>
          <w:tcPr>
            <w:tcW w:w="880" w:type="dxa"/>
            <w:vAlign w:val="bottom"/>
            <w:tcBorders>
              <w:bottom w:val="single" w:sz="8" w:color="B2B3B6"/>
            </w:tcBorders>
          </w:tcPr>
          <w:p>
            <w:pPr>
              <w:spacing w:after="0"/>
              <w:rPr>
                <w:sz w:val="5"/>
                <w:szCs w:val="5"/>
                <w:color w:val="auto"/>
              </w:rPr>
            </w:pPr>
          </w:p>
        </w:tc>
        <w:tc>
          <w:tcPr>
            <w:tcW w:w="820" w:type="dxa"/>
            <w:vAlign w:val="bottom"/>
            <w:tcBorders>
              <w:bottom w:val="single" w:sz="8" w:color="B2B3B6"/>
            </w:tcBorders>
          </w:tcPr>
          <w:p>
            <w:pPr>
              <w:spacing w:after="0"/>
              <w:rPr>
                <w:sz w:val="5"/>
                <w:szCs w:val="5"/>
                <w:color w:val="auto"/>
              </w:rPr>
            </w:pPr>
          </w:p>
        </w:tc>
        <w:tc>
          <w:tcPr>
            <w:tcW w:w="920" w:type="dxa"/>
            <w:vAlign w:val="bottom"/>
            <w:tcBorders>
              <w:bottom w:val="single" w:sz="8" w:color="B2B3B6"/>
            </w:tcBorders>
          </w:tcPr>
          <w:p>
            <w:pPr>
              <w:spacing w:after="0"/>
              <w:rPr>
                <w:sz w:val="5"/>
                <w:szCs w:val="5"/>
                <w:color w:val="auto"/>
              </w:rPr>
            </w:pPr>
          </w:p>
        </w:tc>
        <w:tc>
          <w:tcPr>
            <w:tcW w:w="1040" w:type="dxa"/>
            <w:vAlign w:val="bottom"/>
            <w:tcBorders>
              <w:bottom w:val="single" w:sz="8" w:color="B2B3B6"/>
            </w:tcBorders>
          </w:tcPr>
          <w:p>
            <w:pPr>
              <w:spacing w:after="0"/>
              <w:rPr>
                <w:sz w:val="5"/>
                <w:szCs w:val="5"/>
                <w:color w:val="auto"/>
              </w:rPr>
            </w:pPr>
          </w:p>
        </w:tc>
        <w:tc>
          <w:tcPr>
            <w:tcW w:w="100" w:type="dxa"/>
            <w:vAlign w:val="bottom"/>
            <w:tcBorders>
              <w:bottom w:val="single" w:sz="8" w:color="B2B3B6"/>
            </w:tcBorders>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3/1/2025</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ind w:left="9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 xml:space="preserve">1,951 </w:t>
            </w:r>
            <w:r>
              <w:rPr>
                <w:rFonts w:ascii="Arial" w:cs="Arial" w:eastAsia="Arial" w:hAnsi="Arial"/>
                <w:sz w:val="17"/>
                <w:szCs w:val="17"/>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3"/>
                <w:szCs w:val="13"/>
                <w:color w:val="auto"/>
              </w:rPr>
              <w:t>337,347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820" w:type="dxa"/>
            <w:vAlign w:val="bottom"/>
            <w:tcBorders>
              <w:bottom w:val="single" w:sz="8" w:color="B2B3B6"/>
            </w:tcBorders>
          </w:tcPr>
          <w:p>
            <w:pPr>
              <w:spacing w:after="0"/>
              <w:rPr>
                <w:sz w:val="5"/>
                <w:szCs w:val="5"/>
                <w:color w:val="auto"/>
              </w:rPr>
            </w:pPr>
          </w:p>
        </w:tc>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tcPr>
          <w:p>
            <w:pPr>
              <w:spacing w:after="0"/>
              <w:rPr>
                <w:sz w:val="5"/>
                <w:szCs w:val="5"/>
                <w:color w:val="auto"/>
              </w:rPr>
            </w:pPr>
          </w:p>
        </w:tc>
        <w:tc>
          <w:tcPr>
            <w:tcW w:w="1160" w:type="dxa"/>
            <w:vAlign w:val="bottom"/>
            <w:tcBorders>
              <w:bottom w:val="single" w:sz="8" w:color="B2B3B6"/>
            </w:tcBorders>
          </w:tcPr>
          <w:p>
            <w:pPr>
              <w:spacing w:after="0"/>
              <w:rPr>
                <w:sz w:val="5"/>
                <w:szCs w:val="5"/>
                <w:color w:val="auto"/>
              </w:rPr>
            </w:pPr>
          </w:p>
        </w:tc>
        <w:tc>
          <w:tcPr>
            <w:tcW w:w="740" w:type="dxa"/>
            <w:vAlign w:val="bottom"/>
            <w:tcBorders>
              <w:bottom w:val="single" w:sz="8" w:color="B2B3B6"/>
            </w:tcBorders>
          </w:tcPr>
          <w:p>
            <w:pPr>
              <w:spacing w:after="0"/>
              <w:rPr>
                <w:sz w:val="5"/>
                <w:szCs w:val="5"/>
                <w:color w:val="auto"/>
              </w:rPr>
            </w:pPr>
          </w:p>
        </w:tc>
        <w:tc>
          <w:tcPr>
            <w:tcW w:w="860" w:type="dxa"/>
            <w:vAlign w:val="bottom"/>
            <w:tcBorders>
              <w:bottom w:val="single" w:sz="8" w:color="B2B3B6"/>
            </w:tcBorders>
          </w:tcPr>
          <w:p>
            <w:pPr>
              <w:spacing w:after="0"/>
              <w:rPr>
                <w:sz w:val="5"/>
                <w:szCs w:val="5"/>
                <w:color w:val="auto"/>
              </w:rPr>
            </w:pPr>
          </w:p>
        </w:tc>
        <w:tc>
          <w:tcPr>
            <w:tcW w:w="100" w:type="dxa"/>
            <w:vAlign w:val="bottom"/>
            <w:tcBorders>
              <w:bottom w:val="single" w:sz="8" w:color="B2B3B6"/>
            </w:tcBorders>
          </w:tcPr>
          <w:p>
            <w:pPr>
              <w:spacing w:after="0"/>
              <w:rPr>
                <w:sz w:val="5"/>
                <w:szCs w:val="5"/>
                <w:color w:val="auto"/>
              </w:rPr>
            </w:pPr>
          </w:p>
        </w:tc>
        <w:tc>
          <w:tcPr>
            <w:tcW w:w="880" w:type="dxa"/>
            <w:vAlign w:val="bottom"/>
            <w:tcBorders>
              <w:bottom w:val="single" w:sz="8" w:color="B2B3B6"/>
            </w:tcBorders>
          </w:tcPr>
          <w:p>
            <w:pPr>
              <w:spacing w:after="0"/>
              <w:rPr>
                <w:sz w:val="5"/>
                <w:szCs w:val="5"/>
                <w:color w:val="auto"/>
              </w:rPr>
            </w:pPr>
          </w:p>
        </w:tc>
        <w:tc>
          <w:tcPr>
            <w:tcW w:w="820" w:type="dxa"/>
            <w:vAlign w:val="bottom"/>
            <w:tcBorders>
              <w:bottom w:val="single" w:sz="8" w:color="B2B3B6"/>
            </w:tcBorders>
          </w:tcPr>
          <w:p>
            <w:pPr>
              <w:spacing w:after="0"/>
              <w:rPr>
                <w:sz w:val="5"/>
                <w:szCs w:val="5"/>
                <w:color w:val="auto"/>
              </w:rPr>
            </w:pPr>
          </w:p>
        </w:tc>
        <w:tc>
          <w:tcPr>
            <w:tcW w:w="920" w:type="dxa"/>
            <w:vAlign w:val="bottom"/>
            <w:tcBorders>
              <w:bottom w:val="single" w:sz="8" w:color="B2B3B6"/>
            </w:tcBorders>
          </w:tcPr>
          <w:p>
            <w:pPr>
              <w:spacing w:after="0"/>
              <w:rPr>
                <w:sz w:val="5"/>
                <w:szCs w:val="5"/>
                <w:color w:val="auto"/>
              </w:rPr>
            </w:pPr>
          </w:p>
        </w:tc>
        <w:tc>
          <w:tcPr>
            <w:tcW w:w="1040" w:type="dxa"/>
            <w:vAlign w:val="bottom"/>
            <w:tcBorders>
              <w:bottom w:val="single" w:sz="8" w:color="B2B3B6"/>
            </w:tcBorders>
          </w:tcPr>
          <w:p>
            <w:pPr>
              <w:spacing w:after="0"/>
              <w:rPr>
                <w:sz w:val="5"/>
                <w:szCs w:val="5"/>
                <w:color w:val="auto"/>
              </w:rPr>
            </w:pPr>
          </w:p>
        </w:tc>
        <w:tc>
          <w:tcPr>
            <w:tcW w:w="100" w:type="dxa"/>
            <w:vAlign w:val="bottom"/>
            <w:tcBorders>
              <w:bottom w:val="single" w:sz="8" w:color="B2B3B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right="240" w:hanging="331"/>
        <w:spacing w:after="0" w:line="281"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unvested restricted stock units as of December 31, 2025 that vest 33% annually over three years from the date of grant, provided that the individual is still employed by Huron on the applicable vesting date or is eligible for retirement under the Company's equity incentive plan.</w:t>
      </w:r>
    </w:p>
    <w:p>
      <w:pPr>
        <w:spacing w:after="0" w:line="1" w:lineRule="exact"/>
        <w:rPr>
          <w:rFonts w:ascii="Arial" w:cs="Arial" w:eastAsia="Arial" w:hAnsi="Arial"/>
          <w:sz w:val="14"/>
          <w:szCs w:val="14"/>
          <w:color w:val="auto"/>
        </w:rPr>
      </w:pPr>
    </w:p>
    <w:p>
      <w:pPr>
        <w:ind w:left="420" w:right="60" w:hanging="331"/>
        <w:spacing w:after="0" w:line="301"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the 2023 grant of PSUs that vest based on performance for the 2023-2025 performance period. The amount reflected in the table equals 180%, the actual amount earned. The earned amount vested on March 1, 2026.</w:t>
      </w:r>
    </w:p>
    <w:p>
      <w:pPr>
        <w:spacing w:after="0" w:line="1" w:lineRule="exact"/>
        <w:rPr>
          <w:rFonts w:ascii="Arial" w:cs="Arial" w:eastAsia="Arial" w:hAnsi="Arial"/>
          <w:sz w:val="14"/>
          <w:szCs w:val="14"/>
          <w:color w:val="auto"/>
        </w:rPr>
      </w:pPr>
    </w:p>
    <w:p>
      <w:pPr>
        <w:jc w:val="both"/>
        <w:ind w:left="420" w:right="140" w:hanging="331"/>
        <w:spacing w:after="0" w:line="269"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the 2024 grant of PSUs that vest based on performance for the 2024-2026 performance period. Actual payouts may range from 0% to 200% of target, with 25% paid for threshold performance. As of December 31, 2025, it was estimated that the award would be earned at an amount between target and maximum; as such, the amount reflected in the table equals the maximum amount. Once the 2024-2026 performance period is complete, the earned award will vest in its entirety on March 1, 2027.</w:t>
      </w:r>
    </w:p>
    <w:p>
      <w:pPr>
        <w:spacing w:after="0" w:line="20" w:lineRule="exact"/>
        <w:rPr>
          <w:rFonts w:ascii="Arial" w:cs="Arial" w:eastAsia="Arial" w:hAnsi="Arial"/>
          <w:sz w:val="14"/>
          <w:szCs w:val="14"/>
          <w:color w:val="auto"/>
        </w:rPr>
      </w:pPr>
    </w:p>
    <w:p>
      <w:pPr>
        <w:ind w:left="420" w:right="80" w:hanging="331"/>
        <w:spacing w:after="0" w:line="283"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the 2025 grant of PSUs that vest based on performance for the 2025-2027 performance period. Actual payouts may range from 0% to 200% of target, with 25% paid for threshold performance. The amount reflected in the table equals the target amount based on the estimated funding as of December 31, 2025. Once the 2025-2027 performance period is complete, the earned award will vest in</w:t>
      </w:r>
    </w:p>
    <w:p>
      <w:pPr>
        <w:sectPr>
          <w:pgSz w:w="11900" w:h="16952" w:orient="portrait"/>
          <w:cols w:equalWidth="0" w:num="1">
            <w:col w:w="9080"/>
          </w:cols>
          <w:pgMar w:left="1400" w:top="140" w:right="1419" w:bottom="0" w:gutter="0" w:footer="0" w:header="0"/>
        </w:sectPr>
      </w:pPr>
    </w:p>
    <w:bookmarkStart w:id="56" w:name="page57"/>
    <w:bookmarkEnd w:id="56"/>
    <w:p>
      <w:pPr>
        <w:ind w:left="420"/>
        <w:spacing w:after="0"/>
        <w:rPr>
          <w:sz w:val="20"/>
          <w:szCs w:val="20"/>
          <w:color w:val="auto"/>
        </w:rPr>
      </w:pPr>
      <w:r>
        <w:rPr>
          <w:rFonts w:ascii="Arial" w:cs="Arial" w:eastAsia="Arial" w:hAnsi="Arial"/>
          <w:sz w:val="14"/>
          <w:szCs w:val="14"/>
          <w:color w:val="auto"/>
        </w:rPr>
        <w:t>its entirety on March 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-95885</wp:posOffset>
            </wp:positionV>
            <wp:extent cx="6810375" cy="1167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1167765"/>
                    </a:xfrm>
                    <a:prstGeom prst="rect">
                      <a:avLst/>
                    </a:prstGeom>
                    <a:noFill/>
                  </pic:spPr>
                </pic:pic>
              </a:graphicData>
            </a:graphic>
          </wp:anchor>
        </w:drawing>
      </w:r>
    </w:p>
    <w:p>
      <w:pPr>
        <w:spacing w:after="0" w:line="35" w:lineRule="exact"/>
        <w:rPr>
          <w:sz w:val="20"/>
          <w:szCs w:val="20"/>
          <w:color w:val="auto"/>
        </w:rPr>
      </w:pPr>
    </w:p>
    <w:p>
      <w:pPr>
        <w:ind w:left="420" w:right="80" w:hanging="331"/>
        <w:spacing w:after="0" w:line="283" w:lineRule="auto"/>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unvested restricted stock units granted for time served prior to being a named executive officer that vests 25% annually over four years from the date of grant, provided that the individual is still employed by Huron on the applicable vesting date or is eligible for retirement under the Company's equity incentive plan.</w:t>
      </w:r>
    </w:p>
    <w:p>
      <w:pPr>
        <w:spacing w:after="0" w:line="38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54</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67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33" w:lineRule="exact"/>
        <w:rPr>
          <w:sz w:val="20"/>
          <w:szCs w:val="20"/>
          <w:color w:val="auto"/>
        </w:rPr>
      </w:pPr>
    </w:p>
    <w:p>
      <w:pPr>
        <w:ind w:left="420" w:hanging="331"/>
        <w:spacing w:after="0" w:line="269" w:lineRule="auto"/>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the unexercised performance stock options (PSOs) granted in 2022 that were earned based on the 2022 annual performance of the Healthcare business unit. The amount reflected in the table equals the unexercised PSOs of the earned amount. The earned awards vested 33% annually over three years from the date of grant provided the individual was still employed by Huron on the applicable vesting date.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2025 Option Exercises and Stock Vested</w:t>
      </w:r>
    </w:p>
    <w:p>
      <w:pPr>
        <w:spacing w:after="0" w:line="153"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following table sets forth certain information concerning stock options exercised and restricted stock and restricted stock units vested during 2025 for each named executive officer.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2380" w:type="dxa"/>
            <w:vAlign w:val="bottom"/>
            <w:shd w:val="clear" w:color="auto" w:fill="00558C"/>
          </w:tcPr>
          <w:p>
            <w:pPr>
              <w:spacing w:after="0"/>
              <w:rPr>
                <w:sz w:val="24"/>
                <w:szCs w:val="24"/>
                <w:color w:val="auto"/>
              </w:rPr>
            </w:pPr>
          </w:p>
        </w:tc>
        <w:tc>
          <w:tcPr>
            <w:tcW w:w="2060" w:type="dxa"/>
            <w:vAlign w:val="bottom"/>
            <w:shd w:val="clear" w:color="auto" w:fill="00558C"/>
          </w:tcPr>
          <w:p>
            <w:pPr>
              <w:ind w:left="1040"/>
              <w:spacing w:after="0"/>
              <w:rPr>
                <w:sz w:val="20"/>
                <w:szCs w:val="20"/>
                <w:color w:val="auto"/>
              </w:rPr>
            </w:pPr>
            <w:r>
              <w:rPr>
                <w:rFonts w:ascii="Arial" w:cs="Arial" w:eastAsia="Arial" w:hAnsi="Arial"/>
                <w:sz w:val="14"/>
                <w:szCs w:val="14"/>
                <w:b w:val="1"/>
                <w:bCs w:val="1"/>
                <w:color w:val="FFFFFF"/>
              </w:rPr>
              <w:t>Option Awards</w:t>
            </w:r>
          </w:p>
        </w:tc>
        <w:tc>
          <w:tcPr>
            <w:tcW w:w="1180" w:type="dxa"/>
            <w:vAlign w:val="bottom"/>
            <w:shd w:val="clear" w:color="auto" w:fill="00558C"/>
          </w:tcPr>
          <w:p>
            <w:pPr>
              <w:spacing w:after="0"/>
              <w:rPr>
                <w:sz w:val="24"/>
                <w:szCs w:val="24"/>
                <w:color w:val="auto"/>
              </w:rPr>
            </w:pPr>
          </w:p>
        </w:tc>
        <w:tc>
          <w:tcPr>
            <w:tcW w:w="216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Stock Awards</w:t>
            </w:r>
          </w:p>
        </w:tc>
        <w:tc>
          <w:tcPr>
            <w:tcW w:w="1300" w:type="dxa"/>
            <w:vAlign w:val="bottom"/>
            <w:shd w:val="clear" w:color="auto" w:fill="00558C"/>
          </w:tcPr>
          <w:p>
            <w:pPr>
              <w:spacing w:after="0"/>
              <w:rPr>
                <w:sz w:val="24"/>
                <w:szCs w:val="24"/>
                <w:color w:val="auto"/>
              </w:rPr>
            </w:pPr>
          </w:p>
        </w:tc>
      </w:tr>
      <w:tr>
        <w:trPr>
          <w:trHeight w:val="438"/>
        </w:trPr>
        <w:tc>
          <w:tcPr>
            <w:tcW w:w="2380" w:type="dxa"/>
            <w:vAlign w:val="bottom"/>
            <w:shd w:val="clear" w:color="auto" w:fill="00558C"/>
          </w:tcPr>
          <w:p>
            <w:pPr>
              <w:spacing w:after="0"/>
              <w:rPr>
                <w:sz w:val="24"/>
                <w:szCs w:val="24"/>
                <w:color w:val="auto"/>
              </w:rPr>
            </w:pPr>
          </w:p>
        </w:tc>
        <w:tc>
          <w:tcPr>
            <w:tcW w:w="2060" w:type="dxa"/>
            <w:vAlign w:val="bottom"/>
            <w:shd w:val="clear" w:color="auto" w:fill="00558C"/>
          </w:tcPr>
          <w:p>
            <w:pPr>
              <w:ind w:left="200"/>
              <w:spacing w:after="0"/>
              <w:rPr>
                <w:sz w:val="20"/>
                <w:szCs w:val="20"/>
                <w:color w:val="auto"/>
              </w:rPr>
            </w:pPr>
            <w:r>
              <w:rPr>
                <w:rFonts w:ascii="Arial" w:cs="Arial" w:eastAsia="Arial" w:hAnsi="Arial"/>
                <w:sz w:val="14"/>
                <w:szCs w:val="14"/>
                <w:b w:val="1"/>
                <w:bCs w:val="1"/>
                <w:color w:val="FFFFFF"/>
              </w:rPr>
              <w:t>Number of Shares</w:t>
            </w:r>
          </w:p>
        </w:tc>
        <w:tc>
          <w:tcPr>
            <w:tcW w:w="1180" w:type="dxa"/>
            <w:vAlign w:val="bottom"/>
            <w:shd w:val="clear" w:color="auto" w:fill="00558C"/>
          </w:tcPr>
          <w:p>
            <w:pPr>
              <w:spacing w:after="0"/>
              <w:rPr>
                <w:sz w:val="24"/>
                <w:szCs w:val="24"/>
                <w:color w:val="auto"/>
              </w:rPr>
            </w:pPr>
          </w:p>
        </w:tc>
        <w:tc>
          <w:tcPr>
            <w:tcW w:w="2160" w:type="dxa"/>
            <w:vAlign w:val="bottom"/>
            <w:shd w:val="clear" w:color="auto" w:fill="00558C"/>
          </w:tcPr>
          <w:p>
            <w:pPr>
              <w:jc w:val="right"/>
              <w:ind w:right="528"/>
              <w:spacing w:after="0"/>
              <w:rPr>
                <w:sz w:val="20"/>
                <w:szCs w:val="20"/>
                <w:color w:val="auto"/>
              </w:rPr>
            </w:pPr>
            <w:r>
              <w:rPr>
                <w:rFonts w:ascii="Arial" w:cs="Arial" w:eastAsia="Arial" w:hAnsi="Arial"/>
                <w:sz w:val="14"/>
                <w:szCs w:val="14"/>
                <w:b w:val="1"/>
                <w:bCs w:val="1"/>
                <w:color w:val="FFFFFF"/>
              </w:rPr>
              <w:t>Number of Shares</w:t>
            </w:r>
          </w:p>
        </w:tc>
        <w:tc>
          <w:tcPr>
            <w:tcW w:w="1300" w:type="dxa"/>
            <w:vAlign w:val="bottom"/>
            <w:shd w:val="clear" w:color="auto" w:fill="00558C"/>
          </w:tcPr>
          <w:p>
            <w:pPr>
              <w:spacing w:after="0"/>
              <w:rPr>
                <w:sz w:val="24"/>
                <w:szCs w:val="24"/>
                <w:color w:val="auto"/>
              </w:rPr>
            </w:pPr>
          </w:p>
        </w:tc>
      </w:tr>
      <w:tr>
        <w:trPr>
          <w:trHeight w:val="175"/>
        </w:trPr>
        <w:tc>
          <w:tcPr>
            <w:tcW w:w="2380" w:type="dxa"/>
            <w:vAlign w:val="bottom"/>
            <w:shd w:val="clear" w:color="auto" w:fill="00558C"/>
          </w:tcPr>
          <w:p>
            <w:pPr>
              <w:spacing w:after="0"/>
              <w:rPr>
                <w:sz w:val="15"/>
                <w:szCs w:val="15"/>
                <w:color w:val="auto"/>
              </w:rPr>
            </w:pPr>
          </w:p>
        </w:tc>
        <w:tc>
          <w:tcPr>
            <w:tcW w:w="2060" w:type="dxa"/>
            <w:vAlign w:val="bottom"/>
            <w:shd w:val="clear" w:color="auto" w:fill="00558C"/>
          </w:tcPr>
          <w:p>
            <w:pPr>
              <w:ind w:left="880"/>
              <w:spacing w:after="0"/>
              <w:rPr>
                <w:sz w:val="20"/>
                <w:szCs w:val="20"/>
                <w:color w:val="auto"/>
              </w:rPr>
            </w:pPr>
            <w:r>
              <w:rPr>
                <w:rFonts w:ascii="Arial" w:cs="Arial" w:eastAsia="Arial" w:hAnsi="Arial"/>
                <w:sz w:val="14"/>
                <w:szCs w:val="14"/>
                <w:b w:val="1"/>
                <w:bCs w:val="1"/>
                <w:color w:val="FFFFFF"/>
              </w:rPr>
              <w:t>Acquired</w:t>
            </w:r>
          </w:p>
        </w:tc>
        <w:tc>
          <w:tcPr>
            <w:tcW w:w="1180" w:type="dxa"/>
            <w:vAlign w:val="bottom"/>
            <w:shd w:val="clear" w:color="auto" w:fill="00558C"/>
          </w:tcPr>
          <w:p>
            <w:pPr>
              <w:ind w:left="20"/>
              <w:spacing w:after="0"/>
              <w:rPr>
                <w:sz w:val="20"/>
                <w:szCs w:val="20"/>
                <w:color w:val="auto"/>
              </w:rPr>
            </w:pPr>
            <w:r>
              <w:rPr>
                <w:rFonts w:ascii="Arial" w:cs="Arial" w:eastAsia="Arial" w:hAnsi="Arial"/>
                <w:sz w:val="14"/>
                <w:szCs w:val="14"/>
                <w:b w:val="1"/>
                <w:bCs w:val="1"/>
                <w:color w:val="FFFFFF"/>
              </w:rPr>
              <w:t>Value Realized</w:t>
            </w:r>
          </w:p>
        </w:tc>
        <w:tc>
          <w:tcPr>
            <w:tcW w:w="2160" w:type="dxa"/>
            <w:vAlign w:val="bottom"/>
            <w:shd w:val="clear" w:color="auto" w:fill="00558C"/>
          </w:tcPr>
          <w:p>
            <w:pPr>
              <w:jc w:val="right"/>
              <w:ind w:right="488"/>
              <w:spacing w:after="0"/>
              <w:rPr>
                <w:sz w:val="20"/>
                <w:szCs w:val="20"/>
                <w:color w:val="auto"/>
              </w:rPr>
            </w:pPr>
            <w:r>
              <w:rPr>
                <w:rFonts w:ascii="Arial" w:cs="Arial" w:eastAsia="Arial" w:hAnsi="Arial"/>
                <w:sz w:val="14"/>
                <w:szCs w:val="14"/>
                <w:b w:val="1"/>
                <w:bCs w:val="1"/>
                <w:color w:val="FFFFFF"/>
              </w:rPr>
              <w:t>Acquired</w:t>
            </w:r>
          </w:p>
        </w:tc>
        <w:tc>
          <w:tcPr>
            <w:tcW w:w="1300" w:type="dxa"/>
            <w:vAlign w:val="bottom"/>
            <w:shd w:val="clear" w:color="auto" w:fill="00558C"/>
          </w:tcPr>
          <w:p>
            <w:pPr>
              <w:jc w:val="right"/>
              <w:ind w:right="212"/>
              <w:spacing w:after="0"/>
              <w:rPr>
                <w:sz w:val="20"/>
                <w:szCs w:val="20"/>
                <w:color w:val="auto"/>
              </w:rPr>
            </w:pPr>
            <w:r>
              <w:rPr>
                <w:rFonts w:ascii="Arial" w:cs="Arial" w:eastAsia="Arial" w:hAnsi="Arial"/>
                <w:sz w:val="14"/>
                <w:szCs w:val="14"/>
                <w:b w:val="1"/>
                <w:bCs w:val="1"/>
                <w:color w:val="FFFFFF"/>
              </w:rPr>
              <w:t>Value Realized</w:t>
            </w:r>
          </w:p>
        </w:tc>
      </w:tr>
      <w:tr>
        <w:trPr>
          <w:trHeight w:val="146"/>
        </w:trPr>
        <w:tc>
          <w:tcPr>
            <w:tcW w:w="2380" w:type="dxa"/>
            <w:vAlign w:val="bottom"/>
            <w:shd w:val="clear" w:color="auto" w:fill="00558C"/>
          </w:tcPr>
          <w:p>
            <w:pPr>
              <w:spacing w:after="0"/>
              <w:rPr>
                <w:sz w:val="12"/>
                <w:szCs w:val="12"/>
                <w:color w:val="auto"/>
              </w:rPr>
            </w:pPr>
          </w:p>
        </w:tc>
        <w:tc>
          <w:tcPr>
            <w:tcW w:w="2060" w:type="dxa"/>
            <w:vAlign w:val="bottom"/>
            <w:shd w:val="clear" w:color="auto" w:fill="00558C"/>
          </w:tcPr>
          <w:p>
            <w:pPr>
              <w:ind w:left="700"/>
              <w:spacing w:after="0" w:line="146" w:lineRule="exact"/>
              <w:rPr>
                <w:sz w:val="20"/>
                <w:szCs w:val="20"/>
                <w:color w:val="auto"/>
              </w:rPr>
            </w:pPr>
            <w:r>
              <w:rPr>
                <w:rFonts w:ascii="Arial" w:cs="Arial" w:eastAsia="Arial" w:hAnsi="Arial"/>
                <w:sz w:val="14"/>
                <w:szCs w:val="14"/>
                <w:b w:val="1"/>
                <w:bCs w:val="1"/>
                <w:color w:val="FFFFFF"/>
              </w:rPr>
              <w:t>on Exercise</w:t>
            </w:r>
          </w:p>
        </w:tc>
        <w:tc>
          <w:tcPr>
            <w:tcW w:w="1180" w:type="dxa"/>
            <w:vAlign w:val="bottom"/>
            <w:shd w:val="clear" w:color="auto" w:fill="00558C"/>
          </w:tcPr>
          <w:p>
            <w:pPr>
              <w:ind w:left="260"/>
              <w:spacing w:after="0" w:line="146" w:lineRule="exact"/>
              <w:rPr>
                <w:sz w:val="20"/>
                <w:szCs w:val="20"/>
                <w:color w:val="auto"/>
              </w:rPr>
            </w:pPr>
            <w:r>
              <w:rPr>
                <w:rFonts w:ascii="Arial" w:cs="Arial" w:eastAsia="Arial" w:hAnsi="Arial"/>
                <w:sz w:val="14"/>
                <w:szCs w:val="14"/>
                <w:b w:val="1"/>
                <w:bCs w:val="1"/>
                <w:color w:val="FFFFFF"/>
              </w:rPr>
              <w:t>on Exercise</w:t>
            </w:r>
          </w:p>
        </w:tc>
        <w:tc>
          <w:tcPr>
            <w:tcW w:w="2160" w:type="dxa"/>
            <w:vAlign w:val="bottom"/>
            <w:shd w:val="clear" w:color="auto" w:fill="00558C"/>
          </w:tcPr>
          <w:p>
            <w:pPr>
              <w:jc w:val="right"/>
              <w:ind w:right="508"/>
              <w:spacing w:after="0" w:line="146" w:lineRule="exact"/>
              <w:rPr>
                <w:sz w:val="20"/>
                <w:szCs w:val="20"/>
                <w:color w:val="auto"/>
              </w:rPr>
            </w:pPr>
            <w:r>
              <w:rPr>
                <w:rFonts w:ascii="Arial" w:cs="Arial" w:eastAsia="Arial" w:hAnsi="Arial"/>
                <w:sz w:val="14"/>
                <w:szCs w:val="14"/>
                <w:b w:val="1"/>
                <w:bCs w:val="1"/>
                <w:color w:val="FFFFFF"/>
              </w:rPr>
              <w:t>on Vesting</w:t>
            </w:r>
          </w:p>
        </w:tc>
        <w:tc>
          <w:tcPr>
            <w:tcW w:w="1300" w:type="dxa"/>
            <w:vAlign w:val="bottom"/>
            <w:shd w:val="clear" w:color="auto" w:fill="00558C"/>
          </w:tcPr>
          <w:p>
            <w:pPr>
              <w:jc w:val="right"/>
              <w:ind w:right="192"/>
              <w:spacing w:after="0" w:line="146" w:lineRule="exact"/>
              <w:rPr>
                <w:sz w:val="20"/>
                <w:szCs w:val="20"/>
                <w:color w:val="auto"/>
              </w:rPr>
            </w:pPr>
            <w:r>
              <w:rPr>
                <w:rFonts w:ascii="Arial" w:cs="Arial" w:eastAsia="Arial" w:hAnsi="Arial"/>
                <w:sz w:val="14"/>
                <w:szCs w:val="14"/>
                <w:b w:val="1"/>
                <w:bCs w:val="1"/>
                <w:color w:val="FFFFFF"/>
              </w:rPr>
              <w:t>on Vesting</w:t>
            </w:r>
          </w:p>
        </w:tc>
      </w:tr>
      <w:tr>
        <w:trPr>
          <w:trHeight w:val="255"/>
        </w:trPr>
        <w:tc>
          <w:tcPr>
            <w:tcW w:w="238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2060" w:type="dxa"/>
            <w:vAlign w:val="bottom"/>
            <w:shd w:val="clear" w:color="auto" w:fill="00558C"/>
          </w:tcPr>
          <w:p>
            <w:pPr>
              <w:ind w:left="1360"/>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558C"/>
          </w:tcPr>
          <w:p>
            <w:pPr>
              <w:ind w:left="920"/>
              <w:spacing w:after="0"/>
              <w:rPr>
                <w:sz w:val="20"/>
                <w:szCs w:val="20"/>
                <w:color w:val="auto"/>
              </w:rPr>
            </w:pPr>
            <w:r>
              <w:rPr>
                <w:rFonts w:ascii="Arial" w:cs="Arial" w:eastAsia="Arial" w:hAnsi="Arial"/>
                <w:sz w:val="14"/>
                <w:szCs w:val="14"/>
                <w:b w:val="1"/>
                <w:bCs w:val="1"/>
                <w:color w:val="FFFFFF"/>
              </w:rPr>
              <w:t>($)</w:t>
            </w:r>
          </w:p>
        </w:tc>
        <w:tc>
          <w:tcPr>
            <w:tcW w:w="2160" w:type="dxa"/>
            <w:vAlign w:val="bottom"/>
            <w:shd w:val="clear" w:color="auto" w:fill="00558C"/>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558C"/>
          </w:tcPr>
          <w:p>
            <w:pPr>
              <w:jc w:val="right"/>
              <w:ind w:right="92"/>
              <w:spacing w:after="0" w:line="254"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9"/>
                <w:szCs w:val="9"/>
                <w:b w:val="1"/>
                <w:bCs w:val="1"/>
                <w:color w:val="FFFFFF"/>
              </w:rPr>
              <w:t xml:space="preserve"> (1)</w:t>
            </w:r>
          </w:p>
        </w:tc>
      </w:tr>
      <w:tr>
        <w:trPr>
          <w:trHeight w:val="108"/>
        </w:trPr>
        <w:tc>
          <w:tcPr>
            <w:tcW w:w="2380" w:type="dxa"/>
            <w:vAlign w:val="bottom"/>
            <w:shd w:val="clear" w:color="auto" w:fill="00558C"/>
          </w:tcPr>
          <w:p>
            <w:pPr>
              <w:spacing w:after="0"/>
              <w:rPr>
                <w:sz w:val="9"/>
                <w:szCs w:val="9"/>
                <w:color w:val="auto"/>
              </w:rPr>
            </w:pPr>
          </w:p>
        </w:tc>
        <w:tc>
          <w:tcPr>
            <w:tcW w:w="2060" w:type="dxa"/>
            <w:vAlign w:val="bottom"/>
            <w:shd w:val="clear" w:color="auto" w:fill="00558C"/>
          </w:tcPr>
          <w:p>
            <w:pPr>
              <w:spacing w:after="0"/>
              <w:rPr>
                <w:sz w:val="9"/>
                <w:szCs w:val="9"/>
                <w:color w:val="auto"/>
              </w:rPr>
            </w:pPr>
          </w:p>
        </w:tc>
        <w:tc>
          <w:tcPr>
            <w:tcW w:w="1180" w:type="dxa"/>
            <w:vAlign w:val="bottom"/>
            <w:shd w:val="clear" w:color="auto" w:fill="00558C"/>
          </w:tcPr>
          <w:p>
            <w:pPr>
              <w:spacing w:after="0"/>
              <w:rPr>
                <w:sz w:val="9"/>
                <w:szCs w:val="9"/>
                <w:color w:val="auto"/>
              </w:rPr>
            </w:pPr>
          </w:p>
        </w:tc>
        <w:tc>
          <w:tcPr>
            <w:tcW w:w="2160" w:type="dxa"/>
            <w:vAlign w:val="bottom"/>
            <w:shd w:val="clear" w:color="auto" w:fill="00558C"/>
          </w:tcPr>
          <w:p>
            <w:pPr>
              <w:spacing w:after="0"/>
              <w:rPr>
                <w:sz w:val="9"/>
                <w:szCs w:val="9"/>
                <w:color w:val="auto"/>
              </w:rPr>
            </w:pPr>
          </w:p>
        </w:tc>
        <w:tc>
          <w:tcPr>
            <w:tcW w:w="1300" w:type="dxa"/>
            <w:vAlign w:val="bottom"/>
            <w:shd w:val="clear" w:color="auto" w:fill="00558C"/>
          </w:tcPr>
          <w:p>
            <w:pPr>
              <w:spacing w:after="0"/>
              <w:rPr>
                <w:sz w:val="9"/>
                <w:szCs w:val="9"/>
                <w:color w:val="auto"/>
              </w:rPr>
            </w:pPr>
          </w:p>
        </w:tc>
      </w:tr>
      <w:tr>
        <w:trPr>
          <w:trHeight w:val="322"/>
        </w:trPr>
        <w:tc>
          <w:tcPr>
            <w:tcW w:w="23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2060" w:type="dxa"/>
            <w:vAlign w:val="bottom"/>
            <w:shd w:val="clear" w:color="auto" w:fill="F2F3F2"/>
          </w:tcPr>
          <w:p>
            <w:pPr>
              <w:ind w:left="14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F2F3F2"/>
          </w:tcPr>
          <w:p>
            <w:pPr>
              <w:ind w:left="1020"/>
              <w:spacing w:after="0"/>
              <w:rPr>
                <w:sz w:val="20"/>
                <w:szCs w:val="20"/>
                <w:color w:val="auto"/>
              </w:rPr>
            </w:pPr>
            <w:r>
              <w:rPr>
                <w:rFonts w:ascii="Arial" w:cs="Arial" w:eastAsia="Arial" w:hAnsi="Arial"/>
                <w:sz w:val="13"/>
                <w:szCs w:val="13"/>
                <w:color w:val="auto"/>
              </w:rPr>
              <w:t>—</w:t>
            </w:r>
          </w:p>
        </w:tc>
        <w:tc>
          <w:tcPr>
            <w:tcW w:w="2160" w:type="dxa"/>
            <w:vAlign w:val="bottom"/>
            <w:shd w:val="clear" w:color="auto" w:fill="F2F3F2"/>
          </w:tcPr>
          <w:p>
            <w:pPr>
              <w:jc w:val="right"/>
              <w:ind w:right="408"/>
              <w:spacing w:after="0"/>
              <w:rPr>
                <w:sz w:val="20"/>
                <w:szCs w:val="20"/>
                <w:color w:val="auto"/>
              </w:rPr>
            </w:pPr>
            <w:r>
              <w:rPr>
                <w:rFonts w:ascii="Arial" w:cs="Arial" w:eastAsia="Arial" w:hAnsi="Arial"/>
                <w:sz w:val="14"/>
                <w:szCs w:val="14"/>
                <w:color w:val="auto"/>
              </w:rPr>
              <w:t>49,687</w:t>
            </w:r>
          </w:p>
        </w:tc>
        <w:tc>
          <w:tcPr>
            <w:tcW w:w="1300" w:type="dxa"/>
            <w:vAlign w:val="bottom"/>
            <w:shd w:val="clear" w:color="auto" w:fill="F2F3F2"/>
          </w:tcPr>
          <w:p>
            <w:pPr>
              <w:jc w:val="right"/>
              <w:ind w:right="92"/>
              <w:spacing w:after="0"/>
              <w:rPr>
                <w:sz w:val="20"/>
                <w:szCs w:val="20"/>
                <w:color w:val="auto"/>
              </w:rPr>
            </w:pPr>
            <w:r>
              <w:rPr>
                <w:rFonts w:ascii="Arial" w:cs="Arial" w:eastAsia="Arial" w:hAnsi="Arial"/>
                <w:sz w:val="14"/>
                <w:szCs w:val="14"/>
                <w:color w:val="auto"/>
              </w:rPr>
              <w:t>7,575,280</w:t>
            </w:r>
          </w:p>
        </w:tc>
      </w:tr>
      <w:tr>
        <w:trPr>
          <w:trHeight w:val="110"/>
        </w:trPr>
        <w:tc>
          <w:tcPr>
            <w:tcW w:w="2380" w:type="dxa"/>
            <w:vAlign w:val="bottom"/>
            <w:shd w:val="clear" w:color="auto" w:fill="F2F3F2"/>
          </w:tcPr>
          <w:p>
            <w:pPr>
              <w:spacing w:after="0"/>
              <w:rPr>
                <w:sz w:val="9"/>
                <w:szCs w:val="9"/>
                <w:color w:val="auto"/>
              </w:rPr>
            </w:pPr>
          </w:p>
        </w:tc>
        <w:tc>
          <w:tcPr>
            <w:tcW w:w="2060" w:type="dxa"/>
            <w:vAlign w:val="bottom"/>
            <w:shd w:val="clear" w:color="auto" w:fill="F2F3F2"/>
          </w:tcPr>
          <w:p>
            <w:pPr>
              <w:spacing w:after="0"/>
              <w:rPr>
                <w:sz w:val="9"/>
                <w:szCs w:val="9"/>
                <w:color w:val="auto"/>
              </w:rPr>
            </w:pPr>
          </w:p>
        </w:tc>
        <w:tc>
          <w:tcPr>
            <w:tcW w:w="1180" w:type="dxa"/>
            <w:vAlign w:val="bottom"/>
            <w:shd w:val="clear" w:color="auto" w:fill="F2F3F2"/>
          </w:tcPr>
          <w:p>
            <w:pPr>
              <w:spacing w:after="0"/>
              <w:rPr>
                <w:sz w:val="9"/>
                <w:szCs w:val="9"/>
                <w:color w:val="auto"/>
              </w:rPr>
            </w:pPr>
          </w:p>
        </w:tc>
        <w:tc>
          <w:tcPr>
            <w:tcW w:w="216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r>
      <w:tr>
        <w:trPr>
          <w:trHeight w:val="336"/>
        </w:trPr>
        <w:tc>
          <w:tcPr>
            <w:tcW w:w="2380" w:type="dxa"/>
            <w:vAlign w:val="bottom"/>
          </w:tcPr>
          <w:p>
            <w:pPr>
              <w:ind w:left="140"/>
              <w:spacing w:after="0"/>
              <w:rPr>
                <w:sz w:val="20"/>
                <w:szCs w:val="20"/>
                <w:color w:val="auto"/>
              </w:rPr>
            </w:pPr>
            <w:r>
              <w:rPr>
                <w:rFonts w:ascii="Arial" w:cs="Arial" w:eastAsia="Arial" w:hAnsi="Arial"/>
                <w:sz w:val="14"/>
                <w:szCs w:val="14"/>
                <w:b w:val="1"/>
                <w:bCs w:val="1"/>
                <w:color w:val="00558C"/>
              </w:rPr>
              <w:t>John D. Kelly</w:t>
            </w:r>
          </w:p>
        </w:tc>
        <w:tc>
          <w:tcPr>
            <w:tcW w:w="2060" w:type="dxa"/>
            <w:vAlign w:val="bottom"/>
          </w:tcPr>
          <w:p>
            <w:pPr>
              <w:ind w:left="1460"/>
              <w:spacing w:after="0"/>
              <w:rPr>
                <w:sz w:val="20"/>
                <w:szCs w:val="20"/>
                <w:color w:val="auto"/>
              </w:rPr>
            </w:pPr>
            <w:r>
              <w:rPr>
                <w:rFonts w:ascii="Arial" w:cs="Arial" w:eastAsia="Arial" w:hAnsi="Arial"/>
                <w:sz w:val="13"/>
                <w:szCs w:val="13"/>
                <w:color w:val="auto"/>
              </w:rPr>
              <w:t>—</w:t>
            </w:r>
          </w:p>
        </w:tc>
        <w:tc>
          <w:tcPr>
            <w:tcW w:w="1180" w:type="dxa"/>
            <w:vAlign w:val="bottom"/>
          </w:tcPr>
          <w:p>
            <w:pPr>
              <w:ind w:left="1020"/>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408"/>
              <w:spacing w:after="0"/>
              <w:rPr>
                <w:sz w:val="20"/>
                <w:szCs w:val="20"/>
                <w:color w:val="auto"/>
              </w:rPr>
            </w:pPr>
            <w:r>
              <w:rPr>
                <w:rFonts w:ascii="Arial" w:cs="Arial" w:eastAsia="Arial" w:hAnsi="Arial"/>
                <w:sz w:val="14"/>
                <w:szCs w:val="14"/>
                <w:color w:val="auto"/>
              </w:rPr>
              <w:t>30,325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4,623,350</w:t>
            </w:r>
          </w:p>
        </w:tc>
      </w:tr>
      <w:tr>
        <w:trPr>
          <w:trHeight w:val="110"/>
        </w:trPr>
        <w:tc>
          <w:tcPr>
            <w:tcW w:w="23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335"/>
        </w:trPr>
        <w:tc>
          <w:tcPr>
            <w:tcW w:w="23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 Dail</w:t>
            </w:r>
          </w:p>
        </w:tc>
        <w:tc>
          <w:tcPr>
            <w:tcW w:w="2060" w:type="dxa"/>
            <w:vAlign w:val="bottom"/>
            <w:shd w:val="clear" w:color="auto" w:fill="F2F3F2"/>
          </w:tcPr>
          <w:p>
            <w:pPr>
              <w:ind w:left="14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F2F3F2"/>
          </w:tcPr>
          <w:p>
            <w:pPr>
              <w:ind w:left="1020"/>
              <w:spacing w:after="0"/>
              <w:rPr>
                <w:sz w:val="20"/>
                <w:szCs w:val="20"/>
                <w:color w:val="auto"/>
              </w:rPr>
            </w:pPr>
            <w:r>
              <w:rPr>
                <w:rFonts w:ascii="Arial" w:cs="Arial" w:eastAsia="Arial" w:hAnsi="Arial"/>
                <w:sz w:val="13"/>
                <w:szCs w:val="13"/>
                <w:color w:val="auto"/>
              </w:rPr>
              <w:t>—</w:t>
            </w:r>
          </w:p>
        </w:tc>
        <w:tc>
          <w:tcPr>
            <w:tcW w:w="2160" w:type="dxa"/>
            <w:vAlign w:val="bottom"/>
            <w:shd w:val="clear" w:color="auto" w:fill="F2F3F2"/>
          </w:tcPr>
          <w:p>
            <w:pPr>
              <w:jc w:val="right"/>
              <w:ind w:right="408"/>
              <w:spacing w:after="0"/>
              <w:rPr>
                <w:sz w:val="20"/>
                <w:szCs w:val="20"/>
                <w:color w:val="auto"/>
              </w:rPr>
            </w:pPr>
            <w:r>
              <w:rPr>
                <w:rFonts w:ascii="Arial" w:cs="Arial" w:eastAsia="Arial" w:hAnsi="Arial"/>
                <w:sz w:val="14"/>
                <w:szCs w:val="14"/>
                <w:color w:val="auto"/>
              </w:rPr>
              <w:t>21,736</w:t>
            </w:r>
          </w:p>
        </w:tc>
        <w:tc>
          <w:tcPr>
            <w:tcW w:w="1300" w:type="dxa"/>
            <w:vAlign w:val="bottom"/>
            <w:shd w:val="clear" w:color="auto" w:fill="F2F3F2"/>
          </w:tcPr>
          <w:p>
            <w:pPr>
              <w:jc w:val="right"/>
              <w:ind w:right="92"/>
              <w:spacing w:after="0"/>
              <w:rPr>
                <w:sz w:val="20"/>
                <w:szCs w:val="20"/>
                <w:color w:val="auto"/>
              </w:rPr>
            </w:pPr>
            <w:r>
              <w:rPr>
                <w:rFonts w:ascii="Arial" w:cs="Arial" w:eastAsia="Arial" w:hAnsi="Arial"/>
                <w:sz w:val="14"/>
                <w:szCs w:val="14"/>
                <w:color w:val="auto"/>
              </w:rPr>
              <w:t>3,313,871</w:t>
            </w:r>
          </w:p>
        </w:tc>
      </w:tr>
      <w:tr>
        <w:trPr>
          <w:trHeight w:val="110"/>
        </w:trPr>
        <w:tc>
          <w:tcPr>
            <w:tcW w:w="2380" w:type="dxa"/>
            <w:vAlign w:val="bottom"/>
            <w:shd w:val="clear" w:color="auto" w:fill="F2F3F2"/>
          </w:tcPr>
          <w:p>
            <w:pPr>
              <w:spacing w:after="0"/>
              <w:rPr>
                <w:sz w:val="9"/>
                <w:szCs w:val="9"/>
                <w:color w:val="auto"/>
              </w:rPr>
            </w:pPr>
          </w:p>
        </w:tc>
        <w:tc>
          <w:tcPr>
            <w:tcW w:w="2060" w:type="dxa"/>
            <w:vAlign w:val="bottom"/>
            <w:shd w:val="clear" w:color="auto" w:fill="F2F3F2"/>
          </w:tcPr>
          <w:p>
            <w:pPr>
              <w:spacing w:after="0"/>
              <w:rPr>
                <w:sz w:val="9"/>
                <w:szCs w:val="9"/>
                <w:color w:val="auto"/>
              </w:rPr>
            </w:pPr>
          </w:p>
        </w:tc>
        <w:tc>
          <w:tcPr>
            <w:tcW w:w="1180" w:type="dxa"/>
            <w:vAlign w:val="bottom"/>
            <w:shd w:val="clear" w:color="auto" w:fill="F2F3F2"/>
          </w:tcPr>
          <w:p>
            <w:pPr>
              <w:spacing w:after="0"/>
              <w:rPr>
                <w:sz w:val="9"/>
                <w:szCs w:val="9"/>
                <w:color w:val="auto"/>
              </w:rPr>
            </w:pPr>
          </w:p>
        </w:tc>
        <w:tc>
          <w:tcPr>
            <w:tcW w:w="216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r>
      <w:tr>
        <w:trPr>
          <w:trHeight w:val="335"/>
        </w:trPr>
        <w:tc>
          <w:tcPr>
            <w:tcW w:w="2380" w:type="dxa"/>
            <w:vAlign w:val="bottom"/>
          </w:tcPr>
          <w:p>
            <w:pPr>
              <w:ind w:left="140"/>
              <w:spacing w:after="0"/>
              <w:rPr>
                <w:sz w:val="20"/>
                <w:szCs w:val="20"/>
                <w:color w:val="auto"/>
              </w:rPr>
            </w:pPr>
            <w:r>
              <w:rPr>
                <w:rFonts w:ascii="Arial" w:cs="Arial" w:eastAsia="Arial" w:hAnsi="Arial"/>
                <w:sz w:val="14"/>
                <w:szCs w:val="14"/>
                <w:b w:val="1"/>
                <w:bCs w:val="1"/>
                <w:color w:val="00558C"/>
              </w:rPr>
              <w:t>Hope Katz</w:t>
            </w:r>
          </w:p>
        </w:tc>
        <w:tc>
          <w:tcPr>
            <w:tcW w:w="2060" w:type="dxa"/>
            <w:vAlign w:val="bottom"/>
          </w:tcPr>
          <w:p>
            <w:pPr>
              <w:ind w:left="1460"/>
              <w:spacing w:after="0"/>
              <w:rPr>
                <w:sz w:val="20"/>
                <w:szCs w:val="20"/>
                <w:color w:val="auto"/>
              </w:rPr>
            </w:pPr>
            <w:r>
              <w:rPr>
                <w:rFonts w:ascii="Arial" w:cs="Arial" w:eastAsia="Arial" w:hAnsi="Arial"/>
                <w:sz w:val="13"/>
                <w:szCs w:val="13"/>
                <w:color w:val="auto"/>
              </w:rPr>
              <w:t>—</w:t>
            </w:r>
          </w:p>
        </w:tc>
        <w:tc>
          <w:tcPr>
            <w:tcW w:w="1180" w:type="dxa"/>
            <w:vAlign w:val="bottom"/>
          </w:tcPr>
          <w:p>
            <w:pPr>
              <w:ind w:left="1020"/>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408"/>
              <w:spacing w:after="0"/>
              <w:rPr>
                <w:sz w:val="20"/>
                <w:szCs w:val="20"/>
                <w:color w:val="auto"/>
              </w:rPr>
            </w:pPr>
            <w:r>
              <w:rPr>
                <w:rFonts w:ascii="Arial" w:cs="Arial" w:eastAsia="Arial" w:hAnsi="Arial"/>
                <w:sz w:val="14"/>
                <w:szCs w:val="14"/>
                <w:color w:val="auto"/>
              </w:rPr>
              <w:t>275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39,277</w:t>
            </w:r>
          </w:p>
        </w:tc>
      </w:tr>
      <w:tr>
        <w:trPr>
          <w:trHeight w:val="110"/>
        </w:trPr>
        <w:tc>
          <w:tcPr>
            <w:tcW w:w="2380" w:type="dxa"/>
            <w:vAlign w:val="bottom"/>
            <w:tcBorders>
              <w:bottom w:val="single" w:sz="8" w:color="B2B3B6"/>
            </w:tcBorders>
          </w:tcPr>
          <w:p>
            <w:pPr>
              <w:spacing w:after="0"/>
              <w:rPr>
                <w:sz w:val="9"/>
                <w:szCs w:val="9"/>
                <w:color w:val="auto"/>
              </w:rPr>
            </w:pPr>
          </w:p>
        </w:tc>
        <w:tc>
          <w:tcPr>
            <w:tcW w:w="2060" w:type="dxa"/>
            <w:vAlign w:val="bottom"/>
            <w:tcBorders>
              <w:bottom w:val="single" w:sz="8" w:color="B2B3B6"/>
            </w:tcBorders>
          </w:tcPr>
          <w:p>
            <w:pPr>
              <w:spacing w:after="0"/>
              <w:rPr>
                <w:sz w:val="9"/>
                <w:szCs w:val="9"/>
                <w:color w:val="auto"/>
              </w:rPr>
            </w:pPr>
          </w:p>
        </w:tc>
        <w:tc>
          <w:tcPr>
            <w:tcW w:w="1180" w:type="dxa"/>
            <w:vAlign w:val="bottom"/>
            <w:tcBorders>
              <w:bottom w:val="single" w:sz="8" w:color="B2B3B6"/>
            </w:tcBorders>
          </w:tcPr>
          <w:p>
            <w:pPr>
              <w:spacing w:after="0"/>
              <w:rPr>
                <w:sz w:val="9"/>
                <w:szCs w:val="9"/>
                <w:color w:val="auto"/>
              </w:rPr>
            </w:pPr>
          </w:p>
        </w:tc>
        <w:tc>
          <w:tcPr>
            <w:tcW w:w="2160" w:type="dxa"/>
            <w:vAlign w:val="bottom"/>
            <w:tcBorders>
              <w:bottom w:val="single" w:sz="8" w:color="B2B3B6"/>
            </w:tcBorders>
          </w:tcPr>
          <w:p>
            <w:pPr>
              <w:spacing w:after="0"/>
              <w:rPr>
                <w:sz w:val="9"/>
                <w:szCs w:val="9"/>
                <w:color w:val="auto"/>
              </w:rPr>
            </w:pPr>
          </w:p>
        </w:tc>
        <w:tc>
          <w:tcPr>
            <w:tcW w:w="1300" w:type="dxa"/>
            <w:vAlign w:val="bottom"/>
            <w:tcBorders>
              <w:bottom w:val="single" w:sz="8" w:color="B2B3B6"/>
            </w:tcBorders>
          </w:tcPr>
          <w:p>
            <w:pPr>
              <w:spacing w:after="0"/>
              <w:rPr>
                <w:sz w:val="9"/>
                <w:szCs w:val="9"/>
                <w:color w:val="auto"/>
              </w:rPr>
            </w:pPr>
          </w:p>
        </w:tc>
      </w:tr>
    </w:tbl>
    <w:p>
      <w:pPr>
        <w:spacing w:after="0" w:line="139" w:lineRule="exact"/>
        <w:rPr>
          <w:sz w:val="20"/>
          <w:szCs w:val="20"/>
          <w:color w:val="auto"/>
        </w:rPr>
      </w:pPr>
    </w:p>
    <w:p>
      <w:pPr>
        <w:ind w:left="420" w:right="320" w:hanging="331"/>
        <w:spacing w:after="0" w:line="285"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value realized on vesting equals the number of shares received on vesting multiplied by the closing price of Huron stock on the vesting date (or on the most recent business day preceding the vesting date, if the vesting date was not a business day).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2025 Nonqualified Deferred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deferred compensation activity for the named executive officers in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740" w:type="dxa"/>
            <w:vAlign w:val="bottom"/>
            <w:shd w:val="clear" w:color="auto" w:fill="00558C"/>
          </w:tcPr>
          <w:p>
            <w:pPr>
              <w:spacing w:after="0"/>
              <w:rPr>
                <w:sz w:val="24"/>
                <w:szCs w:val="24"/>
                <w:color w:val="auto"/>
              </w:rPr>
            </w:pPr>
          </w:p>
        </w:tc>
        <w:tc>
          <w:tcPr>
            <w:tcW w:w="1300" w:type="dxa"/>
            <w:vAlign w:val="bottom"/>
            <w:shd w:val="clear" w:color="auto" w:fill="00558C"/>
          </w:tcPr>
          <w:p>
            <w:pPr>
              <w:spacing w:after="0"/>
              <w:rPr>
                <w:sz w:val="24"/>
                <w:szCs w:val="24"/>
                <w:color w:val="auto"/>
              </w:rPr>
            </w:pPr>
          </w:p>
        </w:tc>
        <w:tc>
          <w:tcPr>
            <w:tcW w:w="1300" w:type="dxa"/>
            <w:vAlign w:val="bottom"/>
            <w:shd w:val="clear" w:color="auto" w:fill="00558C"/>
          </w:tcPr>
          <w:p>
            <w:pPr>
              <w:spacing w:after="0"/>
              <w:rPr>
                <w:sz w:val="24"/>
                <w:szCs w:val="24"/>
                <w:color w:val="auto"/>
              </w:rPr>
            </w:pPr>
          </w:p>
        </w:tc>
        <w:tc>
          <w:tcPr>
            <w:tcW w:w="1160" w:type="dxa"/>
            <w:vAlign w:val="bottom"/>
            <w:shd w:val="clear" w:color="auto" w:fill="00558C"/>
          </w:tcPr>
          <w:p>
            <w:pPr>
              <w:spacing w:after="0"/>
              <w:rPr>
                <w:sz w:val="24"/>
                <w:szCs w:val="24"/>
                <w:color w:val="auto"/>
              </w:rPr>
            </w:pPr>
          </w:p>
        </w:tc>
        <w:tc>
          <w:tcPr>
            <w:tcW w:w="1320" w:type="dxa"/>
            <w:vAlign w:val="bottom"/>
            <w:shd w:val="clear" w:color="auto" w:fill="00558C"/>
          </w:tcPr>
          <w:p>
            <w:pPr>
              <w:jc w:val="right"/>
              <w:ind w:right="170"/>
              <w:spacing w:after="0"/>
              <w:rPr>
                <w:sz w:val="20"/>
                <w:szCs w:val="20"/>
                <w:color w:val="auto"/>
              </w:rPr>
            </w:pPr>
            <w:r>
              <w:rPr>
                <w:rFonts w:ascii="Arial" w:cs="Arial" w:eastAsia="Arial" w:hAnsi="Arial"/>
                <w:sz w:val="14"/>
                <w:szCs w:val="14"/>
                <w:b w:val="1"/>
                <w:bCs w:val="1"/>
                <w:color w:val="FFFFFF"/>
              </w:rPr>
              <w:t>Aggregate</w:t>
            </w:r>
          </w:p>
        </w:tc>
        <w:tc>
          <w:tcPr>
            <w:tcW w:w="1260" w:type="dxa"/>
            <w:vAlign w:val="bottom"/>
            <w:shd w:val="clear" w:color="auto" w:fill="00558C"/>
          </w:tcPr>
          <w:p>
            <w:pPr>
              <w:spacing w:after="0"/>
              <w:rPr>
                <w:sz w:val="24"/>
                <w:szCs w:val="24"/>
                <w:color w:val="auto"/>
              </w:rPr>
            </w:pPr>
          </w:p>
        </w:tc>
      </w:tr>
      <w:tr>
        <w:trPr>
          <w:trHeight w:val="175"/>
        </w:trPr>
        <w:tc>
          <w:tcPr>
            <w:tcW w:w="2740" w:type="dxa"/>
            <w:vAlign w:val="bottom"/>
            <w:shd w:val="clear" w:color="auto" w:fill="00558C"/>
          </w:tcPr>
          <w:p>
            <w:pPr>
              <w:spacing w:after="0"/>
              <w:rPr>
                <w:sz w:val="15"/>
                <w:szCs w:val="15"/>
                <w:color w:val="auto"/>
              </w:rPr>
            </w:pPr>
          </w:p>
        </w:tc>
        <w:tc>
          <w:tcPr>
            <w:tcW w:w="1300" w:type="dxa"/>
            <w:vAlign w:val="bottom"/>
            <w:shd w:val="clear" w:color="auto" w:fill="00558C"/>
          </w:tcPr>
          <w:p>
            <w:pPr>
              <w:ind w:left="460"/>
              <w:spacing w:after="0"/>
              <w:rPr>
                <w:sz w:val="20"/>
                <w:szCs w:val="20"/>
                <w:color w:val="auto"/>
              </w:rPr>
            </w:pPr>
            <w:r>
              <w:rPr>
                <w:rFonts w:ascii="Arial" w:cs="Arial" w:eastAsia="Arial" w:hAnsi="Arial"/>
                <w:sz w:val="14"/>
                <w:szCs w:val="14"/>
                <w:b w:val="1"/>
                <w:bCs w:val="1"/>
                <w:color w:val="FFFFFF"/>
              </w:rPr>
              <w:t>Executive</w:t>
            </w:r>
          </w:p>
        </w:tc>
        <w:tc>
          <w:tcPr>
            <w:tcW w:w="1300" w:type="dxa"/>
            <w:vAlign w:val="bottom"/>
            <w:shd w:val="clear" w:color="auto" w:fill="00558C"/>
          </w:tcPr>
          <w:p>
            <w:pPr>
              <w:ind w:left="320"/>
              <w:spacing w:after="0"/>
              <w:rPr>
                <w:sz w:val="20"/>
                <w:szCs w:val="20"/>
                <w:color w:val="auto"/>
              </w:rPr>
            </w:pPr>
            <w:r>
              <w:rPr>
                <w:rFonts w:ascii="Arial" w:cs="Arial" w:eastAsia="Arial" w:hAnsi="Arial"/>
                <w:sz w:val="14"/>
                <w:szCs w:val="14"/>
                <w:b w:val="1"/>
                <w:bCs w:val="1"/>
                <w:color w:val="FFFFFF"/>
              </w:rPr>
              <w:t>Registrant</w:t>
            </w:r>
          </w:p>
        </w:tc>
        <w:tc>
          <w:tcPr>
            <w:tcW w:w="1160" w:type="dxa"/>
            <w:vAlign w:val="bottom"/>
            <w:shd w:val="clear" w:color="auto" w:fill="00558C"/>
          </w:tcPr>
          <w:p>
            <w:pPr>
              <w:jc w:val="right"/>
              <w:ind w:right="213"/>
              <w:spacing w:after="0"/>
              <w:rPr>
                <w:sz w:val="20"/>
                <w:szCs w:val="20"/>
                <w:color w:val="auto"/>
              </w:rPr>
            </w:pPr>
            <w:r>
              <w:rPr>
                <w:rFonts w:ascii="Arial" w:cs="Arial" w:eastAsia="Arial" w:hAnsi="Arial"/>
                <w:sz w:val="14"/>
                <w:szCs w:val="14"/>
                <w:b w:val="1"/>
                <w:bCs w:val="1"/>
                <w:color w:val="FFFFFF"/>
              </w:rPr>
              <w:t>Aggregate</w:t>
            </w:r>
          </w:p>
        </w:tc>
        <w:tc>
          <w:tcPr>
            <w:tcW w:w="1320" w:type="dxa"/>
            <w:vAlign w:val="bottom"/>
            <w:shd w:val="clear" w:color="auto" w:fill="00558C"/>
          </w:tcPr>
          <w:p>
            <w:pPr>
              <w:jc w:val="right"/>
              <w:ind w:right="210"/>
              <w:spacing w:after="0"/>
              <w:rPr>
                <w:sz w:val="20"/>
                <w:szCs w:val="20"/>
                <w:color w:val="auto"/>
              </w:rPr>
            </w:pPr>
            <w:r>
              <w:rPr>
                <w:rFonts w:ascii="Arial" w:cs="Arial" w:eastAsia="Arial" w:hAnsi="Arial"/>
                <w:sz w:val="14"/>
                <w:szCs w:val="14"/>
                <w:b w:val="1"/>
                <w:bCs w:val="1"/>
                <w:color w:val="FFFFFF"/>
              </w:rPr>
              <w:t>Withdrawals/</w:t>
            </w:r>
          </w:p>
        </w:tc>
        <w:tc>
          <w:tcPr>
            <w:tcW w:w="1260" w:type="dxa"/>
            <w:vAlign w:val="bottom"/>
            <w:shd w:val="clear" w:color="auto" w:fill="00558C"/>
          </w:tcPr>
          <w:p>
            <w:pPr>
              <w:jc w:val="right"/>
              <w:ind w:right="189"/>
              <w:spacing w:after="0"/>
              <w:rPr>
                <w:sz w:val="20"/>
                <w:szCs w:val="20"/>
                <w:color w:val="auto"/>
              </w:rPr>
            </w:pPr>
            <w:r>
              <w:rPr>
                <w:rFonts w:ascii="Arial" w:cs="Arial" w:eastAsia="Arial" w:hAnsi="Arial"/>
                <w:sz w:val="14"/>
                <w:szCs w:val="14"/>
                <w:b w:val="1"/>
                <w:bCs w:val="1"/>
                <w:color w:val="FFFFFF"/>
              </w:rPr>
              <w:t>Aggregate</w:t>
            </w:r>
          </w:p>
        </w:tc>
      </w:tr>
      <w:tr>
        <w:trPr>
          <w:trHeight w:val="176"/>
        </w:trPr>
        <w:tc>
          <w:tcPr>
            <w:tcW w:w="2740" w:type="dxa"/>
            <w:vAlign w:val="bottom"/>
            <w:shd w:val="clear" w:color="auto" w:fill="00558C"/>
          </w:tcPr>
          <w:p>
            <w:pPr>
              <w:spacing w:after="0"/>
              <w:rPr>
                <w:sz w:val="15"/>
                <w:szCs w:val="15"/>
                <w:color w:val="auto"/>
              </w:rPr>
            </w:pPr>
          </w:p>
        </w:tc>
        <w:tc>
          <w:tcPr>
            <w:tcW w:w="130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FFFFFF"/>
              </w:rPr>
              <w:t>Contributions</w:t>
            </w:r>
          </w:p>
        </w:tc>
        <w:tc>
          <w:tcPr>
            <w:tcW w:w="130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FFFFFF"/>
              </w:rPr>
              <w:t>Contributions</w:t>
            </w:r>
          </w:p>
        </w:tc>
        <w:tc>
          <w:tcPr>
            <w:tcW w:w="1160" w:type="dxa"/>
            <w:vAlign w:val="bottom"/>
            <w:shd w:val="clear" w:color="auto" w:fill="00558C"/>
          </w:tcPr>
          <w:p>
            <w:pPr>
              <w:jc w:val="right"/>
              <w:ind w:right="173"/>
              <w:spacing w:after="0"/>
              <w:rPr>
                <w:sz w:val="20"/>
                <w:szCs w:val="20"/>
                <w:color w:val="auto"/>
              </w:rPr>
            </w:pPr>
            <w:r>
              <w:rPr>
                <w:rFonts w:ascii="Arial" w:cs="Arial" w:eastAsia="Arial" w:hAnsi="Arial"/>
                <w:sz w:val="14"/>
                <w:szCs w:val="14"/>
                <w:b w:val="1"/>
                <w:bCs w:val="1"/>
                <w:color w:val="FFFFFF"/>
              </w:rPr>
              <w:t>Earnings</w:t>
            </w:r>
          </w:p>
        </w:tc>
        <w:tc>
          <w:tcPr>
            <w:tcW w:w="1320" w:type="dxa"/>
            <w:vAlign w:val="bottom"/>
            <w:shd w:val="clear" w:color="auto" w:fill="00558C"/>
          </w:tcPr>
          <w:p>
            <w:pPr>
              <w:jc w:val="right"/>
              <w:ind w:right="170"/>
              <w:spacing w:after="0"/>
              <w:rPr>
                <w:sz w:val="20"/>
                <w:szCs w:val="20"/>
                <w:color w:val="auto"/>
              </w:rPr>
            </w:pPr>
            <w:r>
              <w:rPr>
                <w:rFonts w:ascii="Arial" w:cs="Arial" w:eastAsia="Arial" w:hAnsi="Arial"/>
                <w:sz w:val="14"/>
                <w:szCs w:val="14"/>
                <w:b w:val="1"/>
                <w:bCs w:val="1"/>
                <w:color w:val="FFFFFF"/>
              </w:rPr>
              <w:t>Distributions</w:t>
            </w:r>
          </w:p>
        </w:tc>
        <w:tc>
          <w:tcPr>
            <w:tcW w:w="1260" w:type="dxa"/>
            <w:vAlign w:val="bottom"/>
            <w:shd w:val="clear" w:color="auto" w:fill="00558C"/>
          </w:tcPr>
          <w:p>
            <w:pPr>
              <w:jc w:val="right"/>
              <w:ind w:right="169"/>
              <w:spacing w:after="0"/>
              <w:rPr>
                <w:sz w:val="20"/>
                <w:szCs w:val="20"/>
                <w:color w:val="auto"/>
              </w:rPr>
            </w:pPr>
            <w:r>
              <w:rPr>
                <w:rFonts w:ascii="Arial" w:cs="Arial" w:eastAsia="Arial" w:hAnsi="Arial"/>
                <w:sz w:val="14"/>
                <w:szCs w:val="14"/>
                <w:b w:val="1"/>
                <w:bCs w:val="1"/>
                <w:color w:val="FFFFFF"/>
              </w:rPr>
              <w:t>Balance as of</w:t>
            </w:r>
          </w:p>
        </w:tc>
      </w:tr>
      <w:tr>
        <w:trPr>
          <w:trHeight w:val="146"/>
        </w:trPr>
        <w:tc>
          <w:tcPr>
            <w:tcW w:w="2740" w:type="dxa"/>
            <w:vAlign w:val="bottom"/>
            <w:shd w:val="clear" w:color="auto" w:fill="00558C"/>
          </w:tcPr>
          <w:p>
            <w:pPr>
              <w:spacing w:after="0"/>
              <w:rPr>
                <w:sz w:val="12"/>
                <w:szCs w:val="12"/>
                <w:color w:val="auto"/>
              </w:rPr>
            </w:pPr>
          </w:p>
        </w:tc>
        <w:tc>
          <w:tcPr>
            <w:tcW w:w="1300" w:type="dxa"/>
            <w:vAlign w:val="bottom"/>
            <w:shd w:val="clear" w:color="auto" w:fill="00558C"/>
          </w:tcPr>
          <w:p>
            <w:pPr>
              <w:ind w:left="660"/>
              <w:spacing w:after="0" w:line="146" w:lineRule="exact"/>
              <w:rPr>
                <w:sz w:val="20"/>
                <w:szCs w:val="20"/>
                <w:color w:val="auto"/>
              </w:rPr>
            </w:pPr>
            <w:r>
              <w:rPr>
                <w:rFonts w:ascii="Arial" w:cs="Arial" w:eastAsia="Arial" w:hAnsi="Arial"/>
                <w:sz w:val="14"/>
                <w:szCs w:val="14"/>
                <w:b w:val="1"/>
                <w:bCs w:val="1"/>
                <w:color w:val="FFFFFF"/>
              </w:rPr>
              <w:t>in 2025</w:t>
            </w:r>
          </w:p>
        </w:tc>
        <w:tc>
          <w:tcPr>
            <w:tcW w:w="1300" w:type="dxa"/>
            <w:vAlign w:val="bottom"/>
            <w:shd w:val="clear" w:color="auto" w:fill="00558C"/>
          </w:tcPr>
          <w:p>
            <w:pPr>
              <w:ind w:left="560"/>
              <w:spacing w:after="0" w:line="146" w:lineRule="exact"/>
              <w:rPr>
                <w:sz w:val="20"/>
                <w:szCs w:val="20"/>
                <w:color w:val="auto"/>
              </w:rPr>
            </w:pPr>
            <w:r>
              <w:rPr>
                <w:rFonts w:ascii="Arial" w:cs="Arial" w:eastAsia="Arial" w:hAnsi="Arial"/>
                <w:sz w:val="14"/>
                <w:szCs w:val="14"/>
                <w:b w:val="1"/>
                <w:bCs w:val="1"/>
                <w:color w:val="FFFFFF"/>
              </w:rPr>
              <w:t>in 2025</w:t>
            </w:r>
          </w:p>
        </w:tc>
        <w:tc>
          <w:tcPr>
            <w:tcW w:w="1160" w:type="dxa"/>
            <w:vAlign w:val="bottom"/>
            <w:shd w:val="clear" w:color="auto" w:fill="00558C"/>
          </w:tcPr>
          <w:p>
            <w:pPr>
              <w:jc w:val="right"/>
              <w:ind w:right="153"/>
              <w:spacing w:after="0" w:line="146" w:lineRule="exact"/>
              <w:rPr>
                <w:sz w:val="20"/>
                <w:szCs w:val="20"/>
                <w:color w:val="auto"/>
              </w:rPr>
            </w:pPr>
            <w:r>
              <w:rPr>
                <w:rFonts w:ascii="Arial" w:cs="Arial" w:eastAsia="Arial" w:hAnsi="Arial"/>
                <w:sz w:val="14"/>
                <w:szCs w:val="14"/>
                <w:b w:val="1"/>
                <w:bCs w:val="1"/>
                <w:color w:val="FFFFFF"/>
              </w:rPr>
              <w:t>in 2025</w:t>
            </w:r>
          </w:p>
        </w:tc>
        <w:tc>
          <w:tcPr>
            <w:tcW w:w="1320" w:type="dxa"/>
            <w:vAlign w:val="bottom"/>
            <w:shd w:val="clear" w:color="auto" w:fill="00558C"/>
          </w:tcPr>
          <w:p>
            <w:pPr>
              <w:jc w:val="right"/>
              <w:ind w:right="110"/>
              <w:spacing w:after="0" w:line="146" w:lineRule="exact"/>
              <w:rPr>
                <w:sz w:val="20"/>
                <w:szCs w:val="20"/>
                <w:color w:val="auto"/>
              </w:rPr>
            </w:pPr>
            <w:r>
              <w:rPr>
                <w:rFonts w:ascii="Arial" w:cs="Arial" w:eastAsia="Arial" w:hAnsi="Arial"/>
                <w:sz w:val="14"/>
                <w:szCs w:val="14"/>
                <w:b w:val="1"/>
                <w:bCs w:val="1"/>
                <w:color w:val="FFFFFF"/>
              </w:rPr>
              <w:t>in 2025</w:t>
            </w:r>
          </w:p>
        </w:tc>
        <w:tc>
          <w:tcPr>
            <w:tcW w:w="1260" w:type="dxa"/>
            <w:vAlign w:val="bottom"/>
            <w:shd w:val="clear" w:color="auto" w:fill="00558C"/>
          </w:tcPr>
          <w:p>
            <w:pPr>
              <w:jc w:val="right"/>
              <w:ind w:right="109"/>
              <w:spacing w:after="0" w:line="146" w:lineRule="exact"/>
              <w:rPr>
                <w:sz w:val="20"/>
                <w:szCs w:val="20"/>
                <w:color w:val="auto"/>
              </w:rPr>
            </w:pPr>
            <w:r>
              <w:rPr>
                <w:rFonts w:ascii="Arial" w:cs="Arial" w:eastAsia="Arial" w:hAnsi="Arial"/>
                <w:sz w:val="14"/>
                <w:szCs w:val="14"/>
                <w:b w:val="1"/>
                <w:bCs w:val="1"/>
                <w:color w:val="FFFFFF"/>
              </w:rPr>
              <w:t>12/31/25</w:t>
            </w:r>
          </w:p>
        </w:tc>
      </w:tr>
      <w:tr>
        <w:trPr>
          <w:trHeight w:val="241"/>
        </w:trPr>
        <w:tc>
          <w:tcPr>
            <w:tcW w:w="27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300" w:type="dxa"/>
            <w:vAlign w:val="bottom"/>
            <w:shd w:val="clear" w:color="auto" w:fill="00558C"/>
          </w:tcPr>
          <w:p>
            <w:pPr>
              <w:ind w:left="900"/>
              <w:spacing w:after="0" w:line="241"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9"/>
                <w:szCs w:val="9"/>
                <w:b w:val="1"/>
                <w:bCs w:val="1"/>
                <w:color w:val="FFFFFF"/>
              </w:rPr>
              <w:t xml:space="preserve"> (1)</w:t>
            </w:r>
          </w:p>
        </w:tc>
        <w:tc>
          <w:tcPr>
            <w:tcW w:w="1300" w:type="dxa"/>
            <w:vAlign w:val="bottom"/>
            <w:shd w:val="clear" w:color="auto" w:fill="00558C"/>
          </w:tcPr>
          <w:p>
            <w:pPr>
              <w:ind w:left="920"/>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558C"/>
          </w:tcPr>
          <w:p>
            <w:pPr>
              <w:jc w:val="right"/>
              <w:ind w:right="113"/>
              <w:spacing w:after="0" w:line="241"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9"/>
                <w:szCs w:val="9"/>
                <w:b w:val="1"/>
                <w:bCs w:val="1"/>
                <w:color w:val="FFFFFF"/>
              </w:rPr>
              <w:t xml:space="preserve"> (2)</w:t>
            </w:r>
          </w:p>
        </w:tc>
        <w:tc>
          <w:tcPr>
            <w:tcW w:w="1320" w:type="dxa"/>
            <w:vAlign w:val="bottom"/>
            <w:shd w:val="clear" w:color="auto" w:fill="00558C"/>
          </w:tcPr>
          <w:p>
            <w:pPr>
              <w:jc w:val="right"/>
              <w:ind w:right="90"/>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558C"/>
          </w:tcPr>
          <w:p>
            <w:pPr>
              <w:jc w:val="right"/>
              <w:ind w:right="109"/>
              <w:spacing w:after="0"/>
              <w:rPr>
                <w:sz w:val="20"/>
                <w:szCs w:val="20"/>
                <w:color w:val="auto"/>
              </w:rPr>
            </w:pPr>
            <w:r>
              <w:rPr>
                <w:rFonts w:ascii="Arial" w:cs="Arial" w:eastAsia="Arial" w:hAnsi="Arial"/>
                <w:sz w:val="14"/>
                <w:szCs w:val="14"/>
                <w:b w:val="1"/>
                <w:bCs w:val="1"/>
                <w:color w:val="FFFFFF"/>
              </w:rPr>
              <w:t>($)</w:t>
            </w:r>
          </w:p>
        </w:tc>
      </w:tr>
      <w:tr>
        <w:trPr>
          <w:trHeight w:val="94"/>
        </w:trPr>
        <w:tc>
          <w:tcPr>
            <w:tcW w:w="2740" w:type="dxa"/>
            <w:vAlign w:val="bottom"/>
            <w:shd w:val="clear" w:color="auto" w:fill="00558C"/>
          </w:tcPr>
          <w:p>
            <w:pPr>
              <w:spacing w:after="0"/>
              <w:rPr>
                <w:sz w:val="8"/>
                <w:szCs w:val="8"/>
                <w:color w:val="auto"/>
              </w:rPr>
            </w:pPr>
          </w:p>
        </w:tc>
        <w:tc>
          <w:tcPr>
            <w:tcW w:w="1300" w:type="dxa"/>
            <w:vAlign w:val="bottom"/>
            <w:shd w:val="clear" w:color="auto" w:fill="00558C"/>
          </w:tcPr>
          <w:p>
            <w:pPr>
              <w:spacing w:after="0"/>
              <w:rPr>
                <w:sz w:val="8"/>
                <w:szCs w:val="8"/>
                <w:color w:val="auto"/>
              </w:rPr>
            </w:pPr>
          </w:p>
        </w:tc>
        <w:tc>
          <w:tcPr>
            <w:tcW w:w="1300" w:type="dxa"/>
            <w:vAlign w:val="bottom"/>
            <w:shd w:val="clear" w:color="auto" w:fill="00558C"/>
          </w:tcPr>
          <w:p>
            <w:pPr>
              <w:spacing w:after="0"/>
              <w:rPr>
                <w:sz w:val="8"/>
                <w:szCs w:val="8"/>
                <w:color w:val="auto"/>
              </w:rPr>
            </w:pPr>
          </w:p>
        </w:tc>
        <w:tc>
          <w:tcPr>
            <w:tcW w:w="1160" w:type="dxa"/>
            <w:vAlign w:val="bottom"/>
            <w:shd w:val="clear" w:color="auto" w:fill="00558C"/>
          </w:tcPr>
          <w:p>
            <w:pPr>
              <w:spacing w:after="0"/>
              <w:rPr>
                <w:sz w:val="8"/>
                <w:szCs w:val="8"/>
                <w:color w:val="auto"/>
              </w:rPr>
            </w:pPr>
          </w:p>
        </w:tc>
        <w:tc>
          <w:tcPr>
            <w:tcW w:w="1320" w:type="dxa"/>
            <w:vAlign w:val="bottom"/>
            <w:shd w:val="clear" w:color="auto" w:fill="00558C"/>
          </w:tcPr>
          <w:p>
            <w:pPr>
              <w:spacing w:after="0"/>
              <w:rPr>
                <w:sz w:val="8"/>
                <w:szCs w:val="8"/>
                <w:color w:val="auto"/>
              </w:rPr>
            </w:pPr>
          </w:p>
        </w:tc>
        <w:tc>
          <w:tcPr>
            <w:tcW w:w="1260" w:type="dxa"/>
            <w:vAlign w:val="bottom"/>
            <w:shd w:val="clear" w:color="auto" w:fill="00558C"/>
          </w:tcPr>
          <w:p>
            <w:pPr>
              <w:spacing w:after="0"/>
              <w:rPr>
                <w:sz w:val="8"/>
                <w:szCs w:val="8"/>
                <w:color w:val="auto"/>
              </w:rPr>
            </w:pPr>
          </w:p>
        </w:tc>
      </w:tr>
      <w:tr>
        <w:trPr>
          <w:trHeight w:val="336"/>
        </w:trPr>
        <w:tc>
          <w:tcPr>
            <w:tcW w:w="274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1300" w:type="dxa"/>
            <w:vAlign w:val="bottom"/>
            <w:shd w:val="clear" w:color="auto" w:fill="F2F3F2"/>
          </w:tcPr>
          <w:p>
            <w:pPr>
              <w:ind w:left="1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F2F3F2"/>
          </w:tcPr>
          <w:p>
            <w:pPr>
              <w:ind w:left="100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ind w:right="113"/>
              <w:spacing w:after="0"/>
              <w:rPr>
                <w:sz w:val="20"/>
                <w:szCs w:val="20"/>
                <w:color w:val="auto"/>
              </w:rPr>
            </w:pPr>
            <w:r>
              <w:rPr>
                <w:rFonts w:ascii="Arial" w:cs="Arial" w:eastAsia="Arial" w:hAnsi="Arial"/>
                <w:sz w:val="14"/>
                <w:szCs w:val="14"/>
                <w:color w:val="auto"/>
              </w:rPr>
              <w:t>292,430</w:t>
            </w:r>
          </w:p>
        </w:tc>
        <w:tc>
          <w:tcPr>
            <w:tcW w:w="1320" w:type="dxa"/>
            <w:vAlign w:val="bottom"/>
            <w:shd w:val="clear" w:color="auto" w:fill="F2F3F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3F2"/>
          </w:tcPr>
          <w:p>
            <w:pPr>
              <w:jc w:val="right"/>
              <w:ind w:right="89"/>
              <w:spacing w:after="0"/>
              <w:rPr>
                <w:sz w:val="20"/>
                <w:szCs w:val="20"/>
                <w:color w:val="auto"/>
              </w:rPr>
            </w:pPr>
            <w:r>
              <w:rPr>
                <w:rFonts w:ascii="Arial" w:cs="Arial" w:eastAsia="Arial" w:hAnsi="Arial"/>
                <w:sz w:val="14"/>
                <w:szCs w:val="14"/>
                <w:color w:val="auto"/>
              </w:rPr>
              <w:t>2,204,683</w:t>
            </w:r>
          </w:p>
        </w:tc>
      </w:tr>
      <w:tr>
        <w:trPr>
          <w:trHeight w:val="110"/>
        </w:trPr>
        <w:tc>
          <w:tcPr>
            <w:tcW w:w="274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320" w:type="dxa"/>
            <w:vAlign w:val="bottom"/>
            <w:shd w:val="clear" w:color="auto" w:fill="F2F3F2"/>
          </w:tcPr>
          <w:p>
            <w:pPr>
              <w:spacing w:after="0"/>
              <w:rPr>
                <w:sz w:val="9"/>
                <w:szCs w:val="9"/>
                <w:color w:val="auto"/>
              </w:rPr>
            </w:pPr>
          </w:p>
        </w:tc>
        <w:tc>
          <w:tcPr>
            <w:tcW w:w="1260" w:type="dxa"/>
            <w:vAlign w:val="bottom"/>
            <w:shd w:val="clear" w:color="auto" w:fill="F2F3F2"/>
          </w:tcPr>
          <w:p>
            <w:pPr>
              <w:spacing w:after="0"/>
              <w:rPr>
                <w:sz w:val="9"/>
                <w:szCs w:val="9"/>
                <w:color w:val="auto"/>
              </w:rPr>
            </w:pPr>
          </w:p>
        </w:tc>
      </w:tr>
      <w:tr>
        <w:trPr>
          <w:trHeight w:val="336"/>
        </w:trPr>
        <w:tc>
          <w:tcPr>
            <w:tcW w:w="2740" w:type="dxa"/>
            <w:vAlign w:val="bottom"/>
          </w:tcPr>
          <w:p>
            <w:pPr>
              <w:ind w:left="140"/>
              <w:spacing w:after="0"/>
              <w:rPr>
                <w:sz w:val="20"/>
                <w:szCs w:val="20"/>
                <w:color w:val="auto"/>
              </w:rPr>
            </w:pPr>
            <w:r>
              <w:rPr>
                <w:rFonts w:ascii="Arial" w:cs="Arial" w:eastAsia="Arial" w:hAnsi="Arial"/>
                <w:sz w:val="14"/>
                <w:szCs w:val="14"/>
                <w:b w:val="1"/>
                <w:bCs w:val="1"/>
                <w:color w:val="00558C"/>
              </w:rPr>
              <w:t>John D. Kelly</w:t>
            </w:r>
          </w:p>
        </w:tc>
        <w:tc>
          <w:tcPr>
            <w:tcW w:w="1300" w:type="dxa"/>
            <w:vAlign w:val="bottom"/>
          </w:tcPr>
          <w:p>
            <w:pPr>
              <w:ind w:left="1100"/>
              <w:spacing w:after="0"/>
              <w:rPr>
                <w:sz w:val="20"/>
                <w:szCs w:val="20"/>
                <w:color w:val="auto"/>
              </w:rPr>
            </w:pPr>
            <w:r>
              <w:rPr>
                <w:rFonts w:ascii="Arial" w:cs="Arial" w:eastAsia="Arial" w:hAnsi="Arial"/>
                <w:sz w:val="13"/>
                <w:szCs w:val="13"/>
                <w:color w:val="auto"/>
              </w:rPr>
              <w:t>—</w:t>
            </w:r>
          </w:p>
        </w:tc>
        <w:tc>
          <w:tcPr>
            <w:tcW w:w="1300" w:type="dxa"/>
            <w:vAlign w:val="bottom"/>
          </w:tcPr>
          <w:p>
            <w:pPr>
              <w:ind w:left="1000"/>
              <w:spacing w:after="0"/>
              <w:rPr>
                <w:sz w:val="20"/>
                <w:szCs w:val="20"/>
                <w:color w:val="auto"/>
              </w:rPr>
            </w:pPr>
            <w:r>
              <w:rPr>
                <w:rFonts w:ascii="Arial" w:cs="Arial" w:eastAsia="Arial" w:hAnsi="Arial"/>
                <w:sz w:val="13"/>
                <w:szCs w:val="13"/>
                <w:color w:val="auto"/>
              </w:rPr>
              <w:t>—</w:t>
            </w:r>
          </w:p>
        </w:tc>
        <w:tc>
          <w:tcPr>
            <w:tcW w:w="1160" w:type="dxa"/>
            <w:vAlign w:val="bottom"/>
          </w:tcPr>
          <w:p>
            <w:pPr>
              <w:ind w:left="880"/>
              <w:spacing w:after="0"/>
              <w:rPr>
                <w:sz w:val="20"/>
                <w:szCs w:val="20"/>
                <w:color w:val="auto"/>
              </w:rPr>
            </w:pPr>
            <w:r>
              <w:rPr>
                <w:rFonts w:ascii="Arial" w:cs="Arial" w:eastAsia="Arial" w:hAnsi="Arial"/>
                <w:sz w:val="13"/>
                <w:szCs w:val="13"/>
                <w:color w:val="auto"/>
              </w:rPr>
              <w:t>—</w:t>
            </w:r>
          </w:p>
        </w:tc>
        <w:tc>
          <w:tcPr>
            <w:tcW w:w="1320" w:type="dxa"/>
            <w:vAlign w:val="bottom"/>
          </w:tcPr>
          <w:p>
            <w:pPr>
              <w:ind w:left="108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110"/>
        </w:trPr>
        <w:tc>
          <w:tcPr>
            <w:tcW w:w="2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336"/>
        </w:trPr>
        <w:tc>
          <w:tcPr>
            <w:tcW w:w="274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 Dail</w:t>
            </w:r>
          </w:p>
        </w:tc>
        <w:tc>
          <w:tcPr>
            <w:tcW w:w="1300" w:type="dxa"/>
            <w:vAlign w:val="bottom"/>
            <w:shd w:val="clear" w:color="auto" w:fill="F2F3F2"/>
          </w:tcPr>
          <w:p>
            <w:pPr>
              <w:ind w:left="1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F2F3F2"/>
          </w:tcPr>
          <w:p>
            <w:pPr>
              <w:ind w:left="100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880"/>
              <w:spacing w:after="0"/>
              <w:rPr>
                <w:sz w:val="20"/>
                <w:szCs w:val="20"/>
                <w:color w:val="auto"/>
              </w:rPr>
            </w:pPr>
            <w:r>
              <w:rPr>
                <w:rFonts w:ascii="Arial" w:cs="Arial" w:eastAsia="Arial" w:hAnsi="Arial"/>
                <w:sz w:val="13"/>
                <w:szCs w:val="13"/>
                <w:color w:val="auto"/>
              </w:rPr>
              <w:t>—</w:t>
            </w:r>
          </w:p>
        </w:tc>
        <w:tc>
          <w:tcPr>
            <w:tcW w:w="1320" w:type="dxa"/>
            <w:vAlign w:val="bottom"/>
            <w:shd w:val="clear" w:color="auto" w:fill="F2F3F2"/>
          </w:tcPr>
          <w:p>
            <w:pPr>
              <w:ind w:left="1080"/>
              <w:spacing w:after="0"/>
              <w:rPr>
                <w:sz w:val="20"/>
                <w:szCs w:val="20"/>
                <w:color w:val="auto"/>
              </w:rPr>
            </w:pPr>
            <w:r>
              <w:rPr>
                <w:rFonts w:ascii="Arial" w:cs="Arial" w:eastAsia="Arial" w:hAnsi="Arial"/>
                <w:sz w:val="13"/>
                <w:szCs w:val="13"/>
                <w:color w:val="auto"/>
              </w:rPr>
              <w:t>—</w:t>
            </w:r>
          </w:p>
        </w:tc>
        <w:tc>
          <w:tcPr>
            <w:tcW w:w="1260" w:type="dxa"/>
            <w:vAlign w:val="bottom"/>
            <w:shd w:val="clear" w:color="auto" w:fill="F2F3F2"/>
          </w:tcPr>
          <w:p>
            <w:pPr>
              <w:jc w:val="right"/>
              <w:ind w:right="69"/>
              <w:spacing w:after="0"/>
              <w:rPr>
                <w:sz w:val="20"/>
                <w:szCs w:val="20"/>
                <w:color w:val="auto"/>
              </w:rPr>
            </w:pPr>
            <w:r>
              <w:rPr>
                <w:rFonts w:ascii="Arial" w:cs="Arial" w:eastAsia="Arial" w:hAnsi="Arial"/>
                <w:sz w:val="13"/>
                <w:szCs w:val="13"/>
                <w:color w:val="auto"/>
              </w:rPr>
              <w:t>—</w:t>
            </w:r>
          </w:p>
        </w:tc>
      </w:tr>
      <w:tr>
        <w:trPr>
          <w:trHeight w:val="110"/>
        </w:trPr>
        <w:tc>
          <w:tcPr>
            <w:tcW w:w="274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320" w:type="dxa"/>
            <w:vAlign w:val="bottom"/>
            <w:shd w:val="clear" w:color="auto" w:fill="F2F3F2"/>
          </w:tcPr>
          <w:p>
            <w:pPr>
              <w:spacing w:after="0"/>
              <w:rPr>
                <w:sz w:val="9"/>
                <w:szCs w:val="9"/>
                <w:color w:val="auto"/>
              </w:rPr>
            </w:pPr>
          </w:p>
        </w:tc>
        <w:tc>
          <w:tcPr>
            <w:tcW w:w="1260" w:type="dxa"/>
            <w:vAlign w:val="bottom"/>
            <w:shd w:val="clear" w:color="auto" w:fill="F2F3F2"/>
          </w:tcPr>
          <w:p>
            <w:pPr>
              <w:spacing w:after="0"/>
              <w:rPr>
                <w:sz w:val="9"/>
                <w:szCs w:val="9"/>
                <w:color w:val="auto"/>
              </w:rPr>
            </w:pPr>
          </w:p>
        </w:tc>
      </w:tr>
      <w:tr>
        <w:trPr>
          <w:trHeight w:val="336"/>
        </w:trPr>
        <w:tc>
          <w:tcPr>
            <w:tcW w:w="2740" w:type="dxa"/>
            <w:vAlign w:val="bottom"/>
          </w:tcPr>
          <w:p>
            <w:pPr>
              <w:ind w:left="140"/>
              <w:spacing w:after="0"/>
              <w:rPr>
                <w:sz w:val="20"/>
                <w:szCs w:val="20"/>
                <w:color w:val="auto"/>
              </w:rPr>
            </w:pPr>
            <w:r>
              <w:rPr>
                <w:rFonts w:ascii="Arial" w:cs="Arial" w:eastAsia="Arial" w:hAnsi="Arial"/>
                <w:sz w:val="14"/>
                <w:szCs w:val="14"/>
                <w:b w:val="1"/>
                <w:bCs w:val="1"/>
                <w:color w:val="00558C"/>
              </w:rPr>
              <w:t>Hope Katz</w:t>
            </w:r>
          </w:p>
        </w:tc>
        <w:tc>
          <w:tcPr>
            <w:tcW w:w="1300" w:type="dxa"/>
            <w:vAlign w:val="bottom"/>
          </w:tcPr>
          <w:p>
            <w:pPr>
              <w:ind w:left="1100"/>
              <w:spacing w:after="0"/>
              <w:rPr>
                <w:sz w:val="20"/>
                <w:szCs w:val="20"/>
                <w:color w:val="auto"/>
              </w:rPr>
            </w:pPr>
            <w:r>
              <w:rPr>
                <w:rFonts w:ascii="Arial" w:cs="Arial" w:eastAsia="Arial" w:hAnsi="Arial"/>
                <w:sz w:val="13"/>
                <w:szCs w:val="13"/>
                <w:color w:val="auto"/>
              </w:rPr>
              <w:t>—</w:t>
            </w:r>
          </w:p>
        </w:tc>
        <w:tc>
          <w:tcPr>
            <w:tcW w:w="1300" w:type="dxa"/>
            <w:vAlign w:val="bottom"/>
          </w:tcPr>
          <w:p>
            <w:pPr>
              <w:ind w:left="1000"/>
              <w:spacing w:after="0"/>
              <w:rPr>
                <w:sz w:val="20"/>
                <w:szCs w:val="20"/>
                <w:color w:val="auto"/>
              </w:rPr>
            </w:pPr>
            <w:r>
              <w:rPr>
                <w:rFonts w:ascii="Arial" w:cs="Arial" w:eastAsia="Arial" w:hAnsi="Arial"/>
                <w:sz w:val="13"/>
                <w:szCs w:val="13"/>
                <w:color w:val="auto"/>
              </w:rPr>
              <w:t>—</w:t>
            </w:r>
          </w:p>
        </w:tc>
        <w:tc>
          <w:tcPr>
            <w:tcW w:w="1160" w:type="dxa"/>
            <w:vAlign w:val="bottom"/>
          </w:tcPr>
          <w:p>
            <w:pPr>
              <w:ind w:left="880"/>
              <w:spacing w:after="0"/>
              <w:rPr>
                <w:sz w:val="20"/>
                <w:szCs w:val="20"/>
                <w:color w:val="auto"/>
              </w:rPr>
            </w:pPr>
            <w:r>
              <w:rPr>
                <w:rFonts w:ascii="Arial" w:cs="Arial" w:eastAsia="Arial" w:hAnsi="Arial"/>
                <w:sz w:val="13"/>
                <w:szCs w:val="13"/>
                <w:color w:val="auto"/>
              </w:rPr>
              <w:t>—</w:t>
            </w:r>
          </w:p>
        </w:tc>
        <w:tc>
          <w:tcPr>
            <w:tcW w:w="1320" w:type="dxa"/>
            <w:vAlign w:val="bottom"/>
          </w:tcPr>
          <w:p>
            <w:pPr>
              <w:ind w:left="108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69"/>
              <w:spacing w:after="0"/>
              <w:rPr>
                <w:sz w:val="20"/>
                <w:szCs w:val="20"/>
                <w:color w:val="auto"/>
              </w:rPr>
            </w:pPr>
            <w:r>
              <w:rPr>
                <w:rFonts w:ascii="Arial" w:cs="Arial" w:eastAsia="Arial" w:hAnsi="Arial"/>
                <w:sz w:val="13"/>
                <w:szCs w:val="13"/>
                <w:color w:val="auto"/>
              </w:rPr>
              <w:t>—</w:t>
            </w:r>
          </w:p>
        </w:tc>
      </w:tr>
      <w:tr>
        <w:trPr>
          <w:trHeight w:val="110"/>
        </w:trPr>
        <w:tc>
          <w:tcPr>
            <w:tcW w:w="2740" w:type="dxa"/>
            <w:vAlign w:val="bottom"/>
            <w:tcBorders>
              <w:bottom w:val="single" w:sz="8" w:color="B2B3B6"/>
            </w:tcBorders>
          </w:tcPr>
          <w:p>
            <w:pPr>
              <w:spacing w:after="0"/>
              <w:rPr>
                <w:sz w:val="9"/>
                <w:szCs w:val="9"/>
                <w:color w:val="auto"/>
              </w:rPr>
            </w:pPr>
          </w:p>
        </w:tc>
        <w:tc>
          <w:tcPr>
            <w:tcW w:w="1300" w:type="dxa"/>
            <w:vAlign w:val="bottom"/>
            <w:tcBorders>
              <w:bottom w:val="single" w:sz="8" w:color="B6B6B6"/>
            </w:tcBorders>
          </w:tcPr>
          <w:p>
            <w:pPr>
              <w:spacing w:after="0"/>
              <w:rPr>
                <w:sz w:val="9"/>
                <w:szCs w:val="9"/>
                <w:color w:val="auto"/>
              </w:rPr>
            </w:pPr>
          </w:p>
        </w:tc>
        <w:tc>
          <w:tcPr>
            <w:tcW w:w="1300" w:type="dxa"/>
            <w:vAlign w:val="bottom"/>
            <w:tcBorders>
              <w:bottom w:val="single" w:sz="8" w:color="B6B6B6"/>
            </w:tcBorders>
          </w:tcPr>
          <w:p>
            <w:pPr>
              <w:spacing w:after="0"/>
              <w:rPr>
                <w:sz w:val="9"/>
                <w:szCs w:val="9"/>
                <w:color w:val="auto"/>
              </w:rPr>
            </w:pPr>
          </w:p>
        </w:tc>
        <w:tc>
          <w:tcPr>
            <w:tcW w:w="1160" w:type="dxa"/>
            <w:vAlign w:val="bottom"/>
            <w:tcBorders>
              <w:bottom w:val="single" w:sz="8" w:color="B6B6B6"/>
            </w:tcBorders>
          </w:tcPr>
          <w:p>
            <w:pPr>
              <w:spacing w:after="0"/>
              <w:rPr>
                <w:sz w:val="9"/>
                <w:szCs w:val="9"/>
                <w:color w:val="auto"/>
              </w:rPr>
            </w:pPr>
          </w:p>
        </w:tc>
        <w:tc>
          <w:tcPr>
            <w:tcW w:w="1320" w:type="dxa"/>
            <w:vAlign w:val="bottom"/>
            <w:tcBorders>
              <w:bottom w:val="single" w:sz="8" w:color="B6B6B6"/>
            </w:tcBorders>
          </w:tcPr>
          <w:p>
            <w:pPr>
              <w:spacing w:after="0"/>
              <w:rPr>
                <w:sz w:val="9"/>
                <w:szCs w:val="9"/>
                <w:color w:val="auto"/>
              </w:rPr>
            </w:pPr>
          </w:p>
        </w:tc>
        <w:tc>
          <w:tcPr>
            <w:tcW w:w="1260" w:type="dxa"/>
            <w:vAlign w:val="bottom"/>
            <w:tcBorders>
              <w:bottom w:val="single" w:sz="8" w:color="B6B6B6"/>
            </w:tcBorders>
          </w:tcPr>
          <w:p>
            <w:pPr>
              <w:spacing w:after="0"/>
              <w:rPr>
                <w:sz w:val="9"/>
                <w:szCs w:val="9"/>
                <w:color w:val="auto"/>
              </w:rPr>
            </w:pPr>
          </w:p>
        </w:tc>
      </w:tr>
    </w:tbl>
    <w:p>
      <w:pPr>
        <w:spacing w:after="0" w:line="139" w:lineRule="exact"/>
        <w:rPr>
          <w:sz w:val="20"/>
          <w:szCs w:val="20"/>
          <w:color w:val="auto"/>
        </w:rPr>
      </w:pPr>
    </w:p>
    <w:p>
      <w:pPr>
        <w:ind w:left="420" w:hanging="331"/>
        <w:spacing w:after="0"/>
        <w:tabs>
          <w:tab w:leader="none" w:pos="4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There were no executive contributions made to the Deferred Compensation Plan for 2025.</w:t>
      </w:r>
    </w:p>
    <w:p>
      <w:pPr>
        <w:spacing w:after="0" w:line="190" w:lineRule="exact"/>
        <w:rPr>
          <w:rFonts w:ascii="Arial" w:cs="Arial" w:eastAsia="Arial" w:hAnsi="Arial"/>
          <w:sz w:val="14"/>
          <w:szCs w:val="14"/>
          <w:color w:val="auto"/>
        </w:rPr>
      </w:pPr>
    </w:p>
    <w:p>
      <w:pPr>
        <w:ind w:left="420" w:right="220" w:hanging="331"/>
        <w:spacing w:after="0" w:line="305" w:lineRule="auto"/>
        <w:tabs>
          <w:tab w:leader="none" w:pos="4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Huron does not pay above-market interest or preferential dividends on investments in the Deferred Compensation Plan and therefore the amounts in this column are not reported in the Summary Compensation Table.</w:t>
      </w:r>
    </w:p>
    <w:p>
      <w:pPr>
        <w:sectPr>
          <w:pgSz w:w="11900" w:h="16838" w:orient="portrait"/>
          <w:cols w:equalWidth="0" w:num="1">
            <w:col w:w="9080"/>
          </w:cols>
          <w:pgMar w:left="1400" w:top="130" w:right="1419" w:bottom="5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55</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162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316230"/>
                    </a:xfrm>
                    <a:prstGeom prst="rect">
                      <a:avLst/>
                    </a:prstGeom>
                    <a:noFill/>
                  </pic:spPr>
                </pic:pic>
              </a:graphicData>
            </a:graphic>
          </wp:anchor>
        </w:drawing>
      </w:r>
    </w:p>
    <w:p>
      <w:pPr>
        <w:sectPr>
          <w:pgSz w:w="11900" w:h="16838" w:orient="portrait"/>
          <w:cols w:equalWidth="0" w:num="1">
            <w:col w:w="9080"/>
          </w:cols>
          <w:pgMar w:left="1400" w:top="130" w:right="1419" w:bottom="596" w:gutter="0" w:footer="0" w:header="0"/>
          <w:type w:val="continuous"/>
        </w:sectPr>
      </w:pPr>
    </w:p>
    <w:bookmarkStart w:id="57" w:name="page58"/>
    <w:bookmarkEnd w:id="57"/>
    <w:tbl>
      <w:tblPr>
        <w:tblLayout w:type="fixed"/>
        <w:tblInd w:w="60" w:type="dxa"/>
        <w:tblCellMar>
          <w:top w:w="0" w:type="dxa"/>
          <w:left w:w="0" w:type="dxa"/>
          <w:bottom w:w="0" w:type="dxa"/>
          <w:right w:w="0" w:type="dxa"/>
        </w:tblCellMar>
      </w:tblPr>
      <w:tr>
        <w:trPr>
          <w:trHeight w:val="55"/>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B2B3B6"/>
              </w:rPr>
              <w:t>General</w:t>
            </w:r>
          </w:p>
        </w:tc>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vMerge w:val="restart"/>
          </w:tcPr>
          <w:p>
            <w:pPr>
              <w:ind w:left="160"/>
              <w:spacing w:after="0"/>
              <w:rPr>
                <w:sz w:val="20"/>
                <w:szCs w:val="20"/>
                <w:color w:val="auto"/>
              </w:rPr>
            </w:pPr>
            <w:r>
              <w:rPr>
                <w:rFonts w:ascii="Arial" w:cs="Arial" w:eastAsia="Arial" w:hAnsi="Arial"/>
                <w:sz w:val="13"/>
                <w:szCs w:val="13"/>
                <w:b w:val="1"/>
                <w:bCs w:val="1"/>
                <w:color w:val="B2B3B6"/>
              </w:rPr>
              <w:t>Corporate</w:t>
            </w:r>
          </w:p>
        </w:tc>
        <w:tc>
          <w:tcPr>
            <w:tcW w:w="920" w:type="dxa"/>
            <w:vAlign w:val="bottom"/>
            <w:vMerge w:val="restart"/>
          </w:tcPr>
          <w:p>
            <w:pPr>
              <w:ind w:left="140"/>
              <w:spacing w:after="0"/>
              <w:rPr>
                <w:sz w:val="20"/>
                <w:szCs w:val="20"/>
                <w:color w:val="auto"/>
              </w:rPr>
            </w:pPr>
            <w:r>
              <w:rPr>
                <w:rFonts w:ascii="Arial" w:cs="Arial" w:eastAsia="Arial" w:hAnsi="Arial"/>
                <w:sz w:val="13"/>
                <w:szCs w:val="13"/>
                <w:b w:val="1"/>
                <w:bCs w:val="1"/>
                <w:color w:val="B2B3B6"/>
              </w:rPr>
              <w:t>Proposal</w:t>
            </w:r>
          </w:p>
        </w:tc>
        <w:tc>
          <w:tcPr>
            <w:tcW w:w="1180" w:type="dxa"/>
            <w:vAlign w:val="bottom"/>
            <w:vMerge w:val="restart"/>
          </w:tcPr>
          <w:p>
            <w:pPr>
              <w:ind w:left="40"/>
              <w:spacing w:after="0"/>
              <w:rPr>
                <w:sz w:val="20"/>
                <w:szCs w:val="20"/>
                <w:color w:val="auto"/>
              </w:rPr>
            </w:pPr>
            <w:r>
              <w:rPr>
                <w:rFonts w:ascii="Arial" w:cs="Arial" w:eastAsia="Arial" w:hAnsi="Arial"/>
                <w:sz w:val="13"/>
                <w:szCs w:val="13"/>
                <w:b w:val="1"/>
                <w:bCs w:val="1"/>
                <w:color w:val="6AAA37"/>
              </w:rPr>
              <w:t>Executive</w:t>
            </w:r>
          </w:p>
        </w:tc>
        <w:tc>
          <w:tcPr>
            <w:tcW w:w="740" w:type="dxa"/>
            <w:vAlign w:val="bottom"/>
            <w:vMerge w:val="restart"/>
          </w:tcPr>
          <w:p>
            <w:pPr>
              <w:ind w:left="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vMerge w:val="restart"/>
          </w:tcPr>
          <w:p>
            <w:pPr>
              <w:ind w:left="140"/>
              <w:spacing w:after="0"/>
              <w:rPr>
                <w:sz w:val="20"/>
                <w:szCs w:val="20"/>
                <w:color w:val="auto"/>
              </w:rPr>
            </w:pPr>
            <w:r>
              <w:rPr>
                <w:rFonts w:ascii="Arial" w:cs="Arial" w:eastAsia="Arial" w:hAnsi="Arial"/>
                <w:sz w:val="13"/>
                <w:szCs w:val="13"/>
                <w:b w:val="1"/>
                <w:bCs w:val="1"/>
                <w:color w:val="B2B3B6"/>
              </w:rPr>
              <w:t>Stockholder</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80" w:type="dxa"/>
            <w:vAlign w:val="bottom"/>
          </w:tcPr>
          <w:p>
            <w:pPr>
              <w:ind w:left="40"/>
              <w:spacing w:after="0"/>
              <w:rPr>
                <w:sz w:val="20"/>
                <w:szCs w:val="20"/>
                <w:color w:val="auto"/>
              </w:rPr>
            </w:pPr>
            <w:r>
              <w:rPr>
                <w:rFonts w:ascii="Arial" w:cs="Arial" w:eastAsia="Arial" w:hAnsi="Arial"/>
                <w:sz w:val="13"/>
                <w:szCs w:val="13"/>
                <w:b w:val="1"/>
                <w:bCs w:val="1"/>
                <w:color w:val="6AAA37"/>
              </w:rPr>
              <w:t>Compensation</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Three</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B2B3B6"/>
                <w:w w:val="90"/>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-168275</wp:posOffset>
            </wp:positionV>
            <wp:extent cx="6810375" cy="8540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8540115"/>
                    </a:xfrm>
                    <a:prstGeom prst="rect">
                      <a:avLst/>
                    </a:prstGeom>
                    <a:noFill/>
                  </pic:spPr>
                </pic:pic>
              </a:graphicData>
            </a:graphic>
          </wp:anchor>
        </w:drawing>
      </w:r>
    </w:p>
    <w:p>
      <w:pPr>
        <w:spacing w:after="0" w:line="2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maintains the deferred compensation plan (the "DCP"), which became effective July 1, 2006, for principals, managing directors, corporate vice presidents, named executive officers and members of the board. The DCP permits eligible employees to defer up to 75% of their base salary and 100% of their annual cash incentive and permits directors to defer up to 100% of their cash compensation. Participants are able to choose from a number of investment alternatives. Earnings are credited based on the returns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be made 12 months prior to the end of the applicable performance period.</w:t>
      </w:r>
    </w:p>
    <w:p>
      <w:pPr>
        <w:spacing w:after="0" w:line="11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Potential Payments Upon Termination or Change of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08"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Agreements</w:t>
      </w:r>
    </w:p>
    <w:p>
      <w:pPr>
        <w:spacing w:after="0" w:line="10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Mr. Hussey's senior management agreement as chief executive officer, effective January 1, 2023, had a three-year initial term which was automatically extended pursuant to the terms of the agreement on January 1, 2026, and will be automatically renewed and extended for an additional year upon each anniversary of the effective date of the agreement unless Mr. Hussey or the Company provides 60 days' advance written notice of the cessation of such automatic renewal. The agreement may be earlier terminated by Mr. Hussey or the Company pursuant to its terms.</w:t>
      </w:r>
    </w:p>
    <w:p>
      <w:pPr>
        <w:spacing w:after="0" w:line="11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Mr. Kelly, Mr. Dail, and Ms. Katz’s senior management agreements, as amended, do not specify an initial term and instead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102"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the Plan and the applicable grant agreements for each of our active NEOs.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20" w:type="dxa"/>
            <w:vAlign w:val="bottom"/>
            <w:shd w:val="clear" w:color="auto" w:fill="00558C"/>
          </w:tcPr>
          <w:p>
            <w:pPr>
              <w:spacing w:after="0"/>
              <w:rPr>
                <w:sz w:val="23"/>
                <w:szCs w:val="23"/>
                <w:color w:val="auto"/>
              </w:rPr>
            </w:pPr>
          </w:p>
        </w:tc>
        <w:tc>
          <w:tcPr>
            <w:tcW w:w="260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Restricted Stock Units and</w:t>
            </w:r>
          </w:p>
        </w:tc>
        <w:tc>
          <w:tcPr>
            <w:tcW w:w="4160" w:type="dxa"/>
            <w:vAlign w:val="bottom"/>
            <w:shd w:val="clear" w:color="auto" w:fill="00558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Event</w:t>
            </w:r>
          </w:p>
        </w:tc>
        <w:tc>
          <w:tcPr>
            <w:tcW w:w="260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Options</w:t>
            </w:r>
          </w:p>
        </w:tc>
        <w:tc>
          <w:tcPr>
            <w:tcW w:w="4160" w:type="dxa"/>
            <w:vAlign w:val="bottom"/>
            <w:shd w:val="clear" w:color="auto" w:fill="00558C"/>
          </w:tcPr>
          <w:p>
            <w:pPr>
              <w:ind w:left="300"/>
              <w:spacing w:after="0"/>
              <w:rPr>
                <w:sz w:val="20"/>
                <w:szCs w:val="20"/>
                <w:color w:val="auto"/>
              </w:rPr>
            </w:pPr>
            <w:r>
              <w:rPr>
                <w:rFonts w:ascii="Arial" w:cs="Arial" w:eastAsia="Arial" w:hAnsi="Arial"/>
                <w:sz w:val="14"/>
                <w:szCs w:val="14"/>
                <w:b w:val="1"/>
                <w:bCs w:val="1"/>
                <w:color w:val="FFFFFF"/>
              </w:rPr>
              <w:t>2023, 2024, and 2025 Performance Stock Units</w:t>
            </w:r>
          </w:p>
        </w:tc>
        <w:tc>
          <w:tcPr>
            <w:tcW w:w="0" w:type="dxa"/>
            <w:vAlign w:val="bottom"/>
          </w:tcPr>
          <w:p>
            <w:pPr>
              <w:spacing w:after="0"/>
              <w:rPr>
                <w:sz w:val="1"/>
                <w:szCs w:val="1"/>
                <w:color w:val="auto"/>
              </w:rPr>
            </w:pPr>
          </w:p>
        </w:tc>
      </w:tr>
      <w:tr>
        <w:trPr>
          <w:trHeight w:val="110"/>
        </w:trPr>
        <w:tc>
          <w:tcPr>
            <w:tcW w:w="2320" w:type="dxa"/>
            <w:vAlign w:val="bottom"/>
            <w:shd w:val="clear" w:color="auto" w:fill="00558C"/>
          </w:tcPr>
          <w:p>
            <w:pPr>
              <w:spacing w:after="0"/>
              <w:rPr>
                <w:sz w:val="9"/>
                <w:szCs w:val="9"/>
                <w:color w:val="auto"/>
              </w:rPr>
            </w:pPr>
          </w:p>
        </w:tc>
        <w:tc>
          <w:tcPr>
            <w:tcW w:w="2600" w:type="dxa"/>
            <w:vAlign w:val="bottom"/>
            <w:shd w:val="clear" w:color="auto" w:fill="00558C"/>
          </w:tcPr>
          <w:p>
            <w:pPr>
              <w:spacing w:after="0"/>
              <w:rPr>
                <w:sz w:val="9"/>
                <w:szCs w:val="9"/>
                <w:color w:val="auto"/>
              </w:rPr>
            </w:pPr>
          </w:p>
        </w:tc>
        <w:tc>
          <w:tcPr>
            <w:tcW w:w="4160" w:type="dxa"/>
            <w:vAlign w:val="bottom"/>
            <w:shd w:val="clear" w:color="auto" w:fill="00558C"/>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32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Normal Vesting</w:t>
            </w:r>
          </w:p>
        </w:tc>
        <w:tc>
          <w:tcPr>
            <w:tcW w:w="2600" w:type="dxa"/>
            <w:vAlign w:val="bottom"/>
            <w:vMerge w:val="restart"/>
            <w:shd w:val="clear" w:color="auto" w:fill="F2F3F2"/>
          </w:tcPr>
          <w:p>
            <w:pPr>
              <w:ind w:left="140"/>
              <w:spacing w:after="0"/>
              <w:rPr>
                <w:sz w:val="20"/>
                <w:szCs w:val="20"/>
                <w:color w:val="auto"/>
              </w:rPr>
            </w:pPr>
            <w:r>
              <w:rPr>
                <w:rFonts w:ascii="Arial" w:cs="Arial" w:eastAsia="Arial" w:hAnsi="Arial"/>
                <w:sz w:val="14"/>
                <w:szCs w:val="14"/>
                <w:color w:val="auto"/>
              </w:rPr>
              <w:t>33% annual vesting over 3 years</w:t>
            </w:r>
          </w:p>
        </w:tc>
        <w:tc>
          <w:tcPr>
            <w:tcW w:w="4160" w:type="dxa"/>
            <w:vAlign w:val="bottom"/>
            <w:shd w:val="clear" w:color="auto" w:fill="F2F3F2"/>
          </w:tcPr>
          <w:p>
            <w:pPr>
              <w:ind w:left="300"/>
              <w:spacing w:after="0"/>
              <w:rPr>
                <w:sz w:val="20"/>
                <w:szCs w:val="20"/>
                <w:color w:val="auto"/>
              </w:rPr>
            </w:pPr>
            <w:r>
              <w:rPr>
                <w:rFonts w:ascii="Arial" w:cs="Arial" w:eastAsia="Arial" w:hAnsi="Arial"/>
                <w:sz w:val="14"/>
                <w:szCs w:val="14"/>
                <w:color w:val="auto"/>
              </w:rPr>
              <w:t>100% of the earned PSUs vest on March 1 of the year</w:t>
            </w:r>
          </w:p>
        </w:tc>
        <w:tc>
          <w:tcPr>
            <w:tcW w:w="0" w:type="dxa"/>
            <w:vAlign w:val="bottom"/>
          </w:tcPr>
          <w:p>
            <w:pPr>
              <w:spacing w:after="0"/>
              <w:rPr>
                <w:sz w:val="1"/>
                <w:szCs w:val="1"/>
                <w:color w:val="auto"/>
              </w:rPr>
            </w:pPr>
          </w:p>
        </w:tc>
      </w:tr>
      <w:tr>
        <w:trPr>
          <w:trHeight w:val="102"/>
        </w:trPr>
        <w:tc>
          <w:tcPr>
            <w:tcW w:w="2320" w:type="dxa"/>
            <w:vAlign w:val="bottom"/>
            <w:vMerge w:val="continue"/>
            <w:shd w:val="clear" w:color="auto" w:fill="F2F3F2"/>
          </w:tcPr>
          <w:p>
            <w:pPr>
              <w:spacing w:after="0"/>
              <w:rPr>
                <w:sz w:val="8"/>
                <w:szCs w:val="8"/>
                <w:color w:val="auto"/>
              </w:rPr>
            </w:pPr>
          </w:p>
        </w:tc>
        <w:tc>
          <w:tcPr>
            <w:tcW w:w="2600" w:type="dxa"/>
            <w:vAlign w:val="bottom"/>
            <w:vMerge w:val="continue"/>
            <w:shd w:val="clear" w:color="auto" w:fill="F2F3F2"/>
          </w:tcPr>
          <w:p>
            <w:pPr>
              <w:spacing w:after="0"/>
              <w:rPr>
                <w:sz w:val="8"/>
                <w:szCs w:val="8"/>
                <w:color w:val="auto"/>
              </w:rPr>
            </w:pPr>
          </w:p>
        </w:tc>
        <w:tc>
          <w:tcPr>
            <w:tcW w:w="4160" w:type="dxa"/>
            <w:vAlign w:val="bottom"/>
            <w:vMerge w:val="restart"/>
            <w:shd w:val="clear" w:color="auto" w:fill="F2F3F2"/>
          </w:tcPr>
          <w:p>
            <w:pPr>
              <w:ind w:left="300"/>
              <w:spacing w:after="0"/>
              <w:rPr>
                <w:sz w:val="20"/>
                <w:szCs w:val="20"/>
                <w:color w:val="auto"/>
              </w:rPr>
            </w:pPr>
            <w:r>
              <w:rPr>
                <w:rFonts w:ascii="Arial" w:cs="Arial" w:eastAsia="Arial" w:hAnsi="Arial"/>
                <w:sz w:val="14"/>
                <w:szCs w:val="14"/>
                <w:color w:val="auto"/>
              </w:rPr>
              <w:t>following the end of the three year performance period.</w:t>
            </w:r>
          </w:p>
        </w:tc>
        <w:tc>
          <w:tcPr>
            <w:tcW w:w="0" w:type="dxa"/>
            <w:vAlign w:val="bottom"/>
          </w:tcPr>
          <w:p>
            <w:pPr>
              <w:spacing w:after="0"/>
              <w:rPr>
                <w:sz w:val="1"/>
                <w:szCs w:val="1"/>
                <w:color w:val="auto"/>
              </w:rPr>
            </w:pPr>
          </w:p>
        </w:tc>
      </w:tr>
      <w:tr>
        <w:trPr>
          <w:trHeight w:val="88"/>
        </w:trPr>
        <w:tc>
          <w:tcPr>
            <w:tcW w:w="2320" w:type="dxa"/>
            <w:vAlign w:val="bottom"/>
            <w:shd w:val="clear" w:color="auto" w:fill="F2F3F2"/>
          </w:tcPr>
          <w:p>
            <w:pPr>
              <w:spacing w:after="0"/>
              <w:rPr>
                <w:sz w:val="7"/>
                <w:szCs w:val="7"/>
                <w:color w:val="auto"/>
              </w:rPr>
            </w:pPr>
          </w:p>
        </w:tc>
        <w:tc>
          <w:tcPr>
            <w:tcW w:w="2600" w:type="dxa"/>
            <w:vAlign w:val="bottom"/>
            <w:shd w:val="clear" w:color="auto" w:fill="F2F3F2"/>
          </w:tcPr>
          <w:p>
            <w:pPr>
              <w:spacing w:after="0"/>
              <w:rPr>
                <w:sz w:val="7"/>
                <w:szCs w:val="7"/>
                <w:color w:val="auto"/>
              </w:rPr>
            </w:pPr>
          </w:p>
        </w:tc>
        <w:tc>
          <w:tcPr>
            <w:tcW w:w="4160" w:type="dxa"/>
            <w:vAlign w:val="bottom"/>
            <w:vMerge w:val="continue"/>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320" w:type="dxa"/>
            <w:vAlign w:val="bottom"/>
            <w:shd w:val="clear" w:color="auto" w:fill="F2F3F2"/>
          </w:tcPr>
          <w:p>
            <w:pPr>
              <w:spacing w:after="0"/>
              <w:rPr>
                <w:sz w:val="8"/>
                <w:szCs w:val="8"/>
                <w:color w:val="auto"/>
              </w:rPr>
            </w:pPr>
          </w:p>
        </w:tc>
        <w:tc>
          <w:tcPr>
            <w:tcW w:w="2600" w:type="dxa"/>
            <w:vAlign w:val="bottom"/>
            <w:shd w:val="clear" w:color="auto" w:fill="F2F3F2"/>
          </w:tcPr>
          <w:p>
            <w:pPr>
              <w:spacing w:after="0"/>
              <w:rPr>
                <w:sz w:val="8"/>
                <w:szCs w:val="8"/>
                <w:color w:val="auto"/>
              </w:rPr>
            </w:pPr>
          </w:p>
        </w:tc>
        <w:tc>
          <w:tcPr>
            <w:tcW w:w="416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Voluntary Termination</w:t>
            </w:r>
          </w:p>
        </w:tc>
        <w:tc>
          <w:tcPr>
            <w:tcW w:w="2600" w:type="dxa"/>
            <w:vAlign w:val="bottom"/>
          </w:tcPr>
          <w:p>
            <w:pPr>
              <w:ind w:left="140"/>
              <w:spacing w:after="0"/>
              <w:rPr>
                <w:sz w:val="20"/>
                <w:szCs w:val="20"/>
                <w:color w:val="auto"/>
              </w:rPr>
            </w:pPr>
            <w:r>
              <w:rPr>
                <w:rFonts w:ascii="Arial" w:cs="Arial" w:eastAsia="Arial" w:hAnsi="Arial"/>
                <w:sz w:val="14"/>
                <w:szCs w:val="14"/>
                <w:color w:val="auto"/>
              </w:rPr>
              <w:t>Forfeit.</w:t>
            </w:r>
          </w:p>
        </w:tc>
        <w:tc>
          <w:tcPr>
            <w:tcW w:w="4160" w:type="dxa"/>
            <w:vAlign w:val="bottom"/>
          </w:tcPr>
          <w:p>
            <w:pPr>
              <w:ind w:left="30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23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Termination for "Cause"</w:t>
            </w:r>
          </w:p>
        </w:tc>
        <w:tc>
          <w:tcPr>
            <w:tcW w:w="2600" w:type="dxa"/>
            <w:vAlign w:val="bottom"/>
            <w:shd w:val="clear" w:color="auto" w:fill="F2F3F2"/>
          </w:tcPr>
          <w:p>
            <w:pPr>
              <w:ind w:left="140"/>
              <w:spacing w:after="0"/>
              <w:rPr>
                <w:sz w:val="20"/>
                <w:szCs w:val="20"/>
                <w:color w:val="auto"/>
              </w:rPr>
            </w:pPr>
            <w:r>
              <w:rPr>
                <w:rFonts w:ascii="Arial" w:cs="Arial" w:eastAsia="Arial" w:hAnsi="Arial"/>
                <w:sz w:val="14"/>
                <w:szCs w:val="14"/>
                <w:color w:val="auto"/>
              </w:rPr>
              <w:t>Forfeit.</w:t>
            </w:r>
          </w:p>
        </w:tc>
        <w:tc>
          <w:tcPr>
            <w:tcW w:w="4160" w:type="dxa"/>
            <w:vAlign w:val="bottom"/>
            <w:shd w:val="clear" w:color="auto" w:fill="F2F3F2"/>
          </w:tcPr>
          <w:p>
            <w:pPr>
              <w:ind w:left="30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110"/>
        </w:trPr>
        <w:tc>
          <w:tcPr>
            <w:tcW w:w="2320" w:type="dxa"/>
            <w:vAlign w:val="bottom"/>
            <w:shd w:val="clear" w:color="auto" w:fill="F2F3F2"/>
          </w:tcPr>
          <w:p>
            <w:pPr>
              <w:spacing w:after="0"/>
              <w:rPr>
                <w:sz w:val="9"/>
                <w:szCs w:val="9"/>
                <w:color w:val="auto"/>
              </w:rPr>
            </w:pPr>
          </w:p>
        </w:tc>
        <w:tc>
          <w:tcPr>
            <w:tcW w:w="2600" w:type="dxa"/>
            <w:vAlign w:val="bottom"/>
            <w:shd w:val="clear" w:color="auto" w:fill="F2F3F2"/>
          </w:tcPr>
          <w:p>
            <w:pPr>
              <w:spacing w:after="0"/>
              <w:rPr>
                <w:sz w:val="9"/>
                <w:szCs w:val="9"/>
                <w:color w:val="auto"/>
              </w:rPr>
            </w:pPr>
          </w:p>
        </w:tc>
        <w:tc>
          <w:tcPr>
            <w:tcW w:w="416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160" w:type="dxa"/>
            <w:vAlign w:val="bottom"/>
          </w:tcPr>
          <w:p>
            <w:pPr>
              <w:ind w:left="300"/>
              <w:spacing w:after="0"/>
              <w:rPr>
                <w:sz w:val="20"/>
                <w:szCs w:val="20"/>
                <w:color w:val="auto"/>
              </w:rPr>
            </w:pPr>
            <w:r>
              <w:rPr>
                <w:rFonts w:ascii="Arial" w:cs="Arial" w:eastAsia="Arial" w:hAnsi="Arial"/>
                <w:sz w:val="14"/>
                <w:szCs w:val="14"/>
                <w:color w:val="auto"/>
              </w:rPr>
              <w:t>Earned based on actual performance and will vest pro</w:t>
            </w:r>
          </w:p>
        </w:tc>
        <w:tc>
          <w:tcPr>
            <w:tcW w:w="0" w:type="dxa"/>
            <w:vAlign w:val="bottom"/>
          </w:tcPr>
          <w:p>
            <w:pPr>
              <w:spacing w:after="0"/>
              <w:rPr>
                <w:sz w:val="1"/>
                <w:szCs w:val="1"/>
                <w:color w:val="auto"/>
              </w:rPr>
            </w:pPr>
          </w:p>
        </w:tc>
      </w:tr>
      <w:tr>
        <w:trPr>
          <w:trHeight w:val="175"/>
        </w:trPr>
        <w:tc>
          <w:tcPr>
            <w:tcW w:w="2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Approved Retirement (comply</w:t>
            </w:r>
          </w:p>
        </w:tc>
        <w:tc>
          <w:tcPr>
            <w:tcW w:w="2600" w:type="dxa"/>
            <w:vAlign w:val="bottom"/>
          </w:tcPr>
          <w:p>
            <w:pPr>
              <w:ind w:left="140"/>
              <w:spacing w:after="0"/>
              <w:rPr>
                <w:sz w:val="20"/>
                <w:szCs w:val="20"/>
                <w:color w:val="auto"/>
              </w:rPr>
            </w:pPr>
            <w:r>
              <w:rPr>
                <w:rFonts w:ascii="Arial" w:cs="Arial" w:eastAsia="Arial" w:hAnsi="Arial"/>
                <w:sz w:val="14"/>
                <w:szCs w:val="14"/>
                <w:color w:val="auto"/>
              </w:rPr>
              <w:t>Subject to non-compete, vesting</w:t>
            </w:r>
          </w:p>
        </w:tc>
        <w:tc>
          <w:tcPr>
            <w:tcW w:w="4160" w:type="dxa"/>
            <w:vAlign w:val="bottom"/>
          </w:tcPr>
          <w:p>
            <w:pPr>
              <w:ind w:left="300"/>
              <w:spacing w:after="0"/>
              <w:rPr>
                <w:sz w:val="20"/>
                <w:szCs w:val="20"/>
                <w:color w:val="auto"/>
              </w:rPr>
            </w:pPr>
            <w:r>
              <w:rPr>
                <w:rFonts w:ascii="Arial" w:cs="Arial" w:eastAsia="Arial" w:hAnsi="Arial"/>
                <w:sz w:val="14"/>
                <w:szCs w:val="14"/>
                <w:color w:val="auto"/>
              </w:rPr>
              <w:t>rata on March 1 of the year following the three year</w:t>
            </w:r>
          </w:p>
        </w:tc>
        <w:tc>
          <w:tcPr>
            <w:tcW w:w="0" w:type="dxa"/>
            <w:vAlign w:val="bottom"/>
          </w:tcPr>
          <w:p>
            <w:pPr>
              <w:spacing w:after="0"/>
              <w:rPr>
                <w:sz w:val="1"/>
                <w:szCs w:val="1"/>
                <w:color w:val="auto"/>
              </w:rPr>
            </w:pPr>
          </w:p>
        </w:tc>
      </w:tr>
      <w:tr>
        <w:trPr>
          <w:trHeight w:val="81"/>
        </w:trPr>
        <w:tc>
          <w:tcPr>
            <w:tcW w:w="2320" w:type="dxa"/>
            <w:vAlign w:val="bottom"/>
            <w:vMerge w:val="continue"/>
          </w:tcPr>
          <w:p>
            <w:pPr>
              <w:spacing w:after="0"/>
              <w:rPr>
                <w:sz w:val="7"/>
                <w:szCs w:val="7"/>
                <w:color w:val="auto"/>
              </w:rPr>
            </w:pPr>
          </w:p>
        </w:tc>
        <w:tc>
          <w:tcPr>
            <w:tcW w:w="2600" w:type="dxa"/>
            <w:vAlign w:val="bottom"/>
            <w:vMerge w:val="restart"/>
          </w:tcPr>
          <w:p>
            <w:pPr>
              <w:ind w:left="140"/>
              <w:spacing w:after="0"/>
              <w:rPr>
                <w:sz w:val="20"/>
                <w:szCs w:val="20"/>
                <w:color w:val="auto"/>
              </w:rPr>
            </w:pPr>
            <w:r>
              <w:rPr>
                <w:rFonts w:ascii="Arial" w:cs="Arial" w:eastAsia="Arial" w:hAnsi="Arial"/>
                <w:sz w:val="14"/>
                <w:szCs w:val="14"/>
                <w:color w:val="auto"/>
              </w:rPr>
              <w:t>continues per normal course post-</w:t>
            </w:r>
          </w:p>
        </w:tc>
        <w:tc>
          <w:tcPr>
            <w:tcW w:w="4160" w:type="dxa"/>
            <w:vAlign w:val="bottom"/>
            <w:vMerge w:val="restart"/>
          </w:tcPr>
          <w:p>
            <w:pPr>
              <w:ind w:left="300"/>
              <w:spacing w:after="0"/>
              <w:rPr>
                <w:sz w:val="20"/>
                <w:szCs w:val="20"/>
                <w:color w:val="auto"/>
              </w:rPr>
            </w:pPr>
            <w:r>
              <w:rPr>
                <w:rFonts w:ascii="Arial" w:cs="Arial" w:eastAsia="Arial" w:hAnsi="Arial"/>
                <w:sz w:val="14"/>
                <w:szCs w:val="14"/>
                <w:color w:val="auto"/>
              </w:rPr>
              <w:t>performance period based on number of days employed</w:t>
            </w:r>
          </w:p>
        </w:tc>
        <w:tc>
          <w:tcPr>
            <w:tcW w:w="0" w:type="dxa"/>
            <w:vAlign w:val="bottom"/>
          </w:tcPr>
          <w:p>
            <w:pPr>
              <w:spacing w:after="0"/>
              <w:rPr>
                <w:sz w:val="1"/>
                <w:szCs w:val="1"/>
                <w:color w:val="auto"/>
              </w:rPr>
            </w:pPr>
          </w:p>
        </w:tc>
      </w:tr>
      <w:tr>
        <w:trPr>
          <w:trHeight w:val="95"/>
        </w:trPr>
        <w:tc>
          <w:tcPr>
            <w:tcW w:w="2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with non-compete provisions)</w:t>
            </w:r>
          </w:p>
        </w:tc>
        <w:tc>
          <w:tcPr>
            <w:tcW w:w="2600" w:type="dxa"/>
            <w:vAlign w:val="bottom"/>
            <w:vMerge w:val="continue"/>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20" w:type="dxa"/>
            <w:vAlign w:val="bottom"/>
            <w:vMerge w:val="continue"/>
          </w:tcPr>
          <w:p>
            <w:pPr>
              <w:spacing w:after="0"/>
              <w:rPr>
                <w:sz w:val="8"/>
                <w:szCs w:val="8"/>
                <w:color w:val="auto"/>
              </w:rPr>
            </w:pPr>
          </w:p>
        </w:tc>
        <w:tc>
          <w:tcPr>
            <w:tcW w:w="2600" w:type="dxa"/>
            <w:vAlign w:val="bottom"/>
            <w:vMerge w:val="restart"/>
          </w:tcPr>
          <w:p>
            <w:pPr>
              <w:ind w:left="140"/>
              <w:spacing w:after="0"/>
              <w:rPr>
                <w:sz w:val="20"/>
                <w:szCs w:val="20"/>
                <w:color w:val="auto"/>
              </w:rPr>
            </w:pPr>
            <w:r>
              <w:rPr>
                <w:rFonts w:ascii="Arial" w:cs="Arial" w:eastAsia="Arial" w:hAnsi="Arial"/>
                <w:sz w:val="14"/>
                <w:szCs w:val="14"/>
                <w:color w:val="auto"/>
              </w:rPr>
              <w:t>retirement.</w:t>
            </w:r>
          </w:p>
        </w:tc>
        <w:tc>
          <w:tcPr>
            <w:tcW w:w="4160" w:type="dxa"/>
            <w:vAlign w:val="bottom"/>
            <w:vMerge w:val="restart"/>
          </w:tcPr>
          <w:p>
            <w:pPr>
              <w:ind w:left="300"/>
              <w:spacing w:after="0"/>
              <w:rPr>
                <w:sz w:val="20"/>
                <w:szCs w:val="20"/>
                <w:color w:val="auto"/>
              </w:rPr>
            </w:pPr>
            <w:r>
              <w:rPr>
                <w:rFonts w:ascii="Arial" w:cs="Arial" w:eastAsia="Arial" w:hAnsi="Arial"/>
                <w:sz w:val="14"/>
                <w:szCs w:val="14"/>
                <w:color w:val="auto"/>
              </w:rPr>
              <w:t>during the performance period. Subject to non-compete,</w:t>
            </w:r>
          </w:p>
        </w:tc>
        <w:tc>
          <w:tcPr>
            <w:tcW w:w="0" w:type="dxa"/>
            <w:vAlign w:val="bottom"/>
          </w:tcPr>
          <w:p>
            <w:pPr>
              <w:spacing w:after="0"/>
              <w:rPr>
                <w:sz w:val="1"/>
                <w:szCs w:val="1"/>
                <w:color w:val="auto"/>
              </w:rPr>
            </w:pPr>
          </w:p>
        </w:tc>
      </w:tr>
      <w:tr>
        <w:trPr>
          <w:trHeight w:val="74"/>
        </w:trPr>
        <w:tc>
          <w:tcPr>
            <w:tcW w:w="2320" w:type="dxa"/>
            <w:vAlign w:val="bottom"/>
          </w:tcPr>
          <w:p>
            <w:pPr>
              <w:spacing w:after="0"/>
              <w:rPr>
                <w:sz w:val="6"/>
                <w:szCs w:val="6"/>
                <w:color w:val="auto"/>
              </w:rPr>
            </w:pPr>
          </w:p>
        </w:tc>
        <w:tc>
          <w:tcPr>
            <w:tcW w:w="2600" w:type="dxa"/>
            <w:vAlign w:val="bottom"/>
            <w:vMerge w:val="continue"/>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160" w:type="dxa"/>
            <w:vAlign w:val="bottom"/>
          </w:tcPr>
          <w:p>
            <w:pPr>
              <w:ind w:left="300"/>
              <w:spacing w:after="0"/>
              <w:rPr>
                <w:sz w:val="20"/>
                <w:szCs w:val="20"/>
                <w:color w:val="auto"/>
              </w:rPr>
            </w:pPr>
            <w:r>
              <w:rPr>
                <w:rFonts w:ascii="Arial" w:cs="Arial" w:eastAsia="Arial" w:hAnsi="Arial"/>
                <w:sz w:val="14"/>
                <w:szCs w:val="14"/>
                <w:color w:val="auto"/>
              </w:rPr>
              <w:t>vesting continues per normal course post-retirement.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56</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18935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1893570"/>
                    </a:xfrm>
                    <a:prstGeom prst="rect">
                      <a:avLst/>
                    </a:prstGeom>
                    <a:noFill/>
                  </pic:spPr>
                </pic:pic>
              </a:graphicData>
            </a:graphic>
          </wp:anchor>
        </w:drawing>
      </w:r>
    </w:p>
    <w:p>
      <w:pPr>
        <w:sectPr>
          <w:pgSz w:w="11900" w:h="16838" w:orient="portrait"/>
          <w:cols w:equalWidth="0" w:num="1">
            <w:col w:w="9080"/>
          </w:cols>
          <w:pgMar w:left="1400" w:top="85"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Governance Two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6AAA37"/>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23" w:lineRule="exact"/>
        <w:rPr>
          <w:sz w:val="20"/>
          <w:szCs w:val="20"/>
          <w:color w:val="auto"/>
        </w:rPr>
      </w:pPr>
    </w:p>
    <w:p>
      <w:pPr>
        <w:sectPr>
          <w:pgSz w:w="11900" w:h="16838" w:orient="portrait"/>
          <w:cols w:equalWidth="0" w:num="4">
            <w:col w:w="1600" w:space="300"/>
            <w:col w:w="1540" w:space="280"/>
            <w:col w:w="880" w:space="320"/>
            <w:col w:w="4160"/>
          </w:cols>
          <w:pgMar w:left="1400" w:top="85"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580" w:type="dxa"/>
            <w:vAlign w:val="bottom"/>
          </w:tcPr>
          <w:p>
            <w:pPr>
              <w:ind w:left="840"/>
              <w:spacing w:after="0"/>
              <w:rPr>
                <w:sz w:val="20"/>
                <w:szCs w:val="20"/>
                <w:color w:val="auto"/>
              </w:rPr>
            </w:pPr>
            <w:r>
              <w:rPr>
                <w:rFonts w:ascii="Arial" w:cs="Arial" w:eastAsia="Arial" w:hAnsi="Arial"/>
                <w:sz w:val="14"/>
                <w:szCs w:val="14"/>
                <w:color w:val="auto"/>
              </w:rPr>
              <w:t>Earned based on actual performance and will vest pro rata</w:t>
            </w:r>
          </w:p>
        </w:tc>
        <w:tc>
          <w:tcPr>
            <w:tcW w:w="0" w:type="dxa"/>
            <w:vAlign w:val="bottom"/>
          </w:tcPr>
          <w:p>
            <w:pPr>
              <w:spacing w:after="0"/>
              <w:rPr>
                <w:sz w:val="1"/>
                <w:szCs w:val="1"/>
                <w:color w:val="auto"/>
              </w:rPr>
            </w:pPr>
          </w:p>
        </w:tc>
      </w:tr>
      <w:tr>
        <w:trPr>
          <w:trHeight w:val="175"/>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Death or Disability</w:t>
            </w:r>
          </w:p>
        </w:tc>
        <w:tc>
          <w:tcPr>
            <w:tcW w:w="2440" w:type="dxa"/>
            <w:vAlign w:val="bottom"/>
            <w:vMerge w:val="restart"/>
          </w:tcPr>
          <w:p>
            <w:pPr>
              <w:ind w:left="520"/>
              <w:spacing w:after="0"/>
              <w:rPr>
                <w:sz w:val="20"/>
                <w:szCs w:val="20"/>
                <w:color w:val="auto"/>
              </w:rPr>
            </w:pPr>
            <w:r>
              <w:rPr>
                <w:rFonts w:ascii="Arial" w:cs="Arial" w:eastAsia="Arial" w:hAnsi="Arial"/>
                <w:sz w:val="14"/>
                <w:szCs w:val="14"/>
                <w:color w:val="auto"/>
              </w:rPr>
              <w:t>Full acceleration.</w:t>
            </w:r>
          </w:p>
        </w:tc>
        <w:tc>
          <w:tcPr>
            <w:tcW w:w="4580" w:type="dxa"/>
            <w:vAlign w:val="bottom"/>
          </w:tcPr>
          <w:p>
            <w:pPr>
              <w:ind w:left="840"/>
              <w:spacing w:after="0"/>
              <w:rPr>
                <w:sz w:val="20"/>
                <w:szCs w:val="20"/>
                <w:color w:val="auto"/>
              </w:rPr>
            </w:pPr>
            <w:r>
              <w:rPr>
                <w:rFonts w:ascii="Arial" w:cs="Arial" w:eastAsia="Arial" w:hAnsi="Arial"/>
                <w:sz w:val="14"/>
                <w:szCs w:val="14"/>
                <w:color w:val="auto"/>
              </w:rPr>
              <w:t>on March 1 of the year following the three year</w:t>
            </w:r>
          </w:p>
        </w:tc>
        <w:tc>
          <w:tcPr>
            <w:tcW w:w="0" w:type="dxa"/>
            <w:vAlign w:val="bottom"/>
          </w:tcPr>
          <w:p>
            <w:pPr>
              <w:spacing w:after="0"/>
              <w:rPr>
                <w:sz w:val="1"/>
                <w:szCs w:val="1"/>
                <w:color w:val="auto"/>
              </w:rPr>
            </w:pPr>
          </w:p>
        </w:tc>
      </w:tr>
      <w:tr>
        <w:trPr>
          <w:trHeight w:val="115"/>
        </w:trPr>
        <w:tc>
          <w:tcPr>
            <w:tcW w:w="180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4580" w:type="dxa"/>
            <w:vAlign w:val="bottom"/>
            <w:vMerge w:val="restart"/>
          </w:tcPr>
          <w:p>
            <w:pPr>
              <w:ind w:left="840"/>
              <w:spacing w:after="0"/>
              <w:rPr>
                <w:sz w:val="20"/>
                <w:szCs w:val="20"/>
                <w:color w:val="auto"/>
              </w:rPr>
            </w:pPr>
            <w:r>
              <w:rPr>
                <w:rFonts w:ascii="Arial" w:cs="Arial" w:eastAsia="Arial" w:hAnsi="Arial"/>
                <w:sz w:val="14"/>
                <w:szCs w:val="14"/>
                <w:color w:val="auto"/>
              </w:rPr>
              <w:t>performance period based on number of days employed</w:t>
            </w:r>
          </w:p>
        </w:tc>
        <w:tc>
          <w:tcPr>
            <w:tcW w:w="0" w:type="dxa"/>
            <w:vAlign w:val="bottom"/>
          </w:tcPr>
          <w:p>
            <w:pPr>
              <w:spacing w:after="0"/>
              <w:rPr>
                <w:sz w:val="1"/>
                <w:szCs w:val="1"/>
                <w:color w:val="auto"/>
              </w:rPr>
            </w:pPr>
          </w:p>
        </w:tc>
      </w:tr>
      <w:tr>
        <w:trPr>
          <w:trHeight w:val="60"/>
        </w:trPr>
        <w:tc>
          <w:tcPr>
            <w:tcW w:w="18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580" w:type="dxa"/>
            <w:vAlign w:val="bottom"/>
          </w:tcPr>
          <w:p>
            <w:pPr>
              <w:ind w:left="840"/>
              <w:spacing w:after="0"/>
              <w:rPr>
                <w:sz w:val="20"/>
                <w:szCs w:val="20"/>
                <w:color w:val="auto"/>
              </w:rPr>
            </w:pPr>
            <w:r>
              <w:rPr>
                <w:rFonts w:ascii="Arial" w:cs="Arial" w:eastAsia="Arial" w:hAnsi="Arial"/>
                <w:sz w:val="14"/>
                <w:szCs w:val="14"/>
                <w:color w:val="auto"/>
              </w:rPr>
              <w:t>during the performance period.</w:t>
            </w:r>
          </w:p>
        </w:tc>
        <w:tc>
          <w:tcPr>
            <w:tcW w:w="0" w:type="dxa"/>
            <w:vAlign w:val="bottom"/>
          </w:tcPr>
          <w:p>
            <w:pPr>
              <w:spacing w:after="0"/>
              <w:rPr>
                <w:sz w:val="1"/>
                <w:szCs w:val="1"/>
                <w:color w:val="auto"/>
              </w:rPr>
            </w:pPr>
          </w:p>
        </w:tc>
      </w:tr>
    </w:tbl>
    <w:p>
      <w:pPr>
        <w:sectPr>
          <w:pgSz w:w="11900" w:h="16838" w:orient="portrait"/>
          <w:cols w:equalWidth="0" w:num="1">
            <w:col w:w="9080"/>
          </w:cols>
          <w:pgMar w:left="1400" w:top="85" w:right="1419" w:bottom="0" w:gutter="0" w:footer="0" w:header="0"/>
          <w:type w:val="continuous"/>
        </w:sectPr>
      </w:pPr>
    </w:p>
    <w:bookmarkStart w:id="58" w:name="page59"/>
    <w:bookmarkEnd w:id="58"/>
    <w:p>
      <w:pPr>
        <w:spacing w:after="0" w:line="73" w:lineRule="exact"/>
        <w:rPr>
          <w:sz w:val="20"/>
          <w:szCs w:val="20"/>
          <w:color w:val="auto"/>
        </w:rPr>
      </w:pPr>
    </w:p>
    <w:p>
      <w:pPr>
        <w:ind w:left="140" w:right="80"/>
        <w:spacing w:after="0" w:line="211" w:lineRule="auto"/>
        <w:rPr>
          <w:sz w:val="20"/>
          <w:szCs w:val="20"/>
          <w:color w:val="auto"/>
        </w:rPr>
      </w:pPr>
      <w:r>
        <w:rPr>
          <w:rFonts w:ascii="Arial" w:cs="Arial" w:eastAsia="Arial" w:hAnsi="Arial"/>
          <w:sz w:val="14"/>
          <w:szCs w:val="14"/>
          <w:b w:val="1"/>
          <w:bCs w:val="1"/>
          <w:color w:val="auto"/>
        </w:rPr>
        <w:t>Involuntary/Good Reason Termination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Event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320" w:type="dxa"/>
            <w:vAlign w:val="bottom"/>
          </w:tcPr>
          <w:p>
            <w:pPr>
              <w:ind w:left="460"/>
              <w:spacing w:after="0"/>
              <w:rPr>
                <w:sz w:val="20"/>
                <w:szCs w:val="20"/>
                <w:color w:val="auto"/>
              </w:rPr>
            </w:pPr>
            <w:r>
              <w:rPr>
                <w:rFonts w:ascii="Arial" w:cs="Arial" w:eastAsia="Arial" w:hAnsi="Arial"/>
                <w:sz w:val="14"/>
                <w:szCs w:val="14"/>
                <w:color w:val="auto"/>
              </w:rPr>
              <w:t>Earned based on actual per  rmance and will vest pro</w:t>
            </w:r>
          </w:p>
        </w:tc>
        <w:tc>
          <w:tcPr>
            <w:tcW w:w="0" w:type="dxa"/>
            <w:vAlign w:val="bottom"/>
          </w:tcPr>
          <w:p>
            <w:pPr>
              <w:spacing w:after="0"/>
              <w:rPr>
                <w:sz w:val="1"/>
                <w:szCs w:val="1"/>
                <w:color w:val="auto"/>
              </w:rPr>
            </w:pPr>
          </w:p>
        </w:tc>
      </w:tr>
      <w:tr>
        <w:trPr>
          <w:trHeight w:val="58"/>
        </w:trPr>
        <w:tc>
          <w:tcPr>
            <w:tcW w:w="860" w:type="dxa"/>
            <w:vAlign w:val="bottom"/>
            <w:vMerge w:val="restart"/>
          </w:tcPr>
          <w:p>
            <w:pPr>
              <w:ind w:left="140"/>
              <w:spacing w:after="0"/>
              <w:rPr>
                <w:sz w:val="20"/>
                <w:szCs w:val="20"/>
                <w:color w:val="auto"/>
              </w:rPr>
            </w:pPr>
            <w:r>
              <w:rPr>
                <w:rFonts w:ascii="Arial" w:cs="Arial" w:eastAsia="Arial" w:hAnsi="Arial"/>
                <w:sz w:val="12"/>
                <w:szCs w:val="12"/>
                <w:b w:val="1"/>
                <w:bCs w:val="1"/>
                <w:color w:val="FFFFFF"/>
                <w:w w:val="72"/>
              </w:rPr>
              <w:t>Restricted</w:t>
            </w:r>
            <w:r>
              <w:rPr>
                <w:rFonts w:ascii="Arial" w:cs="Arial" w:eastAsia="Arial" w:hAnsi="Arial"/>
                <w:sz w:val="12"/>
                <w:szCs w:val="12"/>
                <w:color w:val="000000"/>
                <w:w w:val="72"/>
              </w:rPr>
              <w:t>Forfeit.</w:t>
            </w:r>
          </w:p>
        </w:tc>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Stock Units and</w:t>
            </w:r>
          </w:p>
        </w:tc>
        <w:tc>
          <w:tcPr>
            <w:tcW w:w="4320" w:type="dxa"/>
            <w:vAlign w:val="bottom"/>
          </w:tcPr>
          <w:p>
            <w:pPr>
              <w:ind w:left="460"/>
              <w:spacing w:after="0" w:line="59" w:lineRule="exact"/>
              <w:rPr>
                <w:sz w:val="20"/>
                <w:szCs w:val="20"/>
                <w:color w:val="auto"/>
              </w:rPr>
            </w:pPr>
            <w:r>
              <w:rPr>
                <w:rFonts w:ascii="Arial" w:cs="Arial" w:eastAsia="Arial" w:hAnsi="Arial"/>
                <w:sz w:val="6"/>
                <w:szCs w:val="6"/>
                <w:color w:val="auto"/>
              </w:rPr>
              <w:t xml:space="preserve">rata on March 1 of the year </w:t>
            </w:r>
            <w:r>
              <w:rPr>
                <w:rFonts w:ascii="Arial" w:cs="Arial" w:eastAsia="Arial" w:hAnsi="Arial"/>
                <w:sz w:val="6"/>
                <w:szCs w:val="6"/>
                <w:b w:val="1"/>
                <w:bCs w:val="1"/>
                <w:color w:val="auto"/>
              </w:rPr>
              <w:t>fo</w:t>
            </w:r>
            <w:r>
              <w:rPr>
                <w:rFonts w:ascii="Arial" w:cs="Arial" w:eastAsia="Arial" w:hAnsi="Arial"/>
                <w:sz w:val="6"/>
                <w:szCs w:val="6"/>
                <w:color w:val="auto"/>
              </w:rPr>
              <w:t>llowing the three year</w:t>
            </w:r>
          </w:p>
        </w:tc>
        <w:tc>
          <w:tcPr>
            <w:tcW w:w="0" w:type="dxa"/>
            <w:vAlign w:val="bottom"/>
          </w:tcPr>
          <w:p>
            <w:pPr>
              <w:spacing w:after="0"/>
              <w:rPr>
                <w:sz w:val="1"/>
                <w:szCs w:val="1"/>
                <w:color w:val="auto"/>
              </w:rPr>
            </w:pPr>
          </w:p>
        </w:tc>
      </w:tr>
      <w:tr>
        <w:trPr>
          <w:trHeight w:val="144"/>
        </w:trPr>
        <w:tc>
          <w:tcPr>
            <w:tcW w:w="8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4320" w:type="dxa"/>
            <w:vAlign w:val="bottom"/>
          </w:tcPr>
          <w:p>
            <w:pPr>
              <w:ind w:left="460"/>
              <w:spacing w:after="0" w:line="145" w:lineRule="exact"/>
              <w:rPr>
                <w:sz w:val="20"/>
                <w:szCs w:val="20"/>
                <w:color w:val="auto"/>
              </w:rPr>
            </w:pPr>
            <w:r>
              <w:rPr>
                <w:rFonts w:ascii="Arial" w:cs="Arial" w:eastAsia="Arial" w:hAnsi="Arial"/>
                <w:sz w:val="14"/>
                <w:szCs w:val="14"/>
                <w:color w:val="auto"/>
              </w:rPr>
              <w:t>performance period based on number of days employed</w:t>
            </w:r>
          </w:p>
        </w:tc>
        <w:tc>
          <w:tcPr>
            <w:tcW w:w="0" w:type="dxa"/>
            <w:vAlign w:val="bottom"/>
          </w:tcPr>
          <w:p>
            <w:pPr>
              <w:spacing w:after="0"/>
              <w:rPr>
                <w:sz w:val="1"/>
                <w:szCs w:val="1"/>
                <w:color w:val="auto"/>
              </w:rPr>
            </w:pPr>
          </w:p>
        </w:tc>
      </w:tr>
      <w:tr>
        <w:trPr>
          <w:trHeight w:val="94"/>
        </w:trPr>
        <w:tc>
          <w:tcPr>
            <w:tcW w:w="860" w:type="dxa"/>
            <w:vAlign w:val="bottom"/>
          </w:tcPr>
          <w:p>
            <w:pPr>
              <w:ind w:left="140"/>
              <w:spacing w:after="0" w:line="95" w:lineRule="exact"/>
              <w:rPr>
                <w:sz w:val="20"/>
                <w:szCs w:val="20"/>
                <w:color w:val="auto"/>
              </w:rPr>
            </w:pPr>
            <w:r>
              <w:rPr>
                <w:rFonts w:ascii="Arial" w:cs="Arial" w:eastAsia="Arial" w:hAnsi="Arial"/>
                <w:sz w:val="10"/>
                <w:szCs w:val="10"/>
                <w:b w:val="1"/>
                <w:bCs w:val="1"/>
                <w:color w:val="FFFFFF"/>
              </w:rPr>
              <w:t>Options</w:t>
            </w:r>
          </w:p>
        </w:tc>
        <w:tc>
          <w:tcPr>
            <w:tcW w:w="1580" w:type="dxa"/>
            <w:vAlign w:val="bottom"/>
          </w:tcPr>
          <w:p>
            <w:pPr>
              <w:spacing w:after="0"/>
              <w:rPr>
                <w:sz w:val="8"/>
                <w:szCs w:val="8"/>
                <w:color w:val="auto"/>
              </w:rPr>
            </w:pPr>
          </w:p>
        </w:tc>
        <w:tc>
          <w:tcPr>
            <w:tcW w:w="4320" w:type="dxa"/>
            <w:vAlign w:val="bottom"/>
          </w:tcPr>
          <w:p>
            <w:pPr>
              <w:ind w:left="460"/>
              <w:spacing w:after="0" w:line="95" w:lineRule="exact"/>
              <w:rPr>
                <w:sz w:val="20"/>
                <w:szCs w:val="20"/>
                <w:color w:val="auto"/>
              </w:rPr>
            </w:pPr>
            <w:r>
              <w:rPr>
                <w:rFonts w:ascii="Arial" w:cs="Arial" w:eastAsia="Arial" w:hAnsi="Arial"/>
                <w:sz w:val="10"/>
                <w:szCs w:val="10"/>
                <w:b w:val="1"/>
                <w:bCs w:val="1"/>
                <w:color w:val="FFFFFF"/>
              </w:rPr>
              <w:t>2023, 2024, and 2025 Performance Stock Units</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320" w:type="dxa"/>
            <w:vAlign w:val="bottom"/>
          </w:tcPr>
          <w:p>
            <w:pPr>
              <w:ind w:left="460"/>
              <w:spacing w:after="0"/>
              <w:rPr>
                <w:sz w:val="20"/>
                <w:szCs w:val="20"/>
                <w:color w:val="auto"/>
              </w:rPr>
            </w:pPr>
            <w:r>
              <w:rPr>
                <w:rFonts w:ascii="Arial" w:cs="Arial" w:eastAsia="Arial" w:hAnsi="Arial"/>
                <w:sz w:val="14"/>
                <w:szCs w:val="14"/>
                <w:color w:val="auto"/>
              </w:rPr>
              <w:t>during the performance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-367665</wp:posOffset>
            </wp:positionV>
            <wp:extent cx="6810375" cy="6962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0375" cy="6962775"/>
                    </a:xfrm>
                    <a:prstGeom prst="rect">
                      <a:avLst/>
                    </a:prstGeom>
                    <a:noFill/>
                  </pic:spPr>
                </pic:pic>
              </a:graphicData>
            </a:graphic>
          </wp:anchor>
        </w:drawing>
      </w:r>
    </w:p>
    <w:p>
      <w:pPr>
        <w:spacing w:after="0" w:line="180" w:lineRule="exact"/>
        <w:rPr>
          <w:sz w:val="20"/>
          <w:szCs w:val="20"/>
          <w:color w:val="auto"/>
        </w:rPr>
      </w:pPr>
    </w:p>
    <w:p>
      <w:pPr>
        <w:sectPr>
          <w:pgSz w:w="11900" w:h="16867" w:orient="portrait"/>
          <w:cols w:equalWidth="0" w:num="2">
            <w:col w:w="1600" w:space="720"/>
            <w:col w:w="6760"/>
          </w:cols>
          <w:pgMar w:left="1400" w:top="10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0" w:right="440"/>
        <w:spacing w:after="0" w:line="314" w:lineRule="auto"/>
        <w:rPr>
          <w:sz w:val="20"/>
          <w:szCs w:val="20"/>
          <w:color w:val="auto"/>
        </w:rPr>
      </w:pPr>
      <w:r>
        <w:rPr>
          <w:rFonts w:ascii="Arial" w:cs="Arial" w:eastAsia="Arial" w:hAnsi="Arial"/>
          <w:sz w:val="14"/>
          <w:szCs w:val="14"/>
          <w:b w:val="1"/>
          <w:bCs w:val="1"/>
          <w:color w:val="auto"/>
        </w:rPr>
        <w:t>Change of Control ("COC"), No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line="268" w:lineRule="auto"/>
        <w:rPr>
          <w:sz w:val="20"/>
          <w:szCs w:val="20"/>
          <w:color w:val="auto"/>
        </w:rPr>
      </w:pPr>
      <w:r>
        <w:rPr>
          <w:rFonts w:ascii="Arial" w:cs="Arial" w:eastAsia="Arial" w:hAnsi="Arial"/>
          <w:sz w:val="14"/>
          <w:szCs w:val="14"/>
          <w:b w:val="1"/>
          <w:bCs w:val="1"/>
          <w:color w:val="auto"/>
        </w:rPr>
        <w:t>Involuntary/COC Good Reason Termination (A) 24 Months Post-COC, or (B) Within 12 Months Prior to COC Reasonably Attributable to COC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No vesting impact, may be assumed by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Full acceleration.</w:t>
      </w:r>
    </w:p>
    <w:p>
      <w:pPr>
        <w:spacing w:after="0" w:line="20" w:lineRule="exact"/>
        <w:rPr>
          <w:sz w:val="20"/>
          <w:szCs w:val="20"/>
          <w:color w:val="auto"/>
        </w:rPr>
      </w:pPr>
      <w:r>
        <w:rPr>
          <w:sz w:val="20"/>
          <w:szCs w:val="20"/>
          <w:color w:val="auto"/>
        </w:rPr>
        <w:br w:type="column"/>
      </w:r>
    </w:p>
    <w:p>
      <w:pPr>
        <w:ind w:right="180"/>
        <w:spacing w:after="0" w:line="283" w:lineRule="auto"/>
        <w:rPr>
          <w:sz w:val="20"/>
          <w:szCs w:val="20"/>
          <w:color w:val="auto"/>
        </w:rPr>
      </w:pPr>
      <w:r>
        <w:rPr>
          <w:rFonts w:ascii="Arial" w:cs="Arial" w:eastAsia="Arial" w:hAnsi="Arial"/>
          <w:sz w:val="14"/>
          <w:szCs w:val="14"/>
          <w:color w:val="auto"/>
        </w:rPr>
        <w:t>If assumed by acquirer and converts shares into right to receive equivalent value shares in new entity then vesting continues per normal course.</w:t>
      </w:r>
    </w:p>
    <w:p>
      <w:pPr>
        <w:spacing w:after="0" w:line="119" w:lineRule="exact"/>
        <w:rPr>
          <w:sz w:val="20"/>
          <w:szCs w:val="20"/>
          <w:color w:val="auto"/>
        </w:rPr>
      </w:pPr>
    </w:p>
    <w:p>
      <w:pPr>
        <w:jc w:val="both"/>
        <w:ind w:right="200"/>
        <w:spacing w:after="0" w:line="266" w:lineRule="auto"/>
        <w:rPr>
          <w:sz w:val="20"/>
          <w:szCs w:val="20"/>
          <w:color w:val="auto"/>
        </w:rPr>
      </w:pPr>
      <w:r>
        <w:rPr>
          <w:rFonts w:ascii="Arial" w:cs="Arial" w:eastAsia="Arial" w:hAnsi="Arial"/>
          <w:sz w:val="14"/>
          <w:szCs w:val="14"/>
          <w:color w:val="auto"/>
        </w:rPr>
        <w:t>If not assumed by acquirer or acquirer does not convert shares into right to receive equivalent value in shares of new entity and the COC occurs during the performance period, then the PSUs will vest at the greater of target or the level dictated by actual performance at the time of the COC.</w:t>
      </w:r>
    </w:p>
    <w:p>
      <w:pPr>
        <w:spacing w:after="0" w:line="144"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If not assumed by acquirer or acquirer does not convert shares into a right to receive equivalent value in shares of the new entity and the COC occurs after the performance period, then the PSUs will vest at the greater of target or the level dictated by actual performance at the time of the COC.</w:t>
      </w:r>
    </w:p>
    <w:p>
      <w:pPr>
        <w:spacing w:after="0" w:line="144"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If not assumed by acquirer or acquirer does not convert shares into a right to receive equivalent value in shares of the new entity, one share of Company common stock will be exchanged for each vested PSU and such common stock will receive the consideration paid by the acquirer in the COC.</w:t>
      </w:r>
    </w:p>
    <w:p>
      <w:pPr>
        <w:spacing w:after="0" w:line="200" w:lineRule="exact"/>
        <w:rPr>
          <w:sz w:val="20"/>
          <w:szCs w:val="20"/>
          <w:color w:val="auto"/>
        </w:rPr>
      </w:pPr>
    </w:p>
    <w:p>
      <w:pPr>
        <w:spacing w:after="0" w:line="295" w:lineRule="exact"/>
        <w:rPr>
          <w:sz w:val="20"/>
          <w:szCs w:val="20"/>
          <w:color w:val="auto"/>
        </w:rPr>
      </w:pPr>
    </w:p>
    <w:p>
      <w:pPr>
        <w:ind w:right="600"/>
        <w:spacing w:after="0" w:line="305" w:lineRule="auto"/>
        <w:rPr>
          <w:sz w:val="20"/>
          <w:szCs w:val="20"/>
          <w:color w:val="auto"/>
        </w:rPr>
      </w:pPr>
      <w:r>
        <w:rPr>
          <w:rFonts w:ascii="Arial" w:cs="Arial" w:eastAsia="Arial" w:hAnsi="Arial"/>
          <w:sz w:val="14"/>
          <w:szCs w:val="14"/>
          <w:color w:val="auto"/>
        </w:rPr>
        <w:t>Shares shall immediately fully vest at the greater of target or level dictated by actual performance.</w:t>
      </w:r>
    </w:p>
    <w:p>
      <w:pPr>
        <w:spacing w:after="0" w:line="531" w:lineRule="exact"/>
        <w:rPr>
          <w:sz w:val="20"/>
          <w:szCs w:val="20"/>
          <w:color w:val="auto"/>
        </w:rPr>
      </w:pPr>
    </w:p>
    <w:p>
      <w:pPr>
        <w:sectPr>
          <w:pgSz w:w="11900" w:h="16867" w:orient="portrait"/>
          <w:cols w:equalWidth="0" w:num="3">
            <w:col w:w="2260" w:space="200"/>
            <w:col w:w="2500" w:space="260"/>
            <w:col w:w="3860"/>
          </w:cols>
          <w:pgMar w:left="1400" w:top="100" w:right="1419" w:bottom="0" w:gutter="0" w:footer="0" w:header="0"/>
          <w:type w:val="continuous"/>
        </w:sectPr>
      </w:pPr>
    </w:p>
    <w:p>
      <w:pPr>
        <w:spacing w:after="0" w:line="107"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 treatment of unvested equity awards granted to Mr. Hussey in the event of termination did not change with the execution of his senior management agreement as a chief executive officer, which was effective January 1,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95"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auto"/>
        </w:rPr>
        <w:t>Mr. Hussey, Mr. Kelly, Mr. Dail, and Ms. Katz are eligible to participate in the Company’s various health and welfare benefit plans for its similarly situated key management employees.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 on Termination</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applicable restricted period set forth in the senior management agreements of all executive officers, except for Mr. Dail, such executive officers may not directly or indirectly (i) hire any employees of the Company or solicit, induce or encourage any employee of the Company or any client of the Company to leave, alter or cease his/her/its relationship with the Company or (ii) provide services that are the same as or similar to those offered by the Company to any client of the Company that he obtained as a client for the Company, to whom he or she provided services within the 12 months preceding termination of employment, or to whom he or she submitted a proposal during the six months prior to termination of employment. The restricted period for each executive officer, except for Mr. Dail, following termination of employment is the longer of (a) the</w:t>
      </w: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57</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470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037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8" w:lineRule="exact"/>
        <w:rPr>
          <w:sz w:val="20"/>
          <w:szCs w:val="20"/>
          <w:color w:val="auto"/>
        </w:rPr>
      </w:pPr>
    </w:p>
    <w:p>
      <w:pPr>
        <w:ind w:right="840"/>
        <w:spacing w:after="0" w:line="321" w:lineRule="auto"/>
        <w:rPr>
          <w:sz w:val="20"/>
          <w:szCs w:val="20"/>
          <w:color w:val="auto"/>
        </w:rPr>
      </w:pPr>
      <w:r>
        <w:rPr>
          <w:rFonts w:ascii="Arial" w:cs="Arial" w:eastAsia="Arial" w:hAnsi="Arial"/>
          <w:sz w:val="16"/>
          <w:szCs w:val="16"/>
          <w:color w:val="auto"/>
        </w:rPr>
        <w:t>period for which such executive officer is entitled to receive severance payments pursuant to the terms of his or her employment agreement and (b) 12 months following termination of such executive officer's employment.</w:t>
      </w:r>
    </w:p>
    <w:p>
      <w:pPr>
        <w:spacing w:after="0" w:line="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Mr. Dail's senior management agreement, during his employment with the Company he may not directly or indirectly solicit, induce or encourage any employee or other personnel of the Company or any client or other business relation to leave, alter or cease his/her/its relationship with the Company. In addition, for a period of 12 months following termination of his employment with the Company, he may not interfere with the Company's business relationship with a Company employee that Mr. Dail worked with and gained trade secret information about by soliciting such an employee of the Company to terminate employment with the Company for the benefit of any other business.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All executives are also subject to a confidentiality and non-disclosure covenant.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Definition of "Change of Control"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 Change of Control is defined in each of the executive's senior management agreements as:</w:t>
      </w:r>
    </w:p>
    <w:p>
      <w:pPr>
        <w:spacing w:after="0" w:line="127"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6"/>
          <w:szCs w:val="16"/>
          <w:b w:val="1"/>
          <w:bCs w:val="1"/>
          <w:color w:val="6AAA37"/>
        </w:rPr>
      </w:pPr>
      <w:r>
        <w:rPr>
          <w:rFonts w:ascii="Arial" w:cs="Arial" w:eastAsia="Arial" w:hAnsi="Arial"/>
          <w:sz w:val="16"/>
          <w:szCs w:val="16"/>
          <w:color w:val="auto"/>
        </w:rPr>
        <w:t>any person becomes a beneficial owner of 40% or more of the Company’s outstanding securities;</w:t>
      </w:r>
    </w:p>
    <w:p>
      <w:pPr>
        <w:spacing w:after="0" w:line="126" w:lineRule="exact"/>
        <w:rPr>
          <w:rFonts w:ascii="Arial" w:cs="Arial" w:eastAsia="Arial" w:hAnsi="Arial"/>
          <w:sz w:val="16"/>
          <w:szCs w:val="16"/>
          <w:b w:val="1"/>
          <w:bCs w:val="1"/>
          <w:color w:val="6AAA37"/>
        </w:rPr>
      </w:pPr>
    </w:p>
    <w:p>
      <w:pPr>
        <w:ind w:left="180" w:right="220" w:hanging="172"/>
        <w:spacing w:after="0" w:line="301" w:lineRule="auto"/>
        <w:tabs>
          <w:tab w:leader="none" w:pos="180" w:val="left"/>
        </w:tabs>
        <w:numPr>
          <w:ilvl w:val="0"/>
          <w:numId w:val="71"/>
        </w:numPr>
        <w:rPr>
          <w:rFonts w:ascii="Arial" w:cs="Arial" w:eastAsia="Arial" w:hAnsi="Arial"/>
          <w:sz w:val="16"/>
          <w:szCs w:val="16"/>
          <w:b w:val="1"/>
          <w:bCs w:val="1"/>
          <w:color w:val="6AAA37"/>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w:t>
      </w:r>
    </w:p>
    <w:p>
      <w:pPr>
        <w:sectPr>
          <w:pgSz w:w="11900" w:h="16867" w:orient="portrait"/>
          <w:cols w:equalWidth="0" w:num="1">
            <w:col w:w="9080"/>
          </w:cols>
          <w:pgMar w:left="1400" w:top="100" w:right="1419" w:bottom="0" w:gutter="0" w:footer="0" w:header="0"/>
          <w:type w:val="continuous"/>
        </w:sectPr>
      </w:pPr>
    </w:p>
    <w:bookmarkStart w:id="59" w:name="page60"/>
    <w:bookmarkEnd w:id="59"/>
    <w:p>
      <w:pPr>
        <w:ind w:left="180" w:right="660"/>
        <w:spacing w:after="0" w:line="235" w:lineRule="auto"/>
        <w:rPr>
          <w:sz w:val="20"/>
          <w:szCs w:val="20"/>
          <w:color w:val="auto"/>
        </w:rPr>
      </w:pPr>
      <w:r>
        <w:rPr>
          <w:rFonts w:ascii="Arial" w:cs="Arial" w:eastAsia="Arial" w:hAnsi="Arial"/>
          <w:sz w:val="16"/>
          <w:szCs w:val="16"/>
          <w:color w:val="auto"/>
        </w:rPr>
        <w:t>existing security holders becomes a beneficial owner representing 50% or more of the Company’s then outstanding securities; or (c) the merger does not represent a sale of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-211455</wp:posOffset>
            </wp:positionV>
            <wp:extent cx="6810375" cy="5385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0375" cy="5385435"/>
                    </a:xfrm>
                    <a:prstGeom prst="rect">
                      <a:avLst/>
                    </a:prstGeom>
                    <a:noFill/>
                  </pic:spPr>
                </pic:pic>
              </a:graphicData>
            </a:graphic>
          </wp:anchor>
        </w:drawing>
      </w:r>
    </w:p>
    <w:p>
      <w:pPr>
        <w:spacing w:after="0" w:line="77"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the stockholders approve a plan of complete liquidation or dissolution; or</w:t>
      </w:r>
    </w:p>
    <w:p>
      <w:pPr>
        <w:spacing w:after="0" w:line="126" w:lineRule="exact"/>
        <w:rPr>
          <w:rFonts w:ascii="Arial" w:cs="Arial" w:eastAsia="Arial" w:hAnsi="Arial"/>
          <w:sz w:val="16"/>
          <w:szCs w:val="16"/>
          <w:b w:val="1"/>
          <w:bCs w:val="1"/>
          <w:color w:val="6AAA37"/>
        </w:rPr>
      </w:pPr>
    </w:p>
    <w:p>
      <w:pPr>
        <w:ind w:left="180" w:right="300" w:hanging="172"/>
        <w:spacing w:after="0" w:line="321" w:lineRule="auto"/>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stockholders of Huron.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Definition of "Good Reason"</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definition of "Good Reason" is defined under all of the senior management agreements to mean a resignation following: (i) a failure to comply with any material term of the agreement by the Company; (ii) a material reduction in base salary or benefits coverage, provided that such reduction is without his or her consent, is not warranted by the Company’s financial condition, and is not a change that applies uniformly to similarly situated Company executives; or in the case of the senior management agreements for Mr. Hussey, Mr. Kelly, and Ms. Katz (iii) a change in primary location of employment to a location that is more than 50 miles from Chicago, Illinois. The senior management agreements provide the Company the right to cure prior to a senior executive’s resignation for Good Reason.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Definition of "Good Reason" in Relation to a Change of Control</w:t>
      </w:r>
    </w:p>
    <w:p>
      <w:pPr>
        <w:spacing w:after="0" w:line="140"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Under each of the executive's senior management agreements, a Change of Control Good Reason occurs if certain adverse changes occur in anticipation of, or within 24 months following, a Change of Control including:</w:t>
      </w:r>
    </w:p>
    <w:p>
      <w:pPr>
        <w:spacing w:after="0" w:line="88"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113" w:lineRule="exact"/>
        <w:rPr>
          <w:rFonts w:ascii="Arial" w:cs="Arial" w:eastAsia="Arial" w:hAnsi="Arial"/>
          <w:sz w:val="16"/>
          <w:szCs w:val="16"/>
          <w:color w:val="auto"/>
        </w:rPr>
      </w:pPr>
    </w:p>
    <w:p>
      <w:pPr>
        <w:jc w:val="both"/>
        <w:ind w:left="660" w:right="240" w:hanging="328"/>
        <w:spacing w:after="0" w:line="310"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material reduction in his or her base salary or target bonus, other than in connection with an across-the-board reduction in base salaries applicable in like proportions to all similarly situated executives of the Company and any direct or indirect parent of the Company;</w:t>
      </w:r>
    </w:p>
    <w:p>
      <w:pPr>
        <w:spacing w:after="0" w:line="43" w:lineRule="exact"/>
        <w:rPr>
          <w:rFonts w:ascii="Arial" w:cs="Arial" w:eastAsia="Arial" w:hAnsi="Arial"/>
          <w:sz w:val="16"/>
          <w:szCs w:val="16"/>
          <w:color w:val="auto"/>
        </w:rPr>
      </w:pPr>
    </w:p>
    <w:p>
      <w:pPr>
        <w:ind w:left="660" w:hanging="328"/>
        <w:spacing w:after="0" w:line="30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or her position and responsibilities described in the senior management agreement, (which in the case of Mr. Hussey, specifically includes assignment of a position other than as chief executive officer of the ultimate parent surviving company); or</w:t>
      </w:r>
    </w:p>
    <w:p>
      <w:pPr>
        <w:spacing w:after="0" w:line="50" w:lineRule="exact"/>
        <w:rPr>
          <w:rFonts w:ascii="Arial" w:cs="Arial" w:eastAsia="Arial" w:hAnsi="Arial"/>
          <w:sz w:val="16"/>
          <w:szCs w:val="16"/>
          <w:color w:val="auto"/>
        </w:rPr>
      </w:pPr>
    </w:p>
    <w:p>
      <w:pPr>
        <w:ind w:left="660" w:right="60" w:hanging="328"/>
        <w:spacing w:after="0" w:line="30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 (or, in the case of Mr. Dail, from the executive’s agreed upon primary place of employment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58</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50482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0375" cy="504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without Cause or Resignation for Good Reason</w:t>
      </w:r>
    </w:p>
    <w:p>
      <w:pPr>
        <w:spacing w:after="0" w:line="95"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If any of the executives is terminated without Cause or resigns for Good Reason, as defined in his or her senior management agreement, upon executing a general release and waiver, the Company is obligated to pay severance and continuation of benefits in varying amounts. In addition, executives will receive pro rata vesting of performance stock units that would otherwise have been earned in the performance period.</w:t>
      </w:r>
    </w:p>
    <w:p>
      <w:pPr>
        <w:spacing w:after="0" w:line="106"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2025:</w:t>
      </w:r>
    </w:p>
    <w:p>
      <w:pPr>
        <w:sectPr>
          <w:pgSz w:w="11900" w:h="16838" w:orient="portrait"/>
          <w:cols w:equalWidth="0" w:num="1">
            <w:col w:w="9080"/>
          </w:cols>
          <w:pgMar w:left="1400" w:top="114" w:right="1419" w:bottom="0" w:gutter="0" w:footer="0" w:header="0"/>
        </w:sect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Executive</w:t>
      </w:r>
    </w:p>
    <w:p>
      <w:pPr>
        <w:spacing w:after="0" w:line="200" w:lineRule="exact"/>
        <w:rPr>
          <w:sz w:val="20"/>
          <w:szCs w:val="20"/>
          <w:color w:val="auto"/>
        </w:rPr>
      </w:pPr>
    </w:p>
    <w:p>
      <w:pPr>
        <w:spacing w:after="0" w:line="3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C. Mark Hussey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John D. Kelly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 Ronald Dail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Hope Katz</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Severance Benefits</w:t>
      </w:r>
    </w:p>
    <w:p>
      <w:pPr>
        <w:spacing w:after="0" w:line="298"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An amount in cash equal to two times the sum of his then current annual base salary and his then current target bonus; pro rata bonus in the year of termination based on actual results; 24 months’ continuation of medical insurance; and pro rata vesting of performance stock units that would otherwise have been earned in the performance period. Severance amounts are payable in a lump sum.</w:t>
      </w:r>
    </w:p>
    <w:p>
      <w:pPr>
        <w:spacing w:after="0" w:line="26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 termination based on actual results; 12 months’ continuation of medical insurance; and pro rata vesting of performance stock units that would otherwise have been earned in the performance period. Severance amounts are payable in a lump sum.</w:t>
      </w:r>
    </w:p>
    <w:p>
      <w:pPr>
        <w:spacing w:after="0" w:line="264"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 termination based on actual results; 12 months’ continuation of medical insurance; and pro rata vesting of performance stock units that would otherwise have been earned in the performance period. Severance amounts are payable in a lump sum.</w:t>
      </w:r>
    </w:p>
    <w:p>
      <w:pPr>
        <w:spacing w:after="0" w:line="26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An amount in cash equal to the sum of her then current annual base salary and her then current target bonus; pro rata bonus in the year of termination based on actual results; 12 months’ continuation of medical insurance; and pro rata vesting of performance stock units that would otherwise have been earned in the performance period. Severance amounts are payable in a lump sum.</w:t>
      </w:r>
    </w:p>
    <w:p>
      <w:pPr>
        <w:spacing w:after="0" w:line="200" w:lineRule="exact"/>
        <w:rPr>
          <w:sz w:val="20"/>
          <w:szCs w:val="20"/>
          <w:color w:val="auto"/>
        </w:rPr>
      </w:pPr>
    </w:p>
    <w:p>
      <w:pPr>
        <w:sectPr>
          <w:pgSz w:w="11900" w:h="16838" w:orient="portrait"/>
          <w:cols w:equalWidth="0" w:num="2">
            <w:col w:w="1260" w:space="720"/>
            <w:col w:w="7100"/>
          </w:cols>
          <w:pgMar w:left="1400" w:top="114" w:right="1419" w:bottom="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Under the applicable equity award agreements, in the event an executive qualifies for an approved retirement and signs a non-</w:t>
      </w:r>
    </w:p>
    <w:p>
      <w:pPr>
        <w:sectPr>
          <w:pgSz w:w="11900" w:h="16838" w:orient="portrait"/>
          <w:cols w:equalWidth="0" w:num="1">
            <w:col w:w="9080"/>
          </w:cols>
          <w:pgMar w:left="1400" w:top="114" w:right="1419" w:bottom="0" w:gutter="0" w:footer="0" w:header="0"/>
          <w:type w:val="continuous"/>
        </w:sectPr>
      </w:pPr>
    </w:p>
    <w:bookmarkStart w:id="60" w:name="page61"/>
    <w:bookmarkEnd w:id="60"/>
    <w:p>
      <w:pPr>
        <w:spacing w:after="0" w:line="245" w:lineRule="auto"/>
        <w:rPr>
          <w:sz w:val="20"/>
          <w:szCs w:val="20"/>
          <w:color w:val="auto"/>
        </w:rPr>
      </w:pPr>
      <w:r>
        <w:rPr>
          <w:rFonts w:ascii="Arial" w:cs="Arial" w:eastAsia="Arial" w:hAnsi="Arial"/>
          <w:sz w:val="16"/>
          <w:szCs w:val="16"/>
          <w:color w:val="auto"/>
        </w:rPr>
        <w:t>compete agreement, he or she would receive continued vesting of his or her stock options, restricted stock and restricted stock units. There would be no acceleration, but the equity would continue to vest per the schedule as outlined in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-221615</wp:posOffset>
            </wp:positionV>
            <wp:extent cx="6810375" cy="38080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10375" cy="3808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agreements.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Due to Death or Disability</w:t>
      </w:r>
    </w:p>
    <w:p>
      <w:pPr>
        <w:spacing w:after="0" w:line="108"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Under each of the senior management agreements, if any of our executives dies or becomes disabled, his or her estate will receive payment of base salary and a pro rata bonus at target through the date of termination. The executive and/or his or her eligible dependents shall receive continuation of medical benefits for six months. In addition, unvested time-based equity outstanding will vest and unvested performance-based awards will vest in accordance with the applicable grant agreement.</w:t>
      </w:r>
    </w:p>
    <w:p>
      <w:pPr>
        <w:spacing w:after="0" w:line="88" w:lineRule="exact"/>
        <w:rPr>
          <w:sz w:val="20"/>
          <w:szCs w:val="20"/>
          <w:color w:val="auto"/>
        </w:rPr>
      </w:pPr>
    </w:p>
    <w:p>
      <w:pPr>
        <w:ind w:right="1000"/>
        <w:spacing w:after="0" w:line="296" w:lineRule="auto"/>
        <w:rPr>
          <w:sz w:val="20"/>
          <w:szCs w:val="20"/>
          <w:color w:val="auto"/>
        </w:rPr>
      </w:pPr>
      <w:r>
        <w:rPr>
          <w:rFonts w:ascii="Arial" w:cs="Arial" w:eastAsia="Arial" w:hAnsi="Arial"/>
          <w:sz w:val="18"/>
          <w:szCs w:val="18"/>
          <w:b w:val="1"/>
          <w:bCs w:val="1"/>
          <w:color w:val="auto"/>
        </w:rPr>
        <w:t>Termination of Employment Due to Termination other than for Resignation for Good Reason or Due to Cause</w:t>
      </w:r>
    </w:p>
    <w:p>
      <w:pPr>
        <w:spacing w:after="0" w:line="21"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No severance or benefits are paid if an executive officer’s employment is terminated for Cause or the executive resigns other than for Good Reason as defined in the executive’s senior management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without Cause or Resignation for Good Reason Related to a Change of Control</w:t>
      </w:r>
    </w:p>
    <w:p>
      <w:pPr>
        <w:spacing w:after="0" w:line="1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any of our executives is terminated without Cause or resigns for Change of Control Good Reason, in either case, within 24 months following a Change of Control (or within 12 months prior to a Change of Control if the executive reasonably demonstrates that the termination of his or her employment without Cause or his or her resignation for an event which, had it occurred following a Change of Control, would have constituted Change of Control Good Reason, was attributable to or otherwise in contemplation of a Change of Control), as defined in his or her senior management agreement, upon executing a general release and waiver, the Company is obligated to pay severance and continuation of benefits in varying amounts.</w:t>
      </w:r>
    </w:p>
    <w:p>
      <w:pPr>
        <w:spacing w:after="0" w:line="200" w:lineRule="exact"/>
        <w:rPr>
          <w:sz w:val="20"/>
          <w:szCs w:val="20"/>
          <w:color w:val="auto"/>
        </w:rPr>
      </w:pPr>
    </w:p>
    <w:p>
      <w:pPr>
        <w:spacing w:after="0" w:line="31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59</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6625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10375" cy="662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8"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2025:</w:t>
      </w:r>
    </w:p>
    <w:p>
      <w:pPr>
        <w:sectPr>
          <w:pgSz w:w="11900" w:h="16838" w:orient="portrait"/>
          <w:cols w:equalWidth="0" w:num="1">
            <w:col w:w="9080"/>
          </w:cols>
          <w:pgMar w:left="1400" w:top="114" w:right="1419" w:bottom="249" w:gutter="0" w:footer="0" w:header="0"/>
        </w:sect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Executive</w:t>
      </w:r>
    </w:p>
    <w:p>
      <w:pPr>
        <w:spacing w:after="0" w:line="200" w:lineRule="exact"/>
        <w:rPr>
          <w:sz w:val="20"/>
          <w:szCs w:val="20"/>
          <w:color w:val="auto"/>
        </w:rPr>
      </w:pPr>
    </w:p>
    <w:p>
      <w:pPr>
        <w:spacing w:after="0" w:line="3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C. Mark Hussey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John D. Kelly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 Ronald Dail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Hope Katz</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Severance Benefits</w:t>
      </w:r>
    </w:p>
    <w:p>
      <w:pPr>
        <w:spacing w:after="0" w:line="298"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An amount in cash equal to two and one-half times the sum of his then current annual base salary and his then current target bonus; pro rata target bonus in the year of termination; 30 months’ continuation of medical insurance; and accelerated vesting of all outstanding equity grants that were awarded at or prior to the time of the Change of Control. Severance amounts are payable in a lump sum.</w:t>
      </w:r>
    </w:p>
    <w:p>
      <w:pPr>
        <w:spacing w:after="0" w:line="264"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 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64"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 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64"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An amount in cash equal to one and one-half times the sum of her then current annual base salary and her then current target bonus; pro 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0" w:lineRule="exact"/>
        <w:rPr>
          <w:sz w:val="20"/>
          <w:szCs w:val="20"/>
          <w:color w:val="auto"/>
        </w:rPr>
      </w:pPr>
    </w:p>
    <w:p>
      <w:pPr>
        <w:sectPr>
          <w:pgSz w:w="11900" w:h="16838" w:orient="portrait"/>
          <w:cols w:equalWidth="0" w:num="2">
            <w:col w:w="1260" w:space="720"/>
            <w:col w:w="7100"/>
          </w:cols>
          <w:pgMar w:left="1400" w:top="114" w:right="1419" w:bottom="249"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Golden Parachute Cutback</w:t>
      </w:r>
    </w:p>
    <w:p>
      <w:pPr>
        <w:spacing w:after="0" w:line="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All executive senior management agreements provide that, if any amount, right or benefit paid or payable to the executive under his or her senior management agreement or any other plan, program or arrangement would constitute an "excess parachute payment" under Section 280G of the Code, subject to the excise tax imposed by Section 4999 of the Code, then the amount of payments payable to the executive under his senior management agreement will be reduced to the extent necessary so that no portion of such payments is subject to such excise tax.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0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2025,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ectPr>
          <w:pgSz w:w="11900" w:h="16838" w:orient="portrait"/>
          <w:cols w:equalWidth="0" w:num="1">
            <w:col w:w="9080"/>
          </w:cols>
          <w:pgMar w:left="1400" w:top="114" w:right="1419" w:bottom="249" w:gutter="0" w:footer="0" w:header="0"/>
          <w:type w:val="continuous"/>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230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10375" cy="223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60</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202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10375" cy="8202930"/>
                    </a:xfrm>
                    <a:prstGeom prst="rect">
                      <a:avLst/>
                    </a:prstGeom>
                    <a:noFill/>
                  </pic:spPr>
                </pic:pic>
              </a:graphicData>
            </a:graphic>
          </wp:anchor>
        </w:drawing>
      </w:r>
    </w:p>
    <w:p>
      <w:pPr>
        <w:sectPr>
          <w:pgSz w:w="11900" w:h="16838" w:orient="portrait"/>
          <w:cols w:equalWidth="0" w:num="1">
            <w:col w:w="9080"/>
          </w:cols>
          <w:pgMar w:left="1400" w:top="14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Proposal Stockholder Other Governance Two </w:t>
      </w:r>
      <w:r>
        <w:rPr>
          <w:rFonts w:ascii="Arial" w:cs="Arial" w:eastAsia="Arial" w:hAnsi="Arial"/>
          <w:sz w:val="13"/>
          <w:szCs w:val="13"/>
          <w:b w:val="1"/>
          <w:bCs w:val="1"/>
          <w:color w:val="6AAA37"/>
        </w:rPr>
        <w:t>Compensation</w:t>
      </w:r>
      <w:r>
        <w:rPr>
          <w:rFonts w:ascii="Arial" w:cs="Arial" w:eastAsia="Arial" w:hAnsi="Arial"/>
          <w:sz w:val="13"/>
          <w:szCs w:val="13"/>
          <w:b w:val="1"/>
          <w:bCs w:val="1"/>
          <w:color w:val="B2B3B6"/>
        </w:rPr>
        <w:t xml:space="preserve"> Three Proposals Matters</w:t>
      </w:r>
    </w:p>
    <w:p>
      <w:pPr>
        <w:spacing w:after="0" w:line="200" w:lineRule="exact"/>
        <w:rPr>
          <w:sz w:val="20"/>
          <w:szCs w:val="20"/>
          <w:color w:val="auto"/>
        </w:rPr>
      </w:pPr>
    </w:p>
    <w:p>
      <w:pPr>
        <w:sectPr>
          <w:pgSz w:w="11900" w:h="16838" w:orient="portrait"/>
          <w:cols w:equalWidth="0" w:num="2">
            <w:col w:w="1600" w:space="300"/>
            <w:col w:w="7180"/>
          </w:cols>
          <w:pgMar w:left="1400" w:top="1440" w:right="1419" w:bottom="0" w:gutter="0" w:footer="0" w:header="0"/>
          <w:type w:val="continuous"/>
        </w:sectPr>
      </w:pPr>
    </w:p>
    <w:p>
      <w:pPr>
        <w:spacing w:after="0" w:line="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2025 and uses a share price of $172.91, the closing price of our stock on December 31, 2025, the last trading day of the fiscal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120" w:type="dxa"/>
            <w:vAlign w:val="bottom"/>
            <w:shd w:val="clear" w:color="auto" w:fill="00558C"/>
          </w:tcPr>
          <w:p>
            <w:pPr>
              <w:spacing w:after="0"/>
              <w:rPr>
                <w:sz w:val="24"/>
                <w:szCs w:val="24"/>
                <w:color w:val="auto"/>
              </w:rPr>
            </w:pPr>
          </w:p>
        </w:tc>
        <w:tc>
          <w:tcPr>
            <w:tcW w:w="1880" w:type="dxa"/>
            <w:vAlign w:val="bottom"/>
            <w:shd w:val="clear" w:color="auto" w:fill="00558C"/>
          </w:tcPr>
          <w:p>
            <w:pPr>
              <w:spacing w:after="0"/>
              <w:rPr>
                <w:sz w:val="24"/>
                <w:szCs w:val="24"/>
                <w:color w:val="auto"/>
              </w:rPr>
            </w:pPr>
          </w:p>
        </w:tc>
        <w:tc>
          <w:tcPr>
            <w:tcW w:w="1120" w:type="dxa"/>
            <w:vAlign w:val="bottom"/>
            <w:shd w:val="clear" w:color="auto" w:fill="00558C"/>
          </w:tcPr>
          <w:p>
            <w:pPr>
              <w:spacing w:after="0"/>
              <w:rPr>
                <w:sz w:val="24"/>
                <w:szCs w:val="24"/>
                <w:color w:val="auto"/>
              </w:rPr>
            </w:pPr>
          </w:p>
        </w:tc>
        <w:tc>
          <w:tcPr>
            <w:tcW w:w="1620" w:type="dxa"/>
            <w:vAlign w:val="bottom"/>
            <w:shd w:val="clear" w:color="auto" w:fill="00558C"/>
          </w:tcPr>
          <w:p>
            <w:pPr>
              <w:jc w:val="right"/>
              <w:ind w:right="89"/>
              <w:spacing w:after="0"/>
              <w:rPr>
                <w:sz w:val="20"/>
                <w:szCs w:val="20"/>
                <w:color w:val="auto"/>
              </w:rPr>
            </w:pPr>
            <w:r>
              <w:rPr>
                <w:rFonts w:ascii="Arial" w:cs="Arial" w:eastAsia="Arial" w:hAnsi="Arial"/>
                <w:sz w:val="14"/>
                <w:szCs w:val="14"/>
                <w:b w:val="1"/>
                <w:bCs w:val="1"/>
                <w:color w:val="FFFFFF"/>
              </w:rPr>
              <w:t>Termination</w:t>
            </w:r>
          </w:p>
        </w:tc>
        <w:tc>
          <w:tcPr>
            <w:tcW w:w="1440" w:type="dxa"/>
            <w:vAlign w:val="bottom"/>
            <w:shd w:val="clear" w:color="auto" w:fill="00558C"/>
          </w:tcPr>
          <w:p>
            <w:pPr>
              <w:spacing w:after="0"/>
              <w:rPr>
                <w:sz w:val="24"/>
                <w:szCs w:val="24"/>
                <w:color w:val="auto"/>
              </w:rPr>
            </w:pPr>
          </w:p>
        </w:tc>
        <w:tc>
          <w:tcPr>
            <w:tcW w:w="1900" w:type="dxa"/>
            <w:vAlign w:val="bottom"/>
            <w:shd w:val="clear" w:color="auto" w:fill="00558C"/>
          </w:tcPr>
          <w:p>
            <w:pPr>
              <w:jc w:val="right"/>
              <w:ind w:right="188"/>
              <w:spacing w:after="0"/>
              <w:rPr>
                <w:sz w:val="20"/>
                <w:szCs w:val="20"/>
                <w:color w:val="auto"/>
              </w:rPr>
            </w:pPr>
            <w:r>
              <w:rPr>
                <w:rFonts w:ascii="Arial" w:cs="Arial" w:eastAsia="Arial" w:hAnsi="Arial"/>
                <w:sz w:val="14"/>
                <w:szCs w:val="14"/>
                <w:b w:val="1"/>
                <w:bCs w:val="1"/>
                <w:color w:val="FFFFFF"/>
              </w:rPr>
              <w:t>Involuntary</w:t>
            </w:r>
          </w:p>
        </w:tc>
      </w:tr>
      <w:tr>
        <w:trPr>
          <w:trHeight w:val="175"/>
        </w:trPr>
        <w:tc>
          <w:tcPr>
            <w:tcW w:w="1120" w:type="dxa"/>
            <w:vAlign w:val="bottom"/>
            <w:shd w:val="clear" w:color="auto" w:fill="00558C"/>
          </w:tcPr>
          <w:p>
            <w:pPr>
              <w:spacing w:after="0"/>
              <w:rPr>
                <w:sz w:val="15"/>
                <w:szCs w:val="15"/>
                <w:color w:val="auto"/>
              </w:rPr>
            </w:pPr>
          </w:p>
        </w:tc>
        <w:tc>
          <w:tcPr>
            <w:tcW w:w="1880" w:type="dxa"/>
            <w:vAlign w:val="bottom"/>
            <w:shd w:val="clear" w:color="auto" w:fill="00558C"/>
          </w:tcPr>
          <w:p>
            <w:pPr>
              <w:spacing w:after="0"/>
              <w:rPr>
                <w:sz w:val="15"/>
                <w:szCs w:val="15"/>
                <w:color w:val="auto"/>
              </w:rPr>
            </w:pPr>
          </w:p>
        </w:tc>
        <w:tc>
          <w:tcPr>
            <w:tcW w:w="1120" w:type="dxa"/>
            <w:vAlign w:val="bottom"/>
            <w:shd w:val="clear" w:color="auto" w:fill="00558C"/>
          </w:tcPr>
          <w:p>
            <w:pPr>
              <w:jc w:val="right"/>
              <w:ind w:right="72"/>
              <w:spacing w:after="0"/>
              <w:rPr>
                <w:sz w:val="20"/>
                <w:szCs w:val="20"/>
                <w:color w:val="auto"/>
              </w:rPr>
            </w:pPr>
            <w:r>
              <w:rPr>
                <w:rFonts w:ascii="Arial" w:cs="Arial" w:eastAsia="Arial" w:hAnsi="Arial"/>
                <w:sz w:val="14"/>
                <w:szCs w:val="14"/>
                <w:b w:val="1"/>
                <w:bCs w:val="1"/>
                <w:color w:val="FFFFFF"/>
              </w:rPr>
              <w:t>Voluntary</w:t>
            </w:r>
          </w:p>
        </w:tc>
        <w:tc>
          <w:tcPr>
            <w:tcW w:w="1620" w:type="dxa"/>
            <w:vAlign w:val="bottom"/>
            <w:shd w:val="clear" w:color="auto" w:fill="00558C"/>
          </w:tcPr>
          <w:p>
            <w:pPr>
              <w:jc w:val="right"/>
              <w:ind w:right="109"/>
              <w:spacing w:after="0"/>
              <w:rPr>
                <w:sz w:val="20"/>
                <w:szCs w:val="20"/>
                <w:color w:val="auto"/>
              </w:rPr>
            </w:pPr>
            <w:r>
              <w:rPr>
                <w:rFonts w:ascii="Arial" w:cs="Arial" w:eastAsia="Arial" w:hAnsi="Arial"/>
                <w:sz w:val="14"/>
                <w:szCs w:val="14"/>
                <w:b w:val="1"/>
                <w:bCs w:val="1"/>
                <w:color w:val="FFFFFF"/>
              </w:rPr>
              <w:t>without Cause or</w:t>
            </w:r>
          </w:p>
        </w:tc>
        <w:tc>
          <w:tcPr>
            <w:tcW w:w="1440" w:type="dxa"/>
            <w:vAlign w:val="bottom"/>
            <w:shd w:val="clear" w:color="auto" w:fill="00558C"/>
          </w:tcPr>
          <w:p>
            <w:pPr>
              <w:jc w:val="right"/>
              <w:ind w:right="70"/>
              <w:spacing w:after="0"/>
              <w:rPr>
                <w:sz w:val="20"/>
                <w:szCs w:val="20"/>
                <w:color w:val="auto"/>
              </w:rPr>
            </w:pPr>
            <w:r>
              <w:rPr>
                <w:rFonts w:ascii="Arial" w:cs="Arial" w:eastAsia="Arial" w:hAnsi="Arial"/>
                <w:sz w:val="14"/>
                <w:szCs w:val="14"/>
                <w:b w:val="1"/>
                <w:bCs w:val="1"/>
                <w:color w:val="FFFFFF"/>
              </w:rPr>
              <w:t>Permanent</w:t>
            </w:r>
          </w:p>
        </w:tc>
        <w:tc>
          <w:tcPr>
            <w:tcW w:w="1900" w:type="dxa"/>
            <w:vAlign w:val="bottom"/>
            <w:shd w:val="clear" w:color="auto" w:fill="00558C"/>
          </w:tcPr>
          <w:p>
            <w:pPr>
              <w:jc w:val="right"/>
              <w:ind w:right="208"/>
              <w:spacing w:after="0"/>
              <w:rPr>
                <w:sz w:val="20"/>
                <w:szCs w:val="20"/>
                <w:color w:val="auto"/>
              </w:rPr>
            </w:pPr>
            <w:r>
              <w:rPr>
                <w:rFonts w:ascii="Arial" w:cs="Arial" w:eastAsia="Arial" w:hAnsi="Arial"/>
                <w:sz w:val="14"/>
                <w:szCs w:val="14"/>
                <w:b w:val="1"/>
                <w:bCs w:val="1"/>
                <w:color w:val="FFFFFF"/>
              </w:rPr>
              <w:t>Termination</w:t>
            </w:r>
          </w:p>
        </w:tc>
      </w:tr>
      <w:tr>
        <w:trPr>
          <w:trHeight w:val="176"/>
        </w:trPr>
        <w:tc>
          <w:tcPr>
            <w:tcW w:w="1120" w:type="dxa"/>
            <w:vAlign w:val="bottom"/>
            <w:shd w:val="clear" w:color="auto" w:fill="00558C"/>
          </w:tcPr>
          <w:p>
            <w:pPr>
              <w:spacing w:after="0"/>
              <w:rPr>
                <w:sz w:val="15"/>
                <w:szCs w:val="15"/>
                <w:color w:val="auto"/>
              </w:rPr>
            </w:pPr>
          </w:p>
        </w:tc>
        <w:tc>
          <w:tcPr>
            <w:tcW w:w="1880" w:type="dxa"/>
            <w:vAlign w:val="bottom"/>
            <w:shd w:val="clear" w:color="auto" w:fill="00558C"/>
          </w:tcPr>
          <w:p>
            <w:pPr>
              <w:spacing w:after="0"/>
              <w:rPr>
                <w:sz w:val="15"/>
                <w:szCs w:val="15"/>
                <w:color w:val="auto"/>
              </w:rPr>
            </w:pPr>
          </w:p>
        </w:tc>
        <w:tc>
          <w:tcPr>
            <w:tcW w:w="1120" w:type="dxa"/>
            <w:vAlign w:val="bottom"/>
            <w:shd w:val="clear" w:color="auto" w:fill="00558C"/>
          </w:tcPr>
          <w:p>
            <w:pPr>
              <w:jc w:val="right"/>
              <w:ind w:right="92"/>
              <w:spacing w:after="0"/>
              <w:rPr>
                <w:sz w:val="20"/>
                <w:szCs w:val="20"/>
                <w:color w:val="auto"/>
              </w:rPr>
            </w:pPr>
            <w:r>
              <w:rPr>
                <w:rFonts w:ascii="Arial" w:cs="Arial" w:eastAsia="Arial" w:hAnsi="Arial"/>
                <w:sz w:val="14"/>
                <w:szCs w:val="14"/>
                <w:b w:val="1"/>
                <w:bCs w:val="1"/>
                <w:color w:val="FFFFFF"/>
              </w:rPr>
              <w:t>Termination/</w:t>
            </w:r>
          </w:p>
        </w:tc>
        <w:tc>
          <w:tcPr>
            <w:tcW w:w="1620" w:type="dxa"/>
            <w:vAlign w:val="bottom"/>
            <w:shd w:val="clear" w:color="auto" w:fill="00558C"/>
          </w:tcPr>
          <w:p>
            <w:pPr>
              <w:jc w:val="right"/>
              <w:ind w:right="89"/>
              <w:spacing w:after="0"/>
              <w:rPr>
                <w:sz w:val="20"/>
                <w:szCs w:val="20"/>
                <w:color w:val="auto"/>
              </w:rPr>
            </w:pPr>
            <w:r>
              <w:rPr>
                <w:rFonts w:ascii="Arial" w:cs="Arial" w:eastAsia="Arial" w:hAnsi="Arial"/>
                <w:sz w:val="14"/>
                <w:szCs w:val="14"/>
                <w:b w:val="1"/>
                <w:bCs w:val="1"/>
                <w:color w:val="FFFFFF"/>
              </w:rPr>
              <w:t>resignation for</w:t>
            </w:r>
          </w:p>
        </w:tc>
        <w:tc>
          <w:tcPr>
            <w:tcW w:w="1440" w:type="dxa"/>
            <w:vAlign w:val="bottom"/>
            <w:shd w:val="clear" w:color="auto" w:fill="00558C"/>
          </w:tcPr>
          <w:p>
            <w:pPr>
              <w:jc w:val="right"/>
              <w:ind w:right="50"/>
              <w:spacing w:after="0"/>
              <w:rPr>
                <w:sz w:val="20"/>
                <w:szCs w:val="20"/>
                <w:color w:val="auto"/>
              </w:rPr>
            </w:pPr>
            <w:r>
              <w:rPr>
                <w:rFonts w:ascii="Arial" w:cs="Arial" w:eastAsia="Arial" w:hAnsi="Arial"/>
                <w:sz w:val="14"/>
                <w:szCs w:val="14"/>
                <w:b w:val="1"/>
                <w:bCs w:val="1"/>
                <w:color w:val="FFFFFF"/>
              </w:rPr>
              <w:t>Disability or</w:t>
            </w:r>
          </w:p>
        </w:tc>
        <w:tc>
          <w:tcPr>
            <w:tcW w:w="1900" w:type="dxa"/>
            <w:vAlign w:val="bottom"/>
            <w:shd w:val="clear" w:color="auto" w:fill="00558C"/>
          </w:tcPr>
          <w:p>
            <w:pPr>
              <w:jc w:val="right"/>
              <w:ind w:right="228"/>
              <w:spacing w:after="0"/>
              <w:rPr>
                <w:sz w:val="20"/>
                <w:szCs w:val="20"/>
                <w:color w:val="auto"/>
              </w:rPr>
            </w:pPr>
            <w:r>
              <w:rPr>
                <w:rFonts w:ascii="Arial" w:cs="Arial" w:eastAsia="Arial" w:hAnsi="Arial"/>
                <w:sz w:val="14"/>
                <w:szCs w:val="14"/>
                <w:b w:val="1"/>
                <w:bCs w:val="1"/>
                <w:color w:val="FFFFFF"/>
              </w:rPr>
              <w:t>Following Change</w:t>
            </w:r>
          </w:p>
        </w:tc>
      </w:tr>
      <w:tr>
        <w:trPr>
          <w:trHeight w:val="176"/>
        </w:trPr>
        <w:tc>
          <w:tcPr>
            <w:tcW w:w="1120" w:type="dxa"/>
            <w:vAlign w:val="bottom"/>
            <w:shd w:val="clear" w:color="auto" w:fill="00558C"/>
          </w:tcPr>
          <w:p>
            <w:pPr>
              <w:spacing w:after="0"/>
              <w:rPr>
                <w:sz w:val="15"/>
                <w:szCs w:val="15"/>
                <w:color w:val="auto"/>
              </w:rPr>
            </w:pPr>
          </w:p>
        </w:tc>
        <w:tc>
          <w:tcPr>
            <w:tcW w:w="1880" w:type="dxa"/>
            <w:vAlign w:val="bottom"/>
            <w:shd w:val="clear" w:color="auto" w:fill="00558C"/>
          </w:tcPr>
          <w:p>
            <w:pPr>
              <w:spacing w:after="0"/>
              <w:rPr>
                <w:sz w:val="15"/>
                <w:szCs w:val="15"/>
                <w:color w:val="auto"/>
              </w:rPr>
            </w:pPr>
          </w:p>
        </w:tc>
        <w:tc>
          <w:tcPr>
            <w:tcW w:w="1120" w:type="dxa"/>
            <w:vAlign w:val="bottom"/>
            <w:shd w:val="clear" w:color="auto" w:fill="00558C"/>
          </w:tcPr>
          <w:p>
            <w:pPr>
              <w:jc w:val="right"/>
              <w:ind w:right="72"/>
              <w:spacing w:after="0"/>
              <w:rPr>
                <w:sz w:val="20"/>
                <w:szCs w:val="20"/>
                <w:color w:val="auto"/>
              </w:rPr>
            </w:pPr>
            <w:r>
              <w:rPr>
                <w:rFonts w:ascii="Arial" w:cs="Arial" w:eastAsia="Arial" w:hAnsi="Arial"/>
                <w:sz w:val="14"/>
                <w:szCs w:val="14"/>
                <w:b w:val="1"/>
                <w:bCs w:val="1"/>
                <w:color w:val="FFFFFF"/>
              </w:rPr>
              <w:t>Retirement</w:t>
            </w:r>
          </w:p>
        </w:tc>
        <w:tc>
          <w:tcPr>
            <w:tcW w:w="1620" w:type="dxa"/>
            <w:vAlign w:val="bottom"/>
            <w:shd w:val="clear" w:color="auto" w:fill="00558C"/>
          </w:tcPr>
          <w:p>
            <w:pPr>
              <w:jc w:val="right"/>
              <w:ind w:right="49"/>
              <w:spacing w:after="0"/>
              <w:rPr>
                <w:sz w:val="20"/>
                <w:szCs w:val="20"/>
                <w:color w:val="auto"/>
              </w:rPr>
            </w:pPr>
            <w:r>
              <w:rPr>
                <w:rFonts w:ascii="Arial" w:cs="Arial" w:eastAsia="Arial" w:hAnsi="Arial"/>
                <w:sz w:val="14"/>
                <w:szCs w:val="14"/>
                <w:b w:val="1"/>
                <w:bCs w:val="1"/>
                <w:color w:val="FFFFFF"/>
              </w:rPr>
              <w:t>Good Reason</w:t>
            </w:r>
          </w:p>
        </w:tc>
        <w:tc>
          <w:tcPr>
            <w:tcW w:w="1440" w:type="dxa"/>
            <w:vAlign w:val="bottom"/>
            <w:shd w:val="clear" w:color="auto" w:fill="00558C"/>
          </w:tcPr>
          <w:p>
            <w:pPr>
              <w:jc w:val="right"/>
              <w:ind w:right="30"/>
              <w:spacing w:after="0"/>
              <w:rPr>
                <w:sz w:val="20"/>
                <w:szCs w:val="20"/>
                <w:color w:val="auto"/>
              </w:rPr>
            </w:pPr>
            <w:r>
              <w:rPr>
                <w:rFonts w:ascii="Arial" w:cs="Arial" w:eastAsia="Arial" w:hAnsi="Arial"/>
                <w:sz w:val="14"/>
                <w:szCs w:val="14"/>
                <w:b w:val="1"/>
                <w:bCs w:val="1"/>
                <w:color w:val="FFFFFF"/>
              </w:rPr>
              <w:t>Death</w:t>
            </w:r>
          </w:p>
        </w:tc>
        <w:tc>
          <w:tcPr>
            <w:tcW w:w="1900" w:type="dxa"/>
            <w:vAlign w:val="bottom"/>
            <w:shd w:val="clear" w:color="auto" w:fill="00558C"/>
          </w:tcPr>
          <w:p>
            <w:pPr>
              <w:jc w:val="right"/>
              <w:ind w:right="168"/>
              <w:spacing w:after="0"/>
              <w:rPr>
                <w:sz w:val="20"/>
                <w:szCs w:val="20"/>
                <w:color w:val="auto"/>
              </w:rPr>
            </w:pPr>
            <w:r>
              <w:rPr>
                <w:rFonts w:ascii="Arial" w:cs="Arial" w:eastAsia="Arial" w:hAnsi="Arial"/>
                <w:sz w:val="14"/>
                <w:szCs w:val="14"/>
                <w:b w:val="1"/>
                <w:bCs w:val="1"/>
                <w:color w:val="FFFFFF"/>
              </w:rPr>
              <w:t>of Control</w:t>
            </w:r>
          </w:p>
        </w:tc>
      </w:tr>
      <w:tr>
        <w:trPr>
          <w:trHeight w:val="196"/>
        </w:trPr>
        <w:tc>
          <w:tcPr>
            <w:tcW w:w="11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880" w:type="dxa"/>
            <w:vAlign w:val="bottom"/>
            <w:shd w:val="clear" w:color="auto" w:fill="00558C"/>
          </w:tcPr>
          <w:p>
            <w:pPr>
              <w:ind w:left="120"/>
              <w:spacing w:after="0"/>
              <w:rPr>
                <w:sz w:val="20"/>
                <w:szCs w:val="20"/>
                <w:color w:val="auto"/>
              </w:rPr>
            </w:pPr>
            <w:r>
              <w:rPr>
                <w:rFonts w:ascii="Arial" w:cs="Arial" w:eastAsia="Arial" w:hAnsi="Arial"/>
                <w:sz w:val="14"/>
                <w:szCs w:val="14"/>
                <w:b w:val="1"/>
                <w:bCs w:val="1"/>
                <w:color w:val="FFFFFF"/>
              </w:rPr>
              <w:t>Benefit</w:t>
            </w:r>
          </w:p>
        </w:tc>
        <w:tc>
          <w:tcPr>
            <w:tcW w:w="112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0558C"/>
          </w:tcPr>
          <w:p>
            <w:pPr>
              <w:jc w:val="right"/>
              <w:ind w:right="9"/>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1900" w:type="dxa"/>
            <w:vAlign w:val="bottom"/>
            <w:shd w:val="clear" w:color="auto" w:fill="00558C"/>
          </w:tcPr>
          <w:p>
            <w:pPr>
              <w:jc w:val="right"/>
              <w:ind w:right="108"/>
              <w:spacing w:after="0"/>
              <w:rPr>
                <w:sz w:val="20"/>
                <w:szCs w:val="20"/>
                <w:color w:val="auto"/>
              </w:rPr>
            </w:pPr>
            <w:r>
              <w:rPr>
                <w:rFonts w:ascii="Arial" w:cs="Arial" w:eastAsia="Arial" w:hAnsi="Arial"/>
                <w:sz w:val="14"/>
                <w:szCs w:val="14"/>
                <w:b w:val="1"/>
                <w:bCs w:val="1"/>
                <w:color w:val="FFFFFF"/>
              </w:rPr>
              <w:t>($)</w:t>
            </w:r>
          </w:p>
        </w:tc>
      </w:tr>
      <w:tr>
        <w:trPr>
          <w:trHeight w:val="110"/>
        </w:trPr>
        <w:tc>
          <w:tcPr>
            <w:tcW w:w="1120" w:type="dxa"/>
            <w:vAlign w:val="bottom"/>
            <w:shd w:val="clear" w:color="auto" w:fill="00558C"/>
          </w:tcPr>
          <w:p>
            <w:pPr>
              <w:spacing w:after="0"/>
              <w:rPr>
                <w:sz w:val="9"/>
                <w:szCs w:val="9"/>
                <w:color w:val="auto"/>
              </w:rPr>
            </w:pPr>
          </w:p>
        </w:tc>
        <w:tc>
          <w:tcPr>
            <w:tcW w:w="1880" w:type="dxa"/>
            <w:vAlign w:val="bottom"/>
            <w:shd w:val="clear" w:color="auto" w:fill="00558C"/>
          </w:tcPr>
          <w:p>
            <w:pPr>
              <w:spacing w:after="0"/>
              <w:rPr>
                <w:sz w:val="9"/>
                <w:szCs w:val="9"/>
                <w:color w:val="auto"/>
              </w:rPr>
            </w:pPr>
          </w:p>
        </w:tc>
        <w:tc>
          <w:tcPr>
            <w:tcW w:w="1120" w:type="dxa"/>
            <w:vAlign w:val="bottom"/>
            <w:shd w:val="clear" w:color="auto" w:fill="00558C"/>
          </w:tcPr>
          <w:p>
            <w:pPr>
              <w:spacing w:after="0"/>
              <w:rPr>
                <w:sz w:val="9"/>
                <w:szCs w:val="9"/>
                <w:color w:val="auto"/>
              </w:rPr>
            </w:pPr>
          </w:p>
        </w:tc>
        <w:tc>
          <w:tcPr>
            <w:tcW w:w="1620" w:type="dxa"/>
            <w:vAlign w:val="bottom"/>
            <w:shd w:val="clear" w:color="auto" w:fill="00558C"/>
          </w:tcPr>
          <w:p>
            <w:pPr>
              <w:spacing w:after="0"/>
              <w:rPr>
                <w:sz w:val="9"/>
                <w:szCs w:val="9"/>
                <w:color w:val="auto"/>
              </w:rPr>
            </w:pPr>
          </w:p>
        </w:tc>
        <w:tc>
          <w:tcPr>
            <w:tcW w:w="1440" w:type="dxa"/>
            <w:vAlign w:val="bottom"/>
            <w:shd w:val="clear" w:color="auto" w:fill="00558C"/>
          </w:tcPr>
          <w:p>
            <w:pPr>
              <w:spacing w:after="0"/>
              <w:rPr>
                <w:sz w:val="9"/>
                <w:szCs w:val="9"/>
                <w:color w:val="auto"/>
              </w:rPr>
            </w:pPr>
          </w:p>
        </w:tc>
        <w:tc>
          <w:tcPr>
            <w:tcW w:w="1900" w:type="dxa"/>
            <w:vAlign w:val="bottom"/>
            <w:shd w:val="clear" w:color="auto" w:fill="00558C"/>
          </w:tcPr>
          <w:p>
            <w:pPr>
              <w:spacing w:after="0"/>
              <w:rPr>
                <w:sz w:val="9"/>
                <w:szCs w:val="9"/>
                <w:color w:val="auto"/>
              </w:rPr>
            </w:pPr>
          </w:p>
        </w:tc>
      </w:tr>
      <w:tr>
        <w:trPr>
          <w:trHeight w:val="315"/>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Salary</w:t>
            </w:r>
          </w:p>
        </w:tc>
        <w:tc>
          <w:tcPr>
            <w:tcW w:w="11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2,050,000</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3"/>
                <w:szCs w:val="13"/>
                <w:color w:val="auto"/>
              </w:rPr>
              <w:t>2,562,500</w:t>
            </w:r>
          </w:p>
        </w:tc>
      </w:tr>
      <w:tr>
        <w:trPr>
          <w:trHeight w:val="295"/>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Bonus</w:t>
            </w:r>
          </w:p>
        </w:tc>
        <w:tc>
          <w:tcPr>
            <w:tcW w:w="112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2,972,500</w:t>
            </w:r>
          </w:p>
        </w:tc>
        <w:tc>
          <w:tcPr>
            <w:tcW w:w="144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3,715,625</w:t>
            </w:r>
          </w:p>
        </w:tc>
      </w:tr>
      <w:tr>
        <w:trPr>
          <w:trHeight w:val="286"/>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1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1,515,975</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1,486,250</w:t>
            </w:r>
          </w:p>
        </w:tc>
        <w:tc>
          <w:tcPr>
            <w:tcW w:w="1900" w:type="dxa"/>
            <w:vAlign w:val="bottom"/>
            <w:tcBorders>
              <w:top w:val="single" w:sz="8" w:color="B2B3B6"/>
              <w:bottom w:val="single" w:sz="8" w:color="B2B3B6"/>
            </w:tcBorders>
            <w:shd w:val="clear" w:color="auto" w:fill="F2F3F2"/>
          </w:tcPr>
          <w:p>
            <w:pPr>
              <w:jc w:val="right"/>
              <w:ind w:right="88"/>
              <w:spacing w:after="0"/>
              <w:rPr>
                <w:sz w:val="20"/>
                <w:szCs w:val="20"/>
                <w:color w:val="auto"/>
              </w:rPr>
            </w:pPr>
            <w:r>
              <w:rPr>
                <w:rFonts w:ascii="Arial" w:cs="Arial" w:eastAsia="Arial" w:hAnsi="Arial"/>
                <w:sz w:val="14"/>
                <w:szCs w:val="14"/>
                <w:color w:val="auto"/>
              </w:rPr>
              <w:t>1,515,975</w:t>
            </w:r>
          </w:p>
        </w:tc>
      </w:tr>
      <w:tr>
        <w:trPr>
          <w:trHeight w:val="201"/>
        </w:trPr>
        <w:tc>
          <w:tcPr>
            <w:tcW w:w="11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w:t>
            </w:r>
          </w:p>
        </w:tc>
        <w:tc>
          <w:tcPr>
            <w:tcW w:w="1880" w:type="dxa"/>
            <w:vAlign w:val="bottom"/>
            <w:shd w:val="clear" w:color="auto" w:fill="F2F3F2"/>
          </w:tcPr>
          <w:p>
            <w:pPr>
              <w:ind w:left="120"/>
              <w:spacing w:after="0" w:line="201" w:lineRule="exact"/>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(2)</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3,250,362</w:t>
            </w:r>
          </w:p>
        </w:tc>
        <w:tc>
          <w:tcPr>
            <w:tcW w:w="190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16,811,106</w:t>
            </w:r>
          </w:p>
        </w:tc>
      </w:tr>
      <w:tr>
        <w:trPr>
          <w:trHeight w:val="95"/>
        </w:trPr>
        <w:tc>
          <w:tcPr>
            <w:tcW w:w="1120" w:type="dxa"/>
            <w:vAlign w:val="bottom"/>
            <w:tcBorders>
              <w:bottom w:val="single" w:sz="8" w:color="F2F3F2"/>
            </w:tcBorders>
            <w:shd w:val="clear" w:color="auto" w:fill="F2F3F2"/>
          </w:tcPr>
          <w:p>
            <w:pPr>
              <w:ind w:left="140"/>
              <w:spacing w:after="0" w:line="75" w:lineRule="exact"/>
              <w:rPr>
                <w:sz w:val="20"/>
                <w:szCs w:val="20"/>
                <w:color w:val="auto"/>
              </w:rPr>
            </w:pPr>
            <w:r>
              <w:rPr>
                <w:rFonts w:ascii="Arial" w:cs="Arial" w:eastAsia="Arial" w:hAnsi="Arial"/>
                <w:sz w:val="8"/>
                <w:szCs w:val="8"/>
                <w:b w:val="1"/>
                <w:bCs w:val="1"/>
                <w:color w:val="00558C"/>
              </w:rPr>
              <w:t>Hussey</w:t>
            </w:r>
          </w:p>
        </w:tc>
        <w:tc>
          <w:tcPr>
            <w:tcW w:w="188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1620" w:type="dxa"/>
            <w:vAlign w:val="bottom"/>
            <w:tcBorders>
              <w:bottom w:val="single" w:sz="8" w:color="B2B3B6"/>
            </w:tcBorders>
            <w:shd w:val="clear" w:color="auto" w:fill="F2F3F2"/>
          </w:tcPr>
          <w:p>
            <w:pPr>
              <w:spacing w:after="0"/>
              <w:rPr>
                <w:sz w:val="8"/>
                <w:szCs w:val="8"/>
                <w:color w:val="auto"/>
              </w:rPr>
            </w:pPr>
          </w:p>
        </w:tc>
        <w:tc>
          <w:tcPr>
            <w:tcW w:w="1440" w:type="dxa"/>
            <w:vAlign w:val="bottom"/>
            <w:tcBorders>
              <w:bottom w:val="single" w:sz="8" w:color="B2B3B6"/>
            </w:tcBorders>
            <w:shd w:val="clear" w:color="auto" w:fill="F2F3F2"/>
          </w:tcPr>
          <w:p>
            <w:pPr>
              <w:spacing w:after="0"/>
              <w:rPr>
                <w:sz w:val="8"/>
                <w:szCs w:val="8"/>
                <w:color w:val="auto"/>
              </w:rPr>
            </w:pPr>
          </w:p>
        </w:tc>
        <w:tc>
          <w:tcPr>
            <w:tcW w:w="1900" w:type="dxa"/>
            <w:vAlign w:val="bottom"/>
            <w:tcBorders>
              <w:bottom w:val="single" w:sz="8" w:color="B2B3B6"/>
            </w:tcBorders>
            <w:shd w:val="clear" w:color="auto" w:fill="F2F3F2"/>
          </w:tcPr>
          <w:p>
            <w:pPr>
              <w:spacing w:after="0"/>
              <w:rPr>
                <w:sz w:val="8"/>
                <w:szCs w:val="8"/>
                <w:color w:val="auto"/>
              </w:rPr>
            </w:pPr>
          </w:p>
        </w:tc>
      </w:tr>
      <w:tr>
        <w:trPr>
          <w:trHeight w:val="295"/>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Benefits continuation</w:t>
            </w:r>
          </w:p>
        </w:tc>
        <w:tc>
          <w:tcPr>
            <w:tcW w:w="11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41,854</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10,463</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52,317</w:t>
            </w:r>
          </w:p>
        </w:tc>
      </w:tr>
      <w:tr>
        <w:trPr>
          <w:trHeight w:val="288"/>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(3)</w:t>
            </w:r>
          </w:p>
        </w:tc>
        <w:tc>
          <w:tcPr>
            <w:tcW w:w="11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B2B3B6"/>
            </w:tcBorders>
            <w:shd w:val="clear" w:color="auto" w:fill="F2F3F2"/>
          </w:tcPr>
          <w:p>
            <w:pPr>
              <w:jc w:val="right"/>
              <w:ind w:right="68"/>
              <w:spacing w:after="0"/>
              <w:rPr>
                <w:sz w:val="20"/>
                <w:szCs w:val="20"/>
                <w:color w:val="auto"/>
              </w:rPr>
            </w:pPr>
            <w:r>
              <w:rPr>
                <w:rFonts w:ascii="Arial" w:cs="Arial" w:eastAsia="Arial" w:hAnsi="Arial"/>
                <w:sz w:val="14"/>
                <w:szCs w:val="14"/>
                <w:color w:val="auto"/>
              </w:rPr>
              <w:t>(6,246,356)</w:t>
            </w:r>
          </w:p>
        </w:tc>
      </w:tr>
      <w:tr>
        <w:trPr>
          <w:trHeight w:val="298"/>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b w:val="1"/>
                <w:bCs w:val="1"/>
                <w:color w:val="auto"/>
              </w:rPr>
              <w:t>Total Value</w:t>
            </w:r>
          </w:p>
        </w:tc>
        <w:tc>
          <w:tcPr>
            <w:tcW w:w="11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6,580,329</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4,747,075</w:t>
            </w:r>
          </w:p>
        </w:tc>
        <w:tc>
          <w:tcPr>
            <w:tcW w:w="190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b w:val="1"/>
                <w:bCs w:val="1"/>
                <w:color w:val="auto"/>
              </w:rPr>
              <w:t>18,411,167</w:t>
            </w:r>
          </w:p>
        </w:tc>
      </w:tr>
      <w:tr>
        <w:trPr>
          <w:trHeight w:val="242"/>
        </w:trPr>
        <w:tc>
          <w:tcPr>
            <w:tcW w:w="1120" w:type="dxa"/>
            <w:vAlign w:val="bottom"/>
            <w:tcBorders>
              <w:top w:val="single" w:sz="8" w:color="B2B3B6"/>
            </w:tcBorders>
          </w:tcPr>
          <w:p>
            <w:pPr>
              <w:spacing w:after="0"/>
              <w:rPr>
                <w:sz w:val="21"/>
                <w:szCs w:val="21"/>
                <w:color w:val="auto"/>
              </w:rPr>
            </w:pPr>
          </w:p>
        </w:tc>
        <w:tc>
          <w:tcPr>
            <w:tcW w:w="1880" w:type="dxa"/>
            <w:vAlign w:val="bottom"/>
            <w:tcBorders>
              <w:top w:val="single" w:sz="8" w:color="B2B3B6"/>
            </w:tcBorders>
          </w:tcPr>
          <w:p>
            <w:pPr>
              <w:ind w:left="120"/>
              <w:spacing w:after="0"/>
              <w:rPr>
                <w:sz w:val="20"/>
                <w:szCs w:val="20"/>
                <w:color w:val="auto"/>
              </w:rPr>
            </w:pPr>
            <w:r>
              <w:rPr>
                <w:rFonts w:ascii="Arial" w:cs="Arial" w:eastAsia="Arial" w:hAnsi="Arial"/>
                <w:sz w:val="14"/>
                <w:szCs w:val="14"/>
                <w:color w:val="auto"/>
              </w:rPr>
              <w:t>Salary</w:t>
            </w:r>
          </w:p>
        </w:tc>
        <w:tc>
          <w:tcPr>
            <w:tcW w:w="1120" w:type="dxa"/>
            <w:vAlign w:val="bottom"/>
            <w:tcBorders>
              <w:top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tcBorders>
          </w:tcPr>
          <w:p>
            <w:pPr>
              <w:jc w:val="right"/>
              <w:spacing w:after="0"/>
              <w:rPr>
                <w:sz w:val="20"/>
                <w:szCs w:val="20"/>
                <w:color w:val="auto"/>
              </w:rPr>
            </w:pPr>
            <w:r>
              <w:rPr>
                <w:rFonts w:ascii="Arial" w:cs="Arial" w:eastAsia="Arial" w:hAnsi="Arial"/>
                <w:sz w:val="14"/>
                <w:szCs w:val="14"/>
                <w:color w:val="auto"/>
              </w:rPr>
              <w:t>650,000</w:t>
            </w:r>
          </w:p>
        </w:tc>
        <w:tc>
          <w:tcPr>
            <w:tcW w:w="1440" w:type="dxa"/>
            <w:vAlign w:val="bottom"/>
            <w:tcBorders>
              <w:top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tcBorders>
          </w:tcPr>
          <w:p>
            <w:pPr>
              <w:jc w:val="right"/>
              <w:ind w:right="88"/>
              <w:spacing w:after="0"/>
              <w:rPr>
                <w:sz w:val="20"/>
                <w:szCs w:val="20"/>
                <w:color w:val="auto"/>
              </w:rPr>
            </w:pPr>
            <w:r>
              <w:rPr>
                <w:rFonts w:ascii="Arial" w:cs="Arial" w:eastAsia="Arial" w:hAnsi="Arial"/>
                <w:sz w:val="14"/>
                <w:szCs w:val="14"/>
                <w:color w:val="auto"/>
              </w:rPr>
              <w:t>975,000</w:t>
            </w:r>
          </w:p>
        </w:tc>
      </w:tr>
      <w:tr>
        <w:trPr>
          <w:trHeight w:val="49"/>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42"/>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Bonus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780,000</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1,170,000</w:t>
            </w:r>
          </w:p>
        </w:tc>
      </w:tr>
      <w:tr>
        <w:trPr>
          <w:trHeight w:val="49"/>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86"/>
        </w:trPr>
        <w:tc>
          <w:tcPr>
            <w:tcW w:w="1120" w:type="dxa"/>
            <w:vAlign w:val="bottom"/>
          </w:tcPr>
          <w:p>
            <w:pPr>
              <w:spacing w:after="0"/>
              <w:rPr>
                <w:sz w:val="24"/>
                <w:szCs w:val="24"/>
                <w:color w:val="auto"/>
              </w:rPr>
            </w:pPr>
          </w:p>
        </w:tc>
        <w:tc>
          <w:tcPr>
            <w:tcW w:w="1880" w:type="dxa"/>
            <w:vAlign w:val="bottom"/>
            <w:tcBorders>
              <w:bottom w:val="single" w:sz="8" w:color="B2B3B6"/>
            </w:tcBorders>
          </w:tcPr>
          <w:p>
            <w:pPr>
              <w:ind w:left="12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1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B2B3B6"/>
            </w:tcBorders>
          </w:tcPr>
          <w:p>
            <w:pPr>
              <w:jc w:val="right"/>
              <w:spacing w:after="0"/>
              <w:rPr>
                <w:sz w:val="20"/>
                <w:szCs w:val="20"/>
                <w:color w:val="auto"/>
              </w:rPr>
            </w:pPr>
            <w:r>
              <w:rPr>
                <w:rFonts w:ascii="Arial" w:cs="Arial" w:eastAsia="Arial" w:hAnsi="Arial"/>
                <w:sz w:val="14"/>
                <w:szCs w:val="14"/>
                <w:color w:val="auto"/>
              </w:rPr>
              <w:t>795,600</w:t>
            </w:r>
          </w:p>
        </w:tc>
        <w:tc>
          <w:tcPr>
            <w:tcW w:w="1440" w:type="dxa"/>
            <w:vAlign w:val="bottom"/>
            <w:tcBorders>
              <w:bottom w:val="single" w:sz="8" w:color="B2B3B6"/>
            </w:tcBorders>
          </w:tcPr>
          <w:p>
            <w:pPr>
              <w:jc w:val="right"/>
              <w:spacing w:after="0"/>
              <w:rPr>
                <w:sz w:val="20"/>
                <w:szCs w:val="20"/>
                <w:color w:val="auto"/>
              </w:rPr>
            </w:pPr>
            <w:r>
              <w:rPr>
                <w:rFonts w:ascii="Arial" w:cs="Arial" w:eastAsia="Arial" w:hAnsi="Arial"/>
                <w:sz w:val="14"/>
                <w:szCs w:val="14"/>
                <w:color w:val="auto"/>
              </w:rPr>
              <w:t>780,000</w:t>
            </w:r>
          </w:p>
        </w:tc>
        <w:tc>
          <w:tcPr>
            <w:tcW w:w="1900" w:type="dxa"/>
            <w:vAlign w:val="bottom"/>
            <w:tcBorders>
              <w:bottom w:val="single" w:sz="8" w:color="B2B3B6"/>
            </w:tcBorders>
          </w:tcPr>
          <w:p>
            <w:pPr>
              <w:jc w:val="right"/>
              <w:ind w:right="88"/>
              <w:spacing w:after="0"/>
              <w:rPr>
                <w:sz w:val="20"/>
                <w:szCs w:val="20"/>
                <w:color w:val="auto"/>
              </w:rPr>
            </w:pPr>
            <w:r>
              <w:rPr>
                <w:rFonts w:ascii="Arial" w:cs="Arial" w:eastAsia="Arial" w:hAnsi="Arial"/>
                <w:sz w:val="14"/>
                <w:szCs w:val="14"/>
                <w:color w:val="auto"/>
              </w:rPr>
              <w:t>795,600</w:t>
            </w:r>
          </w:p>
        </w:tc>
      </w:tr>
      <w:tr>
        <w:trPr>
          <w:trHeight w:val="201"/>
        </w:trPr>
        <w:tc>
          <w:tcPr>
            <w:tcW w:w="1120" w:type="dxa"/>
            <w:vAlign w:val="bottom"/>
          </w:tcPr>
          <w:p>
            <w:pPr>
              <w:ind w:left="140"/>
              <w:spacing w:after="0"/>
              <w:rPr>
                <w:sz w:val="20"/>
                <w:szCs w:val="20"/>
                <w:color w:val="auto"/>
              </w:rPr>
            </w:pPr>
            <w:r>
              <w:rPr>
                <w:rFonts w:ascii="Arial" w:cs="Arial" w:eastAsia="Arial" w:hAnsi="Arial"/>
                <w:sz w:val="14"/>
                <w:szCs w:val="14"/>
                <w:b w:val="1"/>
                <w:bCs w:val="1"/>
                <w:color w:val="00558C"/>
              </w:rPr>
              <w:t>John D.</w:t>
            </w:r>
          </w:p>
        </w:tc>
        <w:tc>
          <w:tcPr>
            <w:tcW w:w="1880" w:type="dxa"/>
            <w:vAlign w:val="bottom"/>
          </w:tcPr>
          <w:p>
            <w:pPr>
              <w:ind w:left="120"/>
              <w:spacing w:after="0" w:line="201" w:lineRule="exact"/>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1,225,932</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6,811,859</w:t>
            </w:r>
          </w:p>
        </w:tc>
      </w:tr>
      <w:tr>
        <w:trPr>
          <w:trHeight w:val="95"/>
        </w:trPr>
        <w:tc>
          <w:tcPr>
            <w:tcW w:w="1120" w:type="dxa"/>
            <w:vAlign w:val="bottom"/>
          </w:tcPr>
          <w:p>
            <w:pPr>
              <w:ind w:left="140"/>
              <w:spacing w:after="0" w:line="75" w:lineRule="exact"/>
              <w:rPr>
                <w:sz w:val="20"/>
                <w:szCs w:val="20"/>
                <w:color w:val="auto"/>
              </w:rPr>
            </w:pPr>
            <w:r>
              <w:rPr>
                <w:rFonts w:ascii="Arial" w:cs="Arial" w:eastAsia="Arial" w:hAnsi="Arial"/>
                <w:sz w:val="8"/>
                <w:szCs w:val="8"/>
                <w:b w:val="1"/>
                <w:bCs w:val="1"/>
                <w:color w:val="00558C"/>
              </w:rPr>
              <w:t>Kelly</w:t>
            </w:r>
          </w:p>
        </w:tc>
        <w:tc>
          <w:tcPr>
            <w:tcW w:w="1880" w:type="dxa"/>
            <w:vAlign w:val="bottom"/>
            <w:tcBorders>
              <w:bottom w:val="single" w:sz="8" w:color="B2B3B6"/>
            </w:tcBorders>
          </w:tcPr>
          <w:p>
            <w:pPr>
              <w:spacing w:after="0"/>
              <w:rPr>
                <w:sz w:val="8"/>
                <w:szCs w:val="8"/>
                <w:color w:val="auto"/>
              </w:rPr>
            </w:pPr>
          </w:p>
        </w:tc>
        <w:tc>
          <w:tcPr>
            <w:tcW w:w="1120" w:type="dxa"/>
            <w:vAlign w:val="bottom"/>
            <w:tcBorders>
              <w:bottom w:val="single" w:sz="8" w:color="B2B3B6"/>
            </w:tcBorders>
          </w:tcPr>
          <w:p>
            <w:pPr>
              <w:spacing w:after="0"/>
              <w:rPr>
                <w:sz w:val="8"/>
                <w:szCs w:val="8"/>
                <w:color w:val="auto"/>
              </w:rPr>
            </w:pPr>
          </w:p>
        </w:tc>
        <w:tc>
          <w:tcPr>
            <w:tcW w:w="1620" w:type="dxa"/>
            <w:vAlign w:val="bottom"/>
            <w:tcBorders>
              <w:bottom w:val="single" w:sz="8" w:color="B2B3B6"/>
            </w:tcBorders>
          </w:tcPr>
          <w:p>
            <w:pPr>
              <w:spacing w:after="0"/>
              <w:rPr>
                <w:sz w:val="8"/>
                <w:szCs w:val="8"/>
                <w:color w:val="auto"/>
              </w:rPr>
            </w:pPr>
          </w:p>
        </w:tc>
        <w:tc>
          <w:tcPr>
            <w:tcW w:w="1440" w:type="dxa"/>
            <w:vAlign w:val="bottom"/>
            <w:tcBorders>
              <w:bottom w:val="single" w:sz="8" w:color="B2B3B6"/>
            </w:tcBorders>
          </w:tcPr>
          <w:p>
            <w:pPr>
              <w:spacing w:after="0"/>
              <w:rPr>
                <w:sz w:val="8"/>
                <w:szCs w:val="8"/>
                <w:color w:val="auto"/>
              </w:rPr>
            </w:pPr>
          </w:p>
        </w:tc>
        <w:tc>
          <w:tcPr>
            <w:tcW w:w="1900" w:type="dxa"/>
            <w:vAlign w:val="bottom"/>
            <w:tcBorders>
              <w:bottom w:val="single" w:sz="8" w:color="B2B3B6"/>
            </w:tcBorders>
          </w:tcPr>
          <w:p>
            <w:pPr>
              <w:spacing w:after="0"/>
              <w:rPr>
                <w:sz w:val="8"/>
                <w:szCs w:val="8"/>
                <w:color w:val="auto"/>
              </w:rPr>
            </w:pPr>
          </w:p>
        </w:tc>
      </w:tr>
      <w:tr>
        <w:trPr>
          <w:trHeight w:val="242"/>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Benefits continuation</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32,423</w:t>
            </w:r>
          </w:p>
        </w:tc>
        <w:tc>
          <w:tcPr>
            <w:tcW w:w="1440" w:type="dxa"/>
            <w:vAlign w:val="bottom"/>
          </w:tcPr>
          <w:p>
            <w:pPr>
              <w:jc w:val="right"/>
              <w:spacing w:after="0"/>
              <w:rPr>
                <w:sz w:val="20"/>
                <w:szCs w:val="20"/>
                <w:color w:val="auto"/>
              </w:rPr>
            </w:pPr>
            <w:r>
              <w:rPr>
                <w:rFonts w:ascii="Arial" w:cs="Arial" w:eastAsia="Arial" w:hAnsi="Arial"/>
                <w:sz w:val="14"/>
                <w:szCs w:val="14"/>
                <w:color w:val="auto"/>
              </w:rPr>
              <w:t>16,211</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48,634</w:t>
            </w:r>
          </w:p>
        </w:tc>
      </w:tr>
      <w:tr>
        <w:trPr>
          <w:trHeight w:val="48"/>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88"/>
        </w:trPr>
        <w:tc>
          <w:tcPr>
            <w:tcW w:w="1120" w:type="dxa"/>
            <w:vAlign w:val="bottom"/>
          </w:tcPr>
          <w:p>
            <w:pPr>
              <w:spacing w:after="0"/>
              <w:rPr>
                <w:sz w:val="24"/>
                <w:szCs w:val="24"/>
                <w:color w:val="auto"/>
              </w:rPr>
            </w:pPr>
          </w:p>
        </w:tc>
        <w:tc>
          <w:tcPr>
            <w:tcW w:w="1880" w:type="dxa"/>
            <w:vAlign w:val="bottom"/>
            <w:tcBorders>
              <w:bottom w:val="single" w:sz="8" w:color="B2B3B6"/>
            </w:tcBorders>
          </w:tcPr>
          <w:p>
            <w:pPr>
              <w:ind w:left="12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(3)</w:t>
            </w:r>
          </w:p>
        </w:tc>
        <w:tc>
          <w:tcPr>
            <w:tcW w:w="11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B2B3B6"/>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50"/>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b w:val="1"/>
                <w:bCs w:val="1"/>
                <w:color w:val="auto"/>
              </w:rPr>
              <w:t>Total Value</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2,258,023</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2,022,143</w:t>
            </w:r>
          </w:p>
        </w:tc>
        <w:tc>
          <w:tcPr>
            <w:tcW w:w="1900" w:type="dxa"/>
            <w:vAlign w:val="bottom"/>
          </w:tcPr>
          <w:p>
            <w:pPr>
              <w:jc w:val="right"/>
              <w:ind w:right="88"/>
              <w:spacing w:after="0"/>
              <w:rPr>
                <w:sz w:val="20"/>
                <w:szCs w:val="20"/>
                <w:color w:val="auto"/>
              </w:rPr>
            </w:pPr>
            <w:r>
              <w:rPr>
                <w:rFonts w:ascii="Arial" w:cs="Arial" w:eastAsia="Arial" w:hAnsi="Arial"/>
                <w:sz w:val="14"/>
                <w:szCs w:val="14"/>
                <w:b w:val="1"/>
                <w:bCs w:val="1"/>
                <w:color w:val="auto"/>
              </w:rPr>
              <w:t>9,801,093</w:t>
            </w:r>
          </w:p>
        </w:tc>
      </w:tr>
      <w:tr>
        <w:trPr>
          <w:trHeight w:val="43"/>
        </w:trPr>
        <w:tc>
          <w:tcPr>
            <w:tcW w:w="1120" w:type="dxa"/>
            <w:vAlign w:val="bottom"/>
            <w:tcBorders>
              <w:bottom w:val="single" w:sz="8" w:color="B2B3B6"/>
            </w:tcBorders>
          </w:tcPr>
          <w:p>
            <w:pPr>
              <w:spacing w:after="0"/>
              <w:rPr>
                <w:sz w:val="3"/>
                <w:szCs w:val="3"/>
                <w:color w:val="auto"/>
              </w:rPr>
            </w:pPr>
          </w:p>
        </w:tc>
        <w:tc>
          <w:tcPr>
            <w:tcW w:w="1880" w:type="dxa"/>
            <w:vAlign w:val="bottom"/>
            <w:tcBorders>
              <w:bottom w:val="single" w:sz="8" w:color="B2B3B6"/>
            </w:tcBorders>
          </w:tcPr>
          <w:p>
            <w:pPr>
              <w:spacing w:after="0"/>
              <w:rPr>
                <w:sz w:val="3"/>
                <w:szCs w:val="3"/>
                <w:color w:val="auto"/>
              </w:rPr>
            </w:pPr>
          </w:p>
        </w:tc>
        <w:tc>
          <w:tcPr>
            <w:tcW w:w="1120" w:type="dxa"/>
            <w:vAlign w:val="bottom"/>
            <w:tcBorders>
              <w:bottom w:val="single" w:sz="8" w:color="B2B3B6"/>
            </w:tcBorders>
          </w:tcPr>
          <w:p>
            <w:pPr>
              <w:spacing w:after="0"/>
              <w:rPr>
                <w:sz w:val="3"/>
                <w:szCs w:val="3"/>
                <w:color w:val="auto"/>
              </w:rPr>
            </w:pPr>
          </w:p>
        </w:tc>
        <w:tc>
          <w:tcPr>
            <w:tcW w:w="1620" w:type="dxa"/>
            <w:vAlign w:val="bottom"/>
            <w:tcBorders>
              <w:bottom w:val="single" w:sz="8" w:color="B2B3B6"/>
            </w:tcBorders>
          </w:tcPr>
          <w:p>
            <w:pPr>
              <w:spacing w:after="0"/>
              <w:rPr>
                <w:sz w:val="3"/>
                <w:szCs w:val="3"/>
                <w:color w:val="auto"/>
              </w:rPr>
            </w:pPr>
          </w:p>
        </w:tc>
        <w:tc>
          <w:tcPr>
            <w:tcW w:w="1440" w:type="dxa"/>
            <w:vAlign w:val="bottom"/>
            <w:tcBorders>
              <w:bottom w:val="single" w:sz="8" w:color="B2B3B6"/>
            </w:tcBorders>
          </w:tcPr>
          <w:p>
            <w:pPr>
              <w:spacing w:after="0"/>
              <w:rPr>
                <w:sz w:val="3"/>
                <w:szCs w:val="3"/>
                <w:color w:val="auto"/>
              </w:rPr>
            </w:pPr>
          </w:p>
        </w:tc>
        <w:tc>
          <w:tcPr>
            <w:tcW w:w="1900" w:type="dxa"/>
            <w:vAlign w:val="bottom"/>
            <w:tcBorders>
              <w:bottom w:val="single" w:sz="8" w:color="B2B3B6"/>
            </w:tcBorders>
          </w:tcPr>
          <w:p>
            <w:pPr>
              <w:spacing w:after="0"/>
              <w:rPr>
                <w:sz w:val="3"/>
                <w:szCs w:val="3"/>
                <w:color w:val="auto"/>
              </w:rPr>
            </w:pPr>
          </w:p>
        </w:tc>
      </w:tr>
      <w:tr>
        <w:trPr>
          <w:trHeight w:val="295"/>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Salary</w:t>
            </w:r>
          </w:p>
        </w:tc>
        <w:tc>
          <w:tcPr>
            <w:tcW w:w="11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675,000</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1,012,500</w:t>
            </w:r>
          </w:p>
        </w:tc>
      </w:tr>
      <w:tr>
        <w:trPr>
          <w:trHeight w:val="295"/>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Bonus</w:t>
            </w:r>
          </w:p>
        </w:tc>
        <w:tc>
          <w:tcPr>
            <w:tcW w:w="112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641,250</w:t>
            </w:r>
          </w:p>
        </w:tc>
        <w:tc>
          <w:tcPr>
            <w:tcW w:w="144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961,875</w:t>
            </w:r>
          </w:p>
        </w:tc>
      </w:tr>
      <w:tr>
        <w:trPr>
          <w:trHeight w:val="286"/>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1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654,075</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641,250</w:t>
            </w:r>
          </w:p>
        </w:tc>
        <w:tc>
          <w:tcPr>
            <w:tcW w:w="1900" w:type="dxa"/>
            <w:vAlign w:val="bottom"/>
            <w:tcBorders>
              <w:top w:val="single" w:sz="8" w:color="B2B3B6"/>
              <w:bottom w:val="single" w:sz="8" w:color="B2B3B6"/>
            </w:tcBorders>
            <w:shd w:val="clear" w:color="auto" w:fill="F2F3F2"/>
          </w:tcPr>
          <w:p>
            <w:pPr>
              <w:jc w:val="right"/>
              <w:ind w:right="88"/>
              <w:spacing w:after="0"/>
              <w:rPr>
                <w:sz w:val="20"/>
                <w:szCs w:val="20"/>
                <w:color w:val="auto"/>
              </w:rPr>
            </w:pPr>
            <w:r>
              <w:rPr>
                <w:rFonts w:ascii="Arial" w:cs="Arial" w:eastAsia="Arial" w:hAnsi="Arial"/>
                <w:sz w:val="14"/>
                <w:szCs w:val="14"/>
                <w:color w:val="auto"/>
              </w:rPr>
              <w:t>654,075</w:t>
            </w:r>
          </w:p>
        </w:tc>
      </w:tr>
      <w:tr>
        <w:trPr>
          <w:trHeight w:val="201"/>
        </w:trPr>
        <w:tc>
          <w:tcPr>
            <w:tcW w:w="11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w:t>
            </w:r>
          </w:p>
        </w:tc>
        <w:tc>
          <w:tcPr>
            <w:tcW w:w="1880" w:type="dxa"/>
            <w:vAlign w:val="bottom"/>
            <w:shd w:val="clear" w:color="auto" w:fill="F2F3F2"/>
          </w:tcPr>
          <w:p>
            <w:pPr>
              <w:ind w:left="120"/>
              <w:spacing w:after="0" w:line="201" w:lineRule="exact"/>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(2)</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1,233,886</w:t>
            </w:r>
          </w:p>
        </w:tc>
        <w:tc>
          <w:tcPr>
            <w:tcW w:w="190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5,412,948</w:t>
            </w:r>
          </w:p>
        </w:tc>
      </w:tr>
      <w:tr>
        <w:trPr>
          <w:trHeight w:val="94"/>
        </w:trPr>
        <w:tc>
          <w:tcPr>
            <w:tcW w:w="1120" w:type="dxa"/>
            <w:vAlign w:val="bottom"/>
            <w:tcBorders>
              <w:bottom w:val="single" w:sz="8" w:color="F2F3F2"/>
            </w:tcBorders>
            <w:shd w:val="clear" w:color="auto" w:fill="F2F3F2"/>
          </w:tcPr>
          <w:p>
            <w:pPr>
              <w:ind w:left="140"/>
              <w:spacing w:after="0" w:line="75" w:lineRule="exact"/>
              <w:rPr>
                <w:sz w:val="20"/>
                <w:szCs w:val="20"/>
                <w:color w:val="auto"/>
              </w:rPr>
            </w:pPr>
            <w:r>
              <w:rPr>
                <w:rFonts w:ascii="Arial" w:cs="Arial" w:eastAsia="Arial" w:hAnsi="Arial"/>
                <w:sz w:val="8"/>
                <w:szCs w:val="8"/>
                <w:b w:val="1"/>
                <w:bCs w:val="1"/>
                <w:color w:val="00558C"/>
              </w:rPr>
              <w:t>Dail</w:t>
            </w:r>
          </w:p>
        </w:tc>
        <w:tc>
          <w:tcPr>
            <w:tcW w:w="188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1620" w:type="dxa"/>
            <w:vAlign w:val="bottom"/>
            <w:tcBorders>
              <w:bottom w:val="single" w:sz="8" w:color="B2B3B6"/>
            </w:tcBorders>
            <w:shd w:val="clear" w:color="auto" w:fill="F2F3F2"/>
          </w:tcPr>
          <w:p>
            <w:pPr>
              <w:spacing w:after="0"/>
              <w:rPr>
                <w:sz w:val="8"/>
                <w:szCs w:val="8"/>
                <w:color w:val="auto"/>
              </w:rPr>
            </w:pPr>
          </w:p>
        </w:tc>
        <w:tc>
          <w:tcPr>
            <w:tcW w:w="1440" w:type="dxa"/>
            <w:vAlign w:val="bottom"/>
            <w:tcBorders>
              <w:bottom w:val="single" w:sz="8" w:color="B2B3B6"/>
            </w:tcBorders>
            <w:shd w:val="clear" w:color="auto" w:fill="F2F3F2"/>
          </w:tcPr>
          <w:p>
            <w:pPr>
              <w:spacing w:after="0"/>
              <w:rPr>
                <w:sz w:val="8"/>
                <w:szCs w:val="8"/>
                <w:color w:val="auto"/>
              </w:rPr>
            </w:pPr>
          </w:p>
        </w:tc>
        <w:tc>
          <w:tcPr>
            <w:tcW w:w="1900" w:type="dxa"/>
            <w:vAlign w:val="bottom"/>
            <w:tcBorders>
              <w:bottom w:val="single" w:sz="8" w:color="B2B3B6"/>
            </w:tcBorders>
            <w:shd w:val="clear" w:color="auto" w:fill="F2F3F2"/>
          </w:tcPr>
          <w:p>
            <w:pPr>
              <w:spacing w:after="0"/>
              <w:rPr>
                <w:sz w:val="8"/>
                <w:szCs w:val="8"/>
                <w:color w:val="auto"/>
              </w:rPr>
            </w:pPr>
          </w:p>
        </w:tc>
      </w:tr>
      <w:tr>
        <w:trPr>
          <w:trHeight w:val="296"/>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Benefits continuation</w:t>
            </w:r>
          </w:p>
        </w:tc>
        <w:tc>
          <w:tcPr>
            <w:tcW w:w="11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35,327</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17,663</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52,990</w:t>
            </w:r>
          </w:p>
        </w:tc>
      </w:tr>
      <w:tr>
        <w:trPr>
          <w:trHeight w:val="288"/>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(3)</w:t>
            </w:r>
          </w:p>
        </w:tc>
        <w:tc>
          <w:tcPr>
            <w:tcW w:w="11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B2B3B6"/>
            </w:tcBorders>
            <w:shd w:val="clear" w:color="auto" w:fill="F2F3F2"/>
          </w:tcPr>
          <w:p>
            <w:pPr>
              <w:jc w:val="right"/>
              <w:ind w:right="68"/>
              <w:spacing w:after="0"/>
              <w:rPr>
                <w:sz w:val="20"/>
                <w:szCs w:val="20"/>
                <w:color w:val="auto"/>
              </w:rPr>
            </w:pPr>
            <w:r>
              <w:rPr>
                <w:rFonts w:ascii="Arial" w:cs="Arial" w:eastAsia="Arial" w:hAnsi="Arial"/>
                <w:sz w:val="14"/>
                <w:szCs w:val="14"/>
                <w:color w:val="auto"/>
              </w:rPr>
              <w:t>(306,195)</w:t>
            </w:r>
          </w:p>
        </w:tc>
      </w:tr>
      <w:tr>
        <w:trPr>
          <w:trHeight w:val="298"/>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b w:val="1"/>
                <w:bCs w:val="1"/>
                <w:color w:val="auto"/>
              </w:rPr>
              <w:t>Total Value</w:t>
            </w:r>
          </w:p>
        </w:tc>
        <w:tc>
          <w:tcPr>
            <w:tcW w:w="11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b w:val="1"/>
                <w:bCs w:val="1"/>
                <w:color w:val="auto"/>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2,005,652</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1,892,799</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b w:val="1"/>
                <w:bCs w:val="1"/>
                <w:color w:val="auto"/>
              </w:rPr>
              <w:t>7,788,193</w:t>
            </w:r>
          </w:p>
        </w:tc>
      </w:tr>
      <w:tr>
        <w:trPr>
          <w:trHeight w:val="242"/>
        </w:trPr>
        <w:tc>
          <w:tcPr>
            <w:tcW w:w="1120" w:type="dxa"/>
            <w:vAlign w:val="bottom"/>
            <w:tcBorders>
              <w:top w:val="single" w:sz="8" w:color="B2B3B6"/>
            </w:tcBorders>
          </w:tcPr>
          <w:p>
            <w:pPr>
              <w:spacing w:after="0"/>
              <w:rPr>
                <w:sz w:val="21"/>
                <w:szCs w:val="21"/>
                <w:color w:val="auto"/>
              </w:rPr>
            </w:pPr>
          </w:p>
        </w:tc>
        <w:tc>
          <w:tcPr>
            <w:tcW w:w="1880" w:type="dxa"/>
            <w:vAlign w:val="bottom"/>
            <w:tcBorders>
              <w:top w:val="single" w:sz="8" w:color="B2B3B6"/>
            </w:tcBorders>
          </w:tcPr>
          <w:p>
            <w:pPr>
              <w:ind w:left="120"/>
              <w:spacing w:after="0"/>
              <w:rPr>
                <w:sz w:val="20"/>
                <w:szCs w:val="20"/>
                <w:color w:val="auto"/>
              </w:rPr>
            </w:pPr>
            <w:r>
              <w:rPr>
                <w:rFonts w:ascii="Arial" w:cs="Arial" w:eastAsia="Arial" w:hAnsi="Arial"/>
                <w:sz w:val="14"/>
                <w:szCs w:val="14"/>
                <w:color w:val="auto"/>
              </w:rPr>
              <w:t>Salary</w:t>
            </w:r>
          </w:p>
        </w:tc>
        <w:tc>
          <w:tcPr>
            <w:tcW w:w="1120" w:type="dxa"/>
            <w:vAlign w:val="bottom"/>
            <w:tcBorders>
              <w:top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B2B3B6"/>
            </w:tcBorders>
          </w:tcPr>
          <w:p>
            <w:pPr>
              <w:jc w:val="right"/>
              <w:spacing w:after="0"/>
              <w:rPr>
                <w:sz w:val="20"/>
                <w:szCs w:val="20"/>
                <w:color w:val="auto"/>
              </w:rPr>
            </w:pPr>
            <w:r>
              <w:rPr>
                <w:rFonts w:ascii="Arial" w:cs="Arial" w:eastAsia="Arial" w:hAnsi="Arial"/>
                <w:sz w:val="14"/>
                <w:szCs w:val="14"/>
                <w:color w:val="auto"/>
              </w:rPr>
              <w:t>425,000</w:t>
            </w:r>
          </w:p>
        </w:tc>
        <w:tc>
          <w:tcPr>
            <w:tcW w:w="1440" w:type="dxa"/>
            <w:vAlign w:val="bottom"/>
            <w:tcBorders>
              <w:top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tcBorders>
          </w:tcPr>
          <w:p>
            <w:pPr>
              <w:jc w:val="right"/>
              <w:ind w:right="88"/>
              <w:spacing w:after="0"/>
              <w:rPr>
                <w:sz w:val="20"/>
                <w:szCs w:val="20"/>
                <w:color w:val="auto"/>
              </w:rPr>
            </w:pPr>
            <w:r>
              <w:rPr>
                <w:rFonts w:ascii="Arial" w:cs="Arial" w:eastAsia="Arial" w:hAnsi="Arial"/>
                <w:sz w:val="14"/>
                <w:szCs w:val="14"/>
                <w:color w:val="auto"/>
              </w:rPr>
              <w:t>637,500</w:t>
            </w:r>
          </w:p>
        </w:tc>
      </w:tr>
      <w:tr>
        <w:trPr>
          <w:trHeight w:val="49"/>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42"/>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Bonus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318,750</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478,125</w:t>
            </w:r>
          </w:p>
        </w:tc>
      </w:tr>
      <w:tr>
        <w:trPr>
          <w:trHeight w:val="49"/>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88"/>
        </w:trPr>
        <w:tc>
          <w:tcPr>
            <w:tcW w:w="1120" w:type="dxa"/>
            <w:vAlign w:val="bottom"/>
          </w:tcPr>
          <w:p>
            <w:pPr>
              <w:spacing w:after="0"/>
              <w:rPr>
                <w:sz w:val="24"/>
                <w:szCs w:val="24"/>
                <w:color w:val="auto"/>
              </w:rPr>
            </w:pPr>
          </w:p>
        </w:tc>
        <w:tc>
          <w:tcPr>
            <w:tcW w:w="1880" w:type="dxa"/>
            <w:vAlign w:val="bottom"/>
            <w:tcBorders>
              <w:bottom w:val="single" w:sz="8" w:color="B2B3B6"/>
            </w:tcBorders>
          </w:tcPr>
          <w:p>
            <w:pPr>
              <w:ind w:left="12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1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B2B3B6"/>
            </w:tcBorders>
          </w:tcPr>
          <w:p>
            <w:pPr>
              <w:jc w:val="right"/>
              <w:spacing w:after="0"/>
              <w:rPr>
                <w:sz w:val="20"/>
                <w:szCs w:val="20"/>
                <w:color w:val="auto"/>
              </w:rPr>
            </w:pPr>
            <w:r>
              <w:rPr>
                <w:rFonts w:ascii="Arial" w:cs="Arial" w:eastAsia="Arial" w:hAnsi="Arial"/>
                <w:sz w:val="14"/>
                <w:szCs w:val="14"/>
                <w:color w:val="auto"/>
              </w:rPr>
              <w:t>325,125</w:t>
            </w:r>
          </w:p>
        </w:tc>
        <w:tc>
          <w:tcPr>
            <w:tcW w:w="1440" w:type="dxa"/>
            <w:vAlign w:val="bottom"/>
            <w:tcBorders>
              <w:bottom w:val="single" w:sz="8" w:color="B2B3B6"/>
            </w:tcBorders>
          </w:tcPr>
          <w:p>
            <w:pPr>
              <w:jc w:val="right"/>
              <w:spacing w:after="0"/>
              <w:rPr>
                <w:sz w:val="20"/>
                <w:szCs w:val="20"/>
                <w:color w:val="auto"/>
              </w:rPr>
            </w:pPr>
            <w:r>
              <w:rPr>
                <w:rFonts w:ascii="Arial" w:cs="Arial" w:eastAsia="Arial" w:hAnsi="Arial"/>
                <w:sz w:val="14"/>
                <w:szCs w:val="14"/>
                <w:color w:val="auto"/>
              </w:rPr>
              <w:t>318,750</w:t>
            </w:r>
          </w:p>
        </w:tc>
        <w:tc>
          <w:tcPr>
            <w:tcW w:w="1900" w:type="dxa"/>
            <w:vAlign w:val="bottom"/>
            <w:tcBorders>
              <w:bottom w:val="single" w:sz="8" w:color="B2B3B6"/>
            </w:tcBorders>
          </w:tcPr>
          <w:p>
            <w:pPr>
              <w:jc w:val="right"/>
              <w:ind w:right="88"/>
              <w:spacing w:after="0"/>
              <w:rPr>
                <w:sz w:val="20"/>
                <w:szCs w:val="20"/>
                <w:color w:val="auto"/>
              </w:rPr>
            </w:pPr>
            <w:r>
              <w:rPr>
                <w:rFonts w:ascii="Arial" w:cs="Arial" w:eastAsia="Arial" w:hAnsi="Arial"/>
                <w:sz w:val="14"/>
                <w:szCs w:val="14"/>
                <w:color w:val="auto"/>
              </w:rPr>
              <w:t>325,125</w:t>
            </w:r>
          </w:p>
        </w:tc>
      </w:tr>
      <w:tr>
        <w:trPr>
          <w:trHeight w:val="290"/>
        </w:trPr>
        <w:tc>
          <w:tcPr>
            <w:tcW w:w="1120" w:type="dxa"/>
            <w:vAlign w:val="bottom"/>
          </w:tcPr>
          <w:p>
            <w:pPr>
              <w:ind w:left="140"/>
              <w:spacing w:after="0"/>
              <w:rPr>
                <w:sz w:val="20"/>
                <w:szCs w:val="20"/>
                <w:color w:val="auto"/>
              </w:rPr>
            </w:pPr>
            <w:r>
              <w:rPr>
                <w:rFonts w:ascii="Arial" w:cs="Arial" w:eastAsia="Arial" w:hAnsi="Arial"/>
                <w:sz w:val="14"/>
                <w:szCs w:val="14"/>
                <w:b w:val="1"/>
                <w:bCs w:val="1"/>
                <w:color w:val="00558C"/>
              </w:rPr>
              <w:t>Hope Katz</w:t>
            </w:r>
          </w:p>
        </w:tc>
        <w:tc>
          <w:tcPr>
            <w:tcW w:w="1880" w:type="dxa"/>
            <w:vAlign w:val="bottom"/>
            <w:tcBorders>
              <w:bottom w:val="single" w:sz="8" w:color="B2B3B6"/>
            </w:tcBorders>
          </w:tcPr>
          <w:p>
            <w:pPr>
              <w:ind w:left="120"/>
              <w:spacing w:after="0"/>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(2)</w:t>
            </w:r>
          </w:p>
        </w:tc>
        <w:tc>
          <w:tcPr>
            <w:tcW w:w="11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B2B3B6"/>
            </w:tcBorders>
          </w:tcPr>
          <w:p>
            <w:pPr>
              <w:jc w:val="right"/>
              <w:spacing w:after="0"/>
              <w:rPr>
                <w:sz w:val="20"/>
                <w:szCs w:val="20"/>
                <w:color w:val="auto"/>
              </w:rPr>
            </w:pPr>
            <w:r>
              <w:rPr>
                <w:rFonts w:ascii="Arial" w:cs="Arial" w:eastAsia="Arial" w:hAnsi="Arial"/>
                <w:sz w:val="14"/>
                <w:szCs w:val="14"/>
                <w:color w:val="auto"/>
              </w:rPr>
              <w:t>394,235</w:t>
            </w:r>
          </w:p>
        </w:tc>
        <w:tc>
          <w:tcPr>
            <w:tcW w:w="1900" w:type="dxa"/>
            <w:vAlign w:val="bottom"/>
            <w:tcBorders>
              <w:bottom w:val="single" w:sz="8" w:color="B2B3B6"/>
            </w:tcBorders>
          </w:tcPr>
          <w:p>
            <w:pPr>
              <w:jc w:val="right"/>
              <w:ind w:right="88"/>
              <w:spacing w:after="0"/>
              <w:rPr>
                <w:sz w:val="20"/>
                <w:szCs w:val="20"/>
                <w:color w:val="auto"/>
              </w:rPr>
            </w:pPr>
            <w:r>
              <w:rPr>
                <w:rFonts w:ascii="Arial" w:cs="Arial" w:eastAsia="Arial" w:hAnsi="Arial"/>
                <w:sz w:val="14"/>
                <w:szCs w:val="14"/>
                <w:color w:val="auto"/>
              </w:rPr>
              <w:t>731,582</w:t>
            </w:r>
          </w:p>
        </w:tc>
      </w:tr>
      <w:tr>
        <w:trPr>
          <w:trHeight w:val="244"/>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Benefits continuation</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35,327</w:t>
            </w:r>
          </w:p>
        </w:tc>
        <w:tc>
          <w:tcPr>
            <w:tcW w:w="1440" w:type="dxa"/>
            <w:vAlign w:val="bottom"/>
          </w:tcPr>
          <w:p>
            <w:pPr>
              <w:jc w:val="right"/>
              <w:spacing w:after="0"/>
              <w:rPr>
                <w:sz w:val="20"/>
                <w:szCs w:val="20"/>
                <w:color w:val="auto"/>
              </w:rPr>
            </w:pPr>
            <w:r>
              <w:rPr>
                <w:rFonts w:ascii="Arial" w:cs="Arial" w:eastAsia="Arial" w:hAnsi="Arial"/>
                <w:sz w:val="13"/>
                <w:szCs w:val="13"/>
                <w:color w:val="auto"/>
              </w:rPr>
              <w:t>17,663</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52,990</w:t>
            </w:r>
          </w:p>
        </w:tc>
      </w:tr>
      <w:tr>
        <w:trPr>
          <w:trHeight w:val="49"/>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88"/>
        </w:trPr>
        <w:tc>
          <w:tcPr>
            <w:tcW w:w="1120" w:type="dxa"/>
            <w:vAlign w:val="bottom"/>
          </w:tcPr>
          <w:p>
            <w:pPr>
              <w:spacing w:after="0"/>
              <w:rPr>
                <w:sz w:val="24"/>
                <w:szCs w:val="24"/>
                <w:color w:val="auto"/>
              </w:rPr>
            </w:pPr>
          </w:p>
        </w:tc>
        <w:tc>
          <w:tcPr>
            <w:tcW w:w="1880" w:type="dxa"/>
            <w:vAlign w:val="bottom"/>
            <w:tcBorders>
              <w:bottom w:val="single" w:sz="8" w:color="B2B3B6"/>
            </w:tcBorders>
          </w:tcPr>
          <w:p>
            <w:pPr>
              <w:ind w:left="12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(3)</w:t>
            </w:r>
          </w:p>
        </w:tc>
        <w:tc>
          <w:tcPr>
            <w:tcW w:w="11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B2B3B6"/>
            </w:tcBorders>
          </w:tcPr>
          <w:p>
            <w:pPr>
              <w:jc w:val="right"/>
              <w:ind w:right="68"/>
              <w:spacing w:after="0"/>
              <w:rPr>
                <w:sz w:val="20"/>
                <w:szCs w:val="20"/>
                <w:color w:val="auto"/>
              </w:rPr>
            </w:pPr>
            <w:r>
              <w:rPr>
                <w:rFonts w:ascii="Arial" w:cs="Arial" w:eastAsia="Arial" w:hAnsi="Arial"/>
                <w:sz w:val="14"/>
                <w:szCs w:val="14"/>
                <w:color w:val="auto"/>
              </w:rPr>
              <w:t>(840,442)</w:t>
            </w:r>
          </w:p>
        </w:tc>
      </w:tr>
      <w:tr>
        <w:trPr>
          <w:trHeight w:val="250"/>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b w:val="1"/>
                <w:bCs w:val="1"/>
                <w:color w:val="auto"/>
              </w:rPr>
              <w:t>Total Value</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1,104,202</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730,648</w:t>
            </w:r>
          </w:p>
        </w:tc>
        <w:tc>
          <w:tcPr>
            <w:tcW w:w="1900" w:type="dxa"/>
            <w:vAlign w:val="bottom"/>
          </w:tcPr>
          <w:p>
            <w:pPr>
              <w:jc w:val="right"/>
              <w:ind w:right="88"/>
              <w:spacing w:after="0"/>
              <w:rPr>
                <w:sz w:val="20"/>
                <w:szCs w:val="20"/>
                <w:color w:val="auto"/>
              </w:rPr>
            </w:pPr>
            <w:r>
              <w:rPr>
                <w:rFonts w:ascii="Arial" w:cs="Arial" w:eastAsia="Arial" w:hAnsi="Arial"/>
                <w:sz w:val="14"/>
                <w:szCs w:val="14"/>
                <w:b w:val="1"/>
                <w:bCs w:val="1"/>
                <w:color w:val="auto"/>
              </w:rPr>
              <w:t>1,384,880</w:t>
            </w:r>
          </w:p>
        </w:tc>
      </w:tr>
      <w:tr>
        <w:trPr>
          <w:trHeight w:val="43"/>
        </w:trPr>
        <w:tc>
          <w:tcPr>
            <w:tcW w:w="1120" w:type="dxa"/>
            <w:vAlign w:val="bottom"/>
            <w:tcBorders>
              <w:bottom w:val="single" w:sz="8" w:color="B2B3B6"/>
            </w:tcBorders>
          </w:tcPr>
          <w:p>
            <w:pPr>
              <w:spacing w:after="0"/>
              <w:rPr>
                <w:sz w:val="3"/>
                <w:szCs w:val="3"/>
                <w:color w:val="auto"/>
              </w:rPr>
            </w:pPr>
          </w:p>
        </w:tc>
        <w:tc>
          <w:tcPr>
            <w:tcW w:w="1880" w:type="dxa"/>
            <w:vAlign w:val="bottom"/>
            <w:tcBorders>
              <w:bottom w:val="single" w:sz="8" w:color="B2B3B6"/>
            </w:tcBorders>
          </w:tcPr>
          <w:p>
            <w:pPr>
              <w:spacing w:after="0"/>
              <w:rPr>
                <w:sz w:val="3"/>
                <w:szCs w:val="3"/>
                <w:color w:val="auto"/>
              </w:rPr>
            </w:pPr>
          </w:p>
        </w:tc>
        <w:tc>
          <w:tcPr>
            <w:tcW w:w="1120" w:type="dxa"/>
            <w:vAlign w:val="bottom"/>
            <w:tcBorders>
              <w:bottom w:val="single" w:sz="8" w:color="B2B3B6"/>
            </w:tcBorders>
          </w:tcPr>
          <w:p>
            <w:pPr>
              <w:spacing w:after="0"/>
              <w:rPr>
                <w:sz w:val="3"/>
                <w:szCs w:val="3"/>
                <w:color w:val="auto"/>
              </w:rPr>
            </w:pPr>
          </w:p>
        </w:tc>
        <w:tc>
          <w:tcPr>
            <w:tcW w:w="1620" w:type="dxa"/>
            <w:vAlign w:val="bottom"/>
            <w:tcBorders>
              <w:bottom w:val="single" w:sz="8" w:color="B2B3B6"/>
            </w:tcBorders>
          </w:tcPr>
          <w:p>
            <w:pPr>
              <w:spacing w:after="0"/>
              <w:rPr>
                <w:sz w:val="3"/>
                <w:szCs w:val="3"/>
                <w:color w:val="auto"/>
              </w:rPr>
            </w:pPr>
          </w:p>
        </w:tc>
        <w:tc>
          <w:tcPr>
            <w:tcW w:w="1440" w:type="dxa"/>
            <w:vAlign w:val="bottom"/>
            <w:tcBorders>
              <w:bottom w:val="single" w:sz="8" w:color="B2B3B6"/>
            </w:tcBorders>
          </w:tcPr>
          <w:p>
            <w:pPr>
              <w:spacing w:after="0"/>
              <w:rPr>
                <w:sz w:val="3"/>
                <w:szCs w:val="3"/>
                <w:color w:val="auto"/>
              </w:rPr>
            </w:pPr>
          </w:p>
        </w:tc>
        <w:tc>
          <w:tcPr>
            <w:tcW w:w="1900" w:type="dxa"/>
            <w:vAlign w:val="bottom"/>
            <w:tcBorders>
              <w:bottom w:val="single" w:sz="8" w:color="B2B3B6"/>
            </w:tcBorders>
          </w:tcPr>
          <w:p>
            <w:pPr>
              <w:spacing w:after="0"/>
              <w:rPr>
                <w:sz w:val="3"/>
                <w:szCs w:val="3"/>
                <w:color w:val="auto"/>
              </w:rPr>
            </w:pPr>
          </w:p>
        </w:tc>
      </w:tr>
    </w:tbl>
    <w:p>
      <w:pPr>
        <w:spacing w:after="0" w:line="139" w:lineRule="exact"/>
        <w:rPr>
          <w:sz w:val="20"/>
          <w:szCs w:val="20"/>
          <w:color w:val="auto"/>
        </w:rPr>
      </w:pPr>
    </w:p>
    <w:p>
      <w:pPr>
        <w:ind w:left="420" w:right="460" w:hanging="331"/>
        <w:spacing w:after="0" w:line="301" w:lineRule="auto"/>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Pro rata bonus for termination without Cause or resignation for Good Reason is based on actual performance from 2025. See the Compensation Discussion and Analysis of this Proxy Statement for disclosure regarding amount earned.</w:t>
      </w:r>
    </w:p>
    <w:p>
      <w:pPr>
        <w:spacing w:after="0" w:line="1" w:lineRule="exact"/>
        <w:rPr>
          <w:rFonts w:ascii="Arial" w:cs="Arial" w:eastAsia="Arial" w:hAnsi="Arial"/>
          <w:sz w:val="14"/>
          <w:szCs w:val="14"/>
          <w:color w:val="auto"/>
        </w:rPr>
      </w:pPr>
    </w:p>
    <w:p>
      <w:pPr>
        <w:jc w:val="both"/>
        <w:ind w:left="420" w:right="60" w:hanging="331"/>
        <w:spacing w:after="0" w:line="273" w:lineRule="auto"/>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as listed below:</w:t>
      </w:r>
    </w:p>
    <w:p>
      <w:pPr>
        <w:sectPr>
          <w:pgSz w:w="11900" w:h="16838" w:orient="portrait"/>
          <w:cols w:equalWidth="0" w:num="1">
            <w:col w:w="9080"/>
          </w:cols>
          <w:pgMar w:left="1400" w:top="1440" w:right="1419" w:bottom="0" w:gutter="0" w:footer="0" w:header="0"/>
          <w:type w:val="continuous"/>
        </w:sectPr>
      </w:pPr>
    </w:p>
    <w:bookmarkStart w:id="62" w:name="page63"/>
    <w:bookmarkEnd w:id="62"/>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53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10375" cy="653415"/>
                    </a:xfrm>
                    <a:prstGeom prst="rect">
                      <a:avLst/>
                    </a:prstGeom>
                    <a:noFill/>
                  </pic:spPr>
                </pic:pic>
              </a:graphicData>
            </a:graphic>
          </wp:anchor>
        </w:drawing>
        <w:t>Huron Consulting Group Inc.</w:t>
      </w:r>
      <w:r>
        <w:rPr>
          <w:sz w:val="20"/>
          <w:szCs w:val="20"/>
          <w:color w:val="auto"/>
        </w:rPr>
        <w:tab/>
      </w:r>
      <w:r>
        <w:rPr>
          <w:rFonts w:ascii="Arial" w:cs="Arial" w:eastAsia="Arial" w:hAnsi="Arial"/>
          <w:sz w:val="25"/>
          <w:szCs w:val="25"/>
          <w:b w:val="1"/>
          <w:bCs w:val="1"/>
          <w:color w:val="00558C"/>
          <w:vertAlign w:val="superscript"/>
        </w:rPr>
        <w:t>61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867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33" w:lineRule="exact"/>
        <w:rPr>
          <w:sz w:val="20"/>
          <w:szCs w:val="20"/>
          <w:color w:val="auto"/>
        </w:rPr>
      </w:pPr>
    </w:p>
    <w:p>
      <w:pPr>
        <w:ind w:left="740" w:right="120" w:hanging="327"/>
        <w:spacing w:after="0" w:line="269" w:lineRule="auto"/>
        <w:tabs>
          <w:tab w:leader="none" w:pos="74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The 2024 and 2025 performance units would continue to vest upon a Termination without Cause or Resignation for Good Reason or Permanent Disability or Death for each of the named executive officers with the number of shares determined based on actual performance through December 31, 2025 and prorated for the number of days that the executive was employed during the performance period.</w:t>
      </w:r>
    </w:p>
    <w:p>
      <w:pPr>
        <w:spacing w:after="0" w:line="20" w:lineRule="exact"/>
        <w:rPr>
          <w:rFonts w:ascii="Arial" w:cs="Arial" w:eastAsia="Arial" w:hAnsi="Arial"/>
          <w:sz w:val="14"/>
          <w:szCs w:val="14"/>
          <w:color w:val="auto"/>
        </w:rPr>
      </w:pPr>
    </w:p>
    <w:p>
      <w:pPr>
        <w:jc w:val="both"/>
        <w:ind w:left="740" w:right="280" w:hanging="327"/>
        <w:spacing w:after="0" w:line="273" w:lineRule="auto"/>
        <w:tabs>
          <w:tab w:leader="none" w:pos="740" w:val="left"/>
        </w:tabs>
        <w:numPr>
          <w:ilvl w:val="1"/>
          <w:numId w:val="75"/>
        </w:numPr>
        <w:rPr>
          <w:rFonts w:ascii="Arial" w:cs="Arial" w:eastAsia="Arial" w:hAnsi="Arial"/>
          <w:sz w:val="14"/>
          <w:szCs w:val="14"/>
          <w:color w:val="auto"/>
        </w:rPr>
      </w:pPr>
      <w:r>
        <w:rPr>
          <w:rFonts w:ascii="Arial" w:cs="Arial" w:eastAsia="Arial" w:hAnsi="Arial"/>
          <w:sz w:val="14"/>
          <w:szCs w:val="14"/>
          <w:color w:val="auto"/>
        </w:rPr>
        <w:t>All of the 2023 performance units would continue to vest upon a Termination without Cause or Resignation for Good Reason or Permanent Disability or Death for each of the named executive officers with the number of shares determined based on actual performance through December 31, 2025, which is the conclusion of performance period.</w:t>
      </w:r>
    </w:p>
    <w:p>
      <w:pPr>
        <w:spacing w:after="0" w:line="17" w:lineRule="exact"/>
        <w:rPr>
          <w:rFonts w:ascii="Arial" w:cs="Arial" w:eastAsia="Arial" w:hAnsi="Arial"/>
          <w:sz w:val="14"/>
          <w:szCs w:val="14"/>
          <w:color w:val="auto"/>
        </w:rPr>
      </w:pPr>
    </w:p>
    <w:p>
      <w:pPr>
        <w:jc w:val="both"/>
        <w:ind w:left="740" w:right="100" w:hanging="327"/>
        <w:spacing w:after="0" w:line="283" w:lineRule="auto"/>
        <w:tabs>
          <w:tab w:leader="none" w:pos="740" w:val="left"/>
        </w:tabs>
        <w:numPr>
          <w:ilvl w:val="1"/>
          <w:numId w:val="75"/>
        </w:numPr>
        <w:rPr>
          <w:rFonts w:ascii="Arial" w:cs="Arial" w:eastAsia="Arial" w:hAnsi="Arial"/>
          <w:sz w:val="14"/>
          <w:szCs w:val="14"/>
          <w:color w:val="auto"/>
        </w:rPr>
      </w:pPr>
      <w:r>
        <w:rPr>
          <w:rFonts w:ascii="Arial" w:cs="Arial" w:eastAsia="Arial" w:hAnsi="Arial"/>
          <w:sz w:val="14"/>
          <w:szCs w:val="14"/>
          <w:color w:val="auto"/>
        </w:rPr>
        <w:t>Additionally, in the event an executive qualifies for an approved retirement, they would receive continued vesting of their stock per the schedule as outlined in the grant agreements. (As of December 31, 2025, Mr. Hussey satisfied the age and service retirement criteria for these programs.)</w:t>
      </w:r>
    </w:p>
    <w:p>
      <w:pPr>
        <w:spacing w:after="0" w:line="10" w:lineRule="exact"/>
        <w:rPr>
          <w:rFonts w:ascii="Arial" w:cs="Arial" w:eastAsia="Arial" w:hAnsi="Arial"/>
          <w:sz w:val="14"/>
          <w:szCs w:val="14"/>
          <w:color w:val="auto"/>
        </w:rPr>
      </w:pPr>
    </w:p>
    <w:p>
      <w:pPr>
        <w:ind w:left="740" w:hanging="330"/>
        <w:spacing w:after="0"/>
        <w:tabs>
          <w:tab w:leader="none" w:pos="74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Time-based RSAs and RSUs are forfeited in the event of a Termination without Cause or Resignation for Good Reason.</w:t>
      </w:r>
    </w:p>
    <w:p>
      <w:pPr>
        <w:spacing w:after="0" w:line="55" w:lineRule="exact"/>
        <w:rPr>
          <w:rFonts w:ascii="Arial" w:cs="Arial" w:eastAsia="Arial" w:hAnsi="Arial"/>
          <w:sz w:val="14"/>
          <w:szCs w:val="14"/>
          <w:color w:val="auto"/>
        </w:rPr>
      </w:pPr>
    </w:p>
    <w:p>
      <w:pPr>
        <w:ind w:left="420" w:right="300" w:hanging="331"/>
        <w:spacing w:after="0" w:line="305" w:lineRule="auto"/>
        <w:tabs>
          <w:tab w:leader="none" w:pos="4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 the event that estimated change in control severance benefits would exceed the safe harbor threshold under Section 280G of the Internal Revenue Code, such benefits are reduced to the maximum amount that does not result in the imposition of any excise tax.</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Pay Versus Performance</w:t>
      </w:r>
    </w:p>
    <w:p>
      <w:pPr>
        <w:spacing w:after="0" w:line="153"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Company is providing the following disclosure about the relationship of the compensation actually paid to our chief executive officer and other named executive officers and our total shareholder return, peer group shareholder return, our net income and our revenues. The information set forth below was not used by the Compensation Committee in setting compensation for our named executive officers as set forth in the Summary Compensation Table.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40" w:type="dxa"/>
            <w:vAlign w:val="bottom"/>
            <w:shd w:val="clear" w:color="auto" w:fill="00588C"/>
          </w:tcPr>
          <w:p>
            <w:pPr>
              <w:spacing w:after="0"/>
              <w:rPr>
                <w:sz w:val="24"/>
                <w:szCs w:val="24"/>
                <w:color w:val="auto"/>
              </w:rPr>
            </w:pPr>
          </w:p>
        </w:tc>
        <w:tc>
          <w:tcPr>
            <w:tcW w:w="1160" w:type="dxa"/>
            <w:vAlign w:val="bottom"/>
            <w:shd w:val="clear" w:color="auto" w:fill="00588C"/>
          </w:tcPr>
          <w:p>
            <w:pPr>
              <w:spacing w:after="0"/>
              <w:rPr>
                <w:sz w:val="24"/>
                <w:szCs w:val="24"/>
                <w:color w:val="auto"/>
              </w:rPr>
            </w:pPr>
          </w:p>
        </w:tc>
        <w:tc>
          <w:tcPr>
            <w:tcW w:w="1140" w:type="dxa"/>
            <w:vAlign w:val="bottom"/>
            <w:shd w:val="clear" w:color="auto" w:fill="00588C"/>
          </w:tcPr>
          <w:p>
            <w:pPr>
              <w:spacing w:after="0"/>
              <w:rPr>
                <w:sz w:val="24"/>
                <w:szCs w:val="24"/>
                <w:color w:val="auto"/>
              </w:rPr>
            </w:pPr>
          </w:p>
        </w:tc>
        <w:tc>
          <w:tcPr>
            <w:tcW w:w="1160" w:type="dxa"/>
            <w:vAlign w:val="bottom"/>
            <w:shd w:val="clear" w:color="auto" w:fill="00588C"/>
          </w:tcPr>
          <w:p>
            <w:pPr>
              <w:spacing w:after="0"/>
              <w:rPr>
                <w:sz w:val="24"/>
                <w:szCs w:val="24"/>
                <w:color w:val="auto"/>
              </w:rPr>
            </w:pPr>
          </w:p>
        </w:tc>
        <w:tc>
          <w:tcPr>
            <w:tcW w:w="1140" w:type="dxa"/>
            <w:vAlign w:val="bottom"/>
            <w:shd w:val="clear" w:color="auto" w:fill="00588C"/>
          </w:tcPr>
          <w:p>
            <w:pPr>
              <w:spacing w:after="0"/>
              <w:rPr>
                <w:sz w:val="24"/>
                <w:szCs w:val="24"/>
                <w:color w:val="auto"/>
              </w:rPr>
            </w:pPr>
          </w:p>
        </w:tc>
        <w:tc>
          <w:tcPr>
            <w:tcW w:w="2040" w:type="dxa"/>
            <w:vAlign w:val="bottom"/>
            <w:gridSpan w:val="2"/>
            <w:shd w:val="clear" w:color="auto" w:fill="00588C"/>
          </w:tcPr>
          <w:p>
            <w:pPr>
              <w:jc w:val="right"/>
              <w:ind w:right="213"/>
              <w:spacing w:after="0"/>
              <w:rPr>
                <w:sz w:val="20"/>
                <w:szCs w:val="20"/>
                <w:color w:val="auto"/>
              </w:rPr>
            </w:pPr>
            <w:r>
              <w:rPr>
                <w:rFonts w:ascii="Arial" w:cs="Arial" w:eastAsia="Arial" w:hAnsi="Arial"/>
                <w:sz w:val="13"/>
                <w:szCs w:val="13"/>
                <w:b w:val="1"/>
                <w:bCs w:val="1"/>
                <w:color w:val="FFFFFF"/>
              </w:rPr>
              <w:t>Value of Initial Fixed $100</w:t>
            </w:r>
          </w:p>
        </w:tc>
        <w:tc>
          <w:tcPr>
            <w:tcW w:w="720" w:type="dxa"/>
            <w:vAlign w:val="bottom"/>
            <w:shd w:val="clear" w:color="auto" w:fill="00588C"/>
          </w:tcPr>
          <w:p>
            <w:pPr>
              <w:spacing w:after="0"/>
              <w:rPr>
                <w:sz w:val="24"/>
                <w:szCs w:val="24"/>
                <w:color w:val="auto"/>
              </w:rPr>
            </w:pPr>
          </w:p>
        </w:tc>
        <w:tc>
          <w:tcPr>
            <w:tcW w:w="1120" w:type="dxa"/>
            <w:vAlign w:val="bottom"/>
            <w:vMerge w:val="restart"/>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Company-</w:t>
            </w:r>
          </w:p>
        </w:tc>
        <w:tc>
          <w:tcPr>
            <w:tcW w:w="60" w:type="dxa"/>
            <w:vAlign w:val="bottom"/>
            <w:shd w:val="clear" w:color="auto" w:fill="00588C"/>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0" w:type="dxa"/>
            <w:vAlign w:val="bottom"/>
            <w:shd w:val="clear" w:color="auto" w:fill="00588C"/>
          </w:tcPr>
          <w:p>
            <w:pPr>
              <w:spacing w:after="0"/>
              <w:rPr>
                <w:sz w:val="8"/>
                <w:szCs w:val="8"/>
                <w:color w:val="auto"/>
              </w:rPr>
            </w:pPr>
          </w:p>
        </w:tc>
        <w:tc>
          <w:tcPr>
            <w:tcW w:w="116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116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2040" w:type="dxa"/>
            <w:vAlign w:val="bottom"/>
            <w:gridSpan w:val="2"/>
            <w:vMerge w:val="restart"/>
            <w:shd w:val="clear" w:color="auto" w:fill="00588C"/>
          </w:tcPr>
          <w:p>
            <w:pPr>
              <w:jc w:val="right"/>
              <w:ind w:right="313"/>
              <w:spacing w:after="0"/>
              <w:rPr>
                <w:sz w:val="20"/>
                <w:szCs w:val="20"/>
                <w:color w:val="auto"/>
              </w:rPr>
            </w:pPr>
            <w:r>
              <w:rPr>
                <w:rFonts w:ascii="Arial" w:cs="Arial" w:eastAsia="Arial" w:hAnsi="Arial"/>
                <w:sz w:val="13"/>
                <w:szCs w:val="13"/>
                <w:b w:val="1"/>
                <w:bCs w:val="1"/>
                <w:color w:val="FFFFFF"/>
              </w:rPr>
              <w:t>Investment Based On:</w:t>
            </w:r>
          </w:p>
        </w:tc>
        <w:tc>
          <w:tcPr>
            <w:tcW w:w="720" w:type="dxa"/>
            <w:vAlign w:val="bottom"/>
            <w:shd w:val="clear" w:color="auto" w:fill="00588C"/>
          </w:tcPr>
          <w:p>
            <w:pPr>
              <w:spacing w:after="0"/>
              <w:rPr>
                <w:sz w:val="8"/>
                <w:szCs w:val="8"/>
                <w:color w:val="auto"/>
              </w:rPr>
            </w:pPr>
          </w:p>
        </w:tc>
        <w:tc>
          <w:tcPr>
            <w:tcW w:w="1120" w:type="dxa"/>
            <w:vAlign w:val="bottom"/>
            <w:vMerge w:val="continue"/>
            <w:shd w:val="clear" w:color="auto" w:fill="00588C"/>
          </w:tcPr>
          <w:p>
            <w:pPr>
              <w:spacing w:after="0"/>
              <w:rPr>
                <w:sz w:val="8"/>
                <w:szCs w:val="8"/>
                <w:color w:val="auto"/>
              </w:rPr>
            </w:pPr>
          </w:p>
        </w:tc>
        <w:tc>
          <w:tcPr>
            <w:tcW w:w="60" w:type="dxa"/>
            <w:vAlign w:val="bottom"/>
            <w:shd w:val="clear" w:color="auto" w:fill="00588C"/>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40" w:type="dxa"/>
            <w:vAlign w:val="bottom"/>
            <w:shd w:val="clear" w:color="auto" w:fill="00588C"/>
          </w:tcPr>
          <w:p>
            <w:pPr>
              <w:spacing w:after="0"/>
              <w:rPr>
                <w:sz w:val="7"/>
                <w:szCs w:val="7"/>
                <w:color w:val="auto"/>
              </w:rPr>
            </w:pPr>
          </w:p>
        </w:tc>
        <w:tc>
          <w:tcPr>
            <w:tcW w:w="1160" w:type="dxa"/>
            <w:vAlign w:val="bottom"/>
            <w:shd w:val="clear" w:color="auto" w:fill="00588C"/>
          </w:tcPr>
          <w:p>
            <w:pPr>
              <w:spacing w:after="0"/>
              <w:rPr>
                <w:sz w:val="7"/>
                <w:szCs w:val="7"/>
                <w:color w:val="auto"/>
              </w:rPr>
            </w:pPr>
          </w:p>
        </w:tc>
        <w:tc>
          <w:tcPr>
            <w:tcW w:w="1140" w:type="dxa"/>
            <w:vAlign w:val="bottom"/>
            <w:shd w:val="clear" w:color="auto" w:fill="00588C"/>
          </w:tcPr>
          <w:p>
            <w:pPr>
              <w:spacing w:after="0"/>
              <w:rPr>
                <w:sz w:val="7"/>
                <w:szCs w:val="7"/>
                <w:color w:val="auto"/>
              </w:rPr>
            </w:pPr>
          </w:p>
        </w:tc>
        <w:tc>
          <w:tcPr>
            <w:tcW w:w="1160" w:type="dxa"/>
            <w:vAlign w:val="bottom"/>
            <w:vMerge w:val="restart"/>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Average</w:t>
            </w:r>
          </w:p>
        </w:tc>
        <w:tc>
          <w:tcPr>
            <w:tcW w:w="1140" w:type="dxa"/>
            <w:vAlign w:val="bottom"/>
            <w:shd w:val="clear" w:color="auto" w:fill="00588C"/>
          </w:tcPr>
          <w:p>
            <w:pPr>
              <w:spacing w:after="0"/>
              <w:rPr>
                <w:sz w:val="7"/>
                <w:szCs w:val="7"/>
                <w:color w:val="auto"/>
              </w:rPr>
            </w:pPr>
          </w:p>
        </w:tc>
        <w:tc>
          <w:tcPr>
            <w:tcW w:w="2040" w:type="dxa"/>
            <w:vAlign w:val="bottom"/>
            <w:gridSpan w:val="2"/>
            <w:vMerge w:val="continue"/>
            <w:shd w:val="clear" w:color="auto" w:fill="00588C"/>
          </w:tcPr>
          <w:p>
            <w:pPr>
              <w:spacing w:after="0"/>
              <w:rPr>
                <w:sz w:val="7"/>
                <w:szCs w:val="7"/>
                <w:color w:val="auto"/>
              </w:rPr>
            </w:pPr>
          </w:p>
        </w:tc>
        <w:tc>
          <w:tcPr>
            <w:tcW w:w="720" w:type="dxa"/>
            <w:vAlign w:val="bottom"/>
            <w:shd w:val="clear" w:color="auto" w:fill="00588C"/>
          </w:tcPr>
          <w:p>
            <w:pPr>
              <w:spacing w:after="0"/>
              <w:rPr>
                <w:sz w:val="7"/>
                <w:szCs w:val="7"/>
                <w:color w:val="auto"/>
              </w:rPr>
            </w:pPr>
          </w:p>
        </w:tc>
        <w:tc>
          <w:tcPr>
            <w:tcW w:w="1120" w:type="dxa"/>
            <w:vAlign w:val="bottom"/>
            <w:vMerge w:val="restart"/>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Selected</w:t>
            </w:r>
          </w:p>
        </w:tc>
        <w:tc>
          <w:tcPr>
            <w:tcW w:w="60" w:type="dxa"/>
            <w:vAlign w:val="bottom"/>
            <w:shd w:val="clear" w:color="auto" w:fill="00588C"/>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540" w:type="dxa"/>
            <w:vAlign w:val="bottom"/>
            <w:shd w:val="clear" w:color="auto" w:fill="00588C"/>
          </w:tcPr>
          <w:p>
            <w:pPr>
              <w:spacing w:after="0"/>
              <w:rPr>
                <w:sz w:val="6"/>
                <w:szCs w:val="6"/>
                <w:color w:val="auto"/>
              </w:rPr>
            </w:pPr>
          </w:p>
        </w:tc>
        <w:tc>
          <w:tcPr>
            <w:tcW w:w="1160" w:type="dxa"/>
            <w:vAlign w:val="bottom"/>
            <w:shd w:val="clear" w:color="auto" w:fill="00588C"/>
          </w:tcPr>
          <w:p>
            <w:pPr>
              <w:spacing w:after="0"/>
              <w:rPr>
                <w:sz w:val="6"/>
                <w:szCs w:val="6"/>
                <w:color w:val="auto"/>
              </w:rPr>
            </w:pPr>
          </w:p>
        </w:tc>
        <w:tc>
          <w:tcPr>
            <w:tcW w:w="1140" w:type="dxa"/>
            <w:vAlign w:val="bottom"/>
            <w:shd w:val="clear" w:color="auto" w:fill="00588C"/>
          </w:tcPr>
          <w:p>
            <w:pPr>
              <w:spacing w:after="0"/>
              <w:rPr>
                <w:sz w:val="6"/>
                <w:szCs w:val="6"/>
                <w:color w:val="auto"/>
              </w:rPr>
            </w:pPr>
          </w:p>
        </w:tc>
        <w:tc>
          <w:tcPr>
            <w:tcW w:w="1160" w:type="dxa"/>
            <w:vAlign w:val="bottom"/>
            <w:vMerge w:val="continue"/>
            <w:shd w:val="clear" w:color="auto" w:fill="00588C"/>
          </w:tcPr>
          <w:p>
            <w:pPr>
              <w:spacing w:after="0"/>
              <w:rPr>
                <w:sz w:val="6"/>
                <w:szCs w:val="6"/>
                <w:color w:val="auto"/>
              </w:rPr>
            </w:pPr>
          </w:p>
        </w:tc>
        <w:tc>
          <w:tcPr>
            <w:tcW w:w="1140" w:type="dxa"/>
            <w:vAlign w:val="bottom"/>
            <w:shd w:val="clear" w:color="auto" w:fill="00588C"/>
          </w:tcPr>
          <w:p>
            <w:pPr>
              <w:spacing w:after="0"/>
              <w:rPr>
                <w:sz w:val="6"/>
                <w:szCs w:val="6"/>
                <w:color w:val="auto"/>
              </w:rPr>
            </w:pPr>
          </w:p>
        </w:tc>
        <w:tc>
          <w:tcPr>
            <w:tcW w:w="1020" w:type="dxa"/>
            <w:vAlign w:val="bottom"/>
            <w:shd w:val="clear" w:color="auto" w:fill="00588C"/>
          </w:tcPr>
          <w:p>
            <w:pPr>
              <w:spacing w:after="0"/>
              <w:rPr>
                <w:sz w:val="6"/>
                <w:szCs w:val="6"/>
                <w:color w:val="auto"/>
              </w:rPr>
            </w:pPr>
          </w:p>
        </w:tc>
        <w:tc>
          <w:tcPr>
            <w:tcW w:w="1020" w:type="dxa"/>
            <w:vAlign w:val="bottom"/>
            <w:shd w:val="clear" w:color="auto" w:fill="00588C"/>
          </w:tcPr>
          <w:p>
            <w:pPr>
              <w:spacing w:after="0"/>
              <w:rPr>
                <w:sz w:val="6"/>
                <w:szCs w:val="6"/>
                <w:color w:val="auto"/>
              </w:rPr>
            </w:pPr>
          </w:p>
        </w:tc>
        <w:tc>
          <w:tcPr>
            <w:tcW w:w="720" w:type="dxa"/>
            <w:vAlign w:val="bottom"/>
            <w:shd w:val="clear" w:color="auto" w:fill="00588C"/>
          </w:tcPr>
          <w:p>
            <w:pPr>
              <w:spacing w:after="0"/>
              <w:rPr>
                <w:sz w:val="6"/>
                <w:szCs w:val="6"/>
                <w:color w:val="auto"/>
              </w:rPr>
            </w:pPr>
          </w:p>
        </w:tc>
        <w:tc>
          <w:tcPr>
            <w:tcW w:w="1120" w:type="dxa"/>
            <w:vAlign w:val="bottom"/>
            <w:vMerge w:val="continue"/>
            <w:shd w:val="clear" w:color="auto" w:fill="00588C"/>
          </w:tcPr>
          <w:p>
            <w:pPr>
              <w:spacing w:after="0"/>
              <w:rPr>
                <w:sz w:val="6"/>
                <w:szCs w:val="6"/>
                <w:color w:val="auto"/>
              </w:rPr>
            </w:pPr>
          </w:p>
        </w:tc>
        <w:tc>
          <w:tcPr>
            <w:tcW w:w="60" w:type="dxa"/>
            <w:vAlign w:val="bottom"/>
            <w:shd w:val="clear" w:color="auto" w:fill="00588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00588C"/>
          </w:tcPr>
          <w:p>
            <w:pPr>
              <w:spacing w:after="0"/>
              <w:rPr>
                <w:sz w:val="14"/>
                <w:szCs w:val="14"/>
                <w:color w:val="auto"/>
              </w:rPr>
            </w:pPr>
          </w:p>
        </w:tc>
        <w:tc>
          <w:tcPr>
            <w:tcW w:w="1160" w:type="dxa"/>
            <w:vAlign w:val="bottom"/>
            <w:shd w:val="clear" w:color="auto" w:fill="00588C"/>
          </w:tcPr>
          <w:p>
            <w:pPr>
              <w:spacing w:after="0"/>
              <w:rPr>
                <w:sz w:val="14"/>
                <w:szCs w:val="14"/>
                <w:color w:val="auto"/>
              </w:rPr>
            </w:pPr>
          </w:p>
        </w:tc>
        <w:tc>
          <w:tcPr>
            <w:tcW w:w="1140" w:type="dxa"/>
            <w:vAlign w:val="bottom"/>
            <w:shd w:val="clear" w:color="auto" w:fill="00588C"/>
          </w:tcPr>
          <w:p>
            <w:pPr>
              <w:spacing w:after="0"/>
              <w:rPr>
                <w:sz w:val="14"/>
                <w:szCs w:val="14"/>
                <w:color w:val="auto"/>
              </w:rPr>
            </w:pPr>
          </w:p>
        </w:tc>
        <w:tc>
          <w:tcPr>
            <w:tcW w:w="116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00588C"/>
          </w:tcPr>
          <w:p>
            <w:pPr>
              <w:jc w:val="right"/>
              <w:ind w:right="55"/>
              <w:spacing w:after="0"/>
              <w:rPr>
                <w:sz w:val="20"/>
                <w:szCs w:val="20"/>
                <w:color w:val="auto"/>
              </w:rPr>
            </w:pPr>
            <w:r>
              <w:rPr>
                <w:rFonts w:ascii="Arial" w:cs="Arial" w:eastAsia="Arial" w:hAnsi="Arial"/>
                <w:sz w:val="13"/>
                <w:szCs w:val="13"/>
                <w:b w:val="1"/>
                <w:bCs w:val="1"/>
                <w:color w:val="FFFFFF"/>
              </w:rPr>
              <w:t>Average</w:t>
            </w:r>
          </w:p>
        </w:tc>
        <w:tc>
          <w:tcPr>
            <w:tcW w:w="1020" w:type="dxa"/>
            <w:vAlign w:val="bottom"/>
            <w:shd w:val="clear" w:color="auto" w:fill="00588C"/>
          </w:tcPr>
          <w:p>
            <w:pPr>
              <w:spacing w:after="0"/>
              <w:rPr>
                <w:sz w:val="14"/>
                <w:szCs w:val="14"/>
                <w:color w:val="auto"/>
              </w:rPr>
            </w:pPr>
          </w:p>
        </w:tc>
        <w:tc>
          <w:tcPr>
            <w:tcW w:w="1020" w:type="dxa"/>
            <w:vAlign w:val="bottom"/>
            <w:vMerge w:val="restart"/>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Peer Group</w:t>
            </w:r>
          </w:p>
        </w:tc>
        <w:tc>
          <w:tcPr>
            <w:tcW w:w="720" w:type="dxa"/>
            <w:vAlign w:val="bottom"/>
            <w:shd w:val="clear" w:color="auto" w:fill="00588C"/>
          </w:tcPr>
          <w:p>
            <w:pPr>
              <w:spacing w:after="0"/>
              <w:rPr>
                <w:sz w:val="14"/>
                <w:szCs w:val="14"/>
                <w:color w:val="auto"/>
              </w:rPr>
            </w:pPr>
          </w:p>
        </w:tc>
        <w:tc>
          <w:tcPr>
            <w:tcW w:w="11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Measure:</w:t>
            </w:r>
          </w:p>
        </w:tc>
        <w:tc>
          <w:tcPr>
            <w:tcW w:w="60" w:type="dxa"/>
            <w:vAlign w:val="bottom"/>
            <w:shd w:val="clear" w:color="auto" w:fill="00588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shd w:val="clear" w:color="auto" w:fill="00588C"/>
          </w:tcPr>
          <w:p>
            <w:pPr>
              <w:spacing w:after="0"/>
              <w:rPr>
                <w:sz w:val="12"/>
                <w:szCs w:val="12"/>
                <w:color w:val="auto"/>
              </w:rPr>
            </w:pPr>
          </w:p>
        </w:tc>
        <w:tc>
          <w:tcPr>
            <w:tcW w:w="116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00588C"/>
          </w:tcPr>
          <w:p>
            <w:pPr>
              <w:spacing w:after="0"/>
              <w:rPr>
                <w:sz w:val="12"/>
                <w:szCs w:val="12"/>
                <w:color w:val="auto"/>
              </w:rPr>
            </w:pPr>
          </w:p>
        </w:tc>
        <w:tc>
          <w:tcPr>
            <w:tcW w:w="1160" w:type="dxa"/>
            <w:vAlign w:val="bottom"/>
            <w:shd w:val="clear" w:color="auto" w:fill="00588C"/>
          </w:tcPr>
          <w:p>
            <w:pPr>
              <w:jc w:val="right"/>
              <w:ind w:right="93"/>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588C"/>
          </w:tcPr>
          <w:p>
            <w:pPr>
              <w:jc w:val="right"/>
              <w:ind w:right="75"/>
              <w:spacing w:after="0"/>
              <w:rPr>
                <w:sz w:val="20"/>
                <w:szCs w:val="20"/>
                <w:color w:val="auto"/>
              </w:rPr>
            </w:pPr>
            <w:r>
              <w:rPr>
                <w:rFonts w:ascii="Arial" w:cs="Arial" w:eastAsia="Arial" w:hAnsi="Arial"/>
                <w:sz w:val="13"/>
                <w:szCs w:val="13"/>
                <w:b w:val="1"/>
                <w:bCs w:val="1"/>
                <w:color w:val="FFFFFF"/>
              </w:rPr>
              <w:t>Compensation</w:t>
            </w:r>
          </w:p>
        </w:tc>
        <w:tc>
          <w:tcPr>
            <w:tcW w:w="1020" w:type="dxa"/>
            <w:vAlign w:val="bottom"/>
            <w:shd w:val="clear" w:color="auto" w:fill="00588C"/>
          </w:tcPr>
          <w:p>
            <w:pPr>
              <w:spacing w:after="0"/>
              <w:rPr>
                <w:sz w:val="12"/>
                <w:szCs w:val="12"/>
                <w:color w:val="auto"/>
              </w:rPr>
            </w:pPr>
          </w:p>
        </w:tc>
        <w:tc>
          <w:tcPr>
            <w:tcW w:w="1020" w:type="dxa"/>
            <w:vAlign w:val="bottom"/>
            <w:vMerge w:val="continue"/>
            <w:shd w:val="clear" w:color="auto" w:fill="00588C"/>
          </w:tcPr>
          <w:p>
            <w:pPr>
              <w:spacing w:after="0"/>
              <w:rPr>
                <w:sz w:val="12"/>
                <w:szCs w:val="12"/>
                <w:color w:val="auto"/>
              </w:rPr>
            </w:pPr>
          </w:p>
        </w:tc>
        <w:tc>
          <w:tcPr>
            <w:tcW w:w="720" w:type="dxa"/>
            <w:vAlign w:val="bottom"/>
            <w:shd w:val="clear" w:color="auto" w:fill="00588C"/>
          </w:tcPr>
          <w:p>
            <w:pPr>
              <w:spacing w:after="0"/>
              <w:rPr>
                <w:sz w:val="12"/>
                <w:szCs w:val="12"/>
                <w:color w:val="auto"/>
              </w:rPr>
            </w:pPr>
          </w:p>
        </w:tc>
        <w:tc>
          <w:tcPr>
            <w:tcW w:w="11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Revenues</w:t>
            </w:r>
          </w:p>
        </w:tc>
        <w:tc>
          <w:tcPr>
            <w:tcW w:w="60" w:type="dxa"/>
            <w:vAlign w:val="bottom"/>
            <w:shd w:val="clear" w:color="auto" w:fill="00588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00588C"/>
          </w:tcPr>
          <w:p>
            <w:pPr>
              <w:spacing w:after="0"/>
              <w:rPr>
                <w:sz w:val="14"/>
                <w:szCs w:val="14"/>
                <w:color w:val="auto"/>
              </w:rPr>
            </w:pPr>
          </w:p>
        </w:tc>
        <w:tc>
          <w:tcPr>
            <w:tcW w:w="1160" w:type="dxa"/>
            <w:vAlign w:val="bottom"/>
            <w:shd w:val="clear" w:color="auto" w:fill="00588C"/>
          </w:tcPr>
          <w:p>
            <w:pPr>
              <w:jc w:val="right"/>
              <w:ind w:right="73"/>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588C"/>
          </w:tcPr>
          <w:p>
            <w:pPr>
              <w:jc w:val="right"/>
              <w:ind w:right="73"/>
              <w:spacing w:after="0"/>
              <w:rPr>
                <w:sz w:val="20"/>
                <w:szCs w:val="20"/>
                <w:color w:val="auto"/>
              </w:rPr>
            </w:pPr>
            <w:r>
              <w:rPr>
                <w:rFonts w:ascii="Arial" w:cs="Arial" w:eastAsia="Arial" w:hAnsi="Arial"/>
                <w:sz w:val="13"/>
                <w:szCs w:val="13"/>
                <w:b w:val="1"/>
                <w:bCs w:val="1"/>
                <w:color w:val="FFFFFF"/>
              </w:rPr>
              <w:t>Compensation</w:t>
            </w:r>
          </w:p>
        </w:tc>
        <w:tc>
          <w:tcPr>
            <w:tcW w:w="1160" w:type="dxa"/>
            <w:vAlign w:val="bottom"/>
            <w:shd w:val="clear" w:color="auto" w:fill="00588C"/>
          </w:tcPr>
          <w:p>
            <w:pPr>
              <w:jc w:val="right"/>
              <w:ind w:right="93"/>
              <w:spacing w:after="0"/>
              <w:rPr>
                <w:sz w:val="20"/>
                <w:szCs w:val="20"/>
                <w:color w:val="auto"/>
              </w:rPr>
            </w:pPr>
            <w:r>
              <w:rPr>
                <w:rFonts w:ascii="Arial" w:cs="Arial" w:eastAsia="Arial" w:hAnsi="Arial"/>
                <w:sz w:val="13"/>
                <w:szCs w:val="13"/>
                <w:b w:val="1"/>
                <w:bCs w:val="1"/>
                <w:color w:val="FFFFFF"/>
              </w:rPr>
              <w:t>Table Total for</w:t>
            </w:r>
          </w:p>
        </w:tc>
        <w:tc>
          <w:tcPr>
            <w:tcW w:w="1140" w:type="dxa"/>
            <w:vAlign w:val="bottom"/>
            <w:shd w:val="clear" w:color="auto" w:fill="00588C"/>
          </w:tcPr>
          <w:p>
            <w:pPr>
              <w:jc w:val="right"/>
              <w:ind w:right="75"/>
              <w:spacing w:after="0"/>
              <w:rPr>
                <w:sz w:val="20"/>
                <w:szCs w:val="20"/>
                <w:color w:val="auto"/>
              </w:rPr>
            </w:pPr>
            <w:r>
              <w:rPr>
                <w:rFonts w:ascii="Arial" w:cs="Arial" w:eastAsia="Arial" w:hAnsi="Arial"/>
                <w:sz w:val="13"/>
                <w:szCs w:val="13"/>
                <w:b w:val="1"/>
                <w:bCs w:val="1"/>
                <w:color w:val="FFFFFF"/>
              </w:rPr>
              <w:t>Actually Paid</w:t>
            </w:r>
          </w:p>
        </w:tc>
        <w:tc>
          <w:tcPr>
            <w:tcW w:w="10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Total</w:t>
            </w:r>
          </w:p>
        </w:tc>
        <w:tc>
          <w:tcPr>
            <w:tcW w:w="10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Total</w:t>
            </w:r>
          </w:p>
        </w:tc>
        <w:tc>
          <w:tcPr>
            <w:tcW w:w="720" w:type="dxa"/>
            <w:vAlign w:val="bottom"/>
            <w:shd w:val="clear" w:color="auto" w:fill="00588C"/>
          </w:tcPr>
          <w:p>
            <w:pPr>
              <w:spacing w:after="0"/>
              <w:rPr>
                <w:sz w:val="14"/>
                <w:szCs w:val="14"/>
                <w:color w:val="auto"/>
              </w:rPr>
            </w:pPr>
          </w:p>
        </w:tc>
        <w:tc>
          <w:tcPr>
            <w:tcW w:w="11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before</w:t>
            </w:r>
          </w:p>
        </w:tc>
        <w:tc>
          <w:tcPr>
            <w:tcW w:w="60" w:type="dxa"/>
            <w:vAlign w:val="bottom"/>
            <w:shd w:val="clear" w:color="auto" w:fill="00588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 w:type="dxa"/>
            <w:vAlign w:val="bottom"/>
            <w:shd w:val="clear" w:color="auto" w:fill="00588C"/>
          </w:tcPr>
          <w:p>
            <w:pPr>
              <w:spacing w:after="0"/>
              <w:rPr>
                <w:sz w:val="13"/>
                <w:szCs w:val="13"/>
                <w:color w:val="auto"/>
              </w:rPr>
            </w:pPr>
          </w:p>
        </w:tc>
        <w:tc>
          <w:tcPr>
            <w:tcW w:w="1160" w:type="dxa"/>
            <w:vAlign w:val="bottom"/>
            <w:shd w:val="clear" w:color="auto" w:fill="00588C"/>
          </w:tcPr>
          <w:p>
            <w:pPr>
              <w:jc w:val="right"/>
              <w:ind w:right="93"/>
              <w:spacing w:after="0"/>
              <w:rPr>
                <w:sz w:val="20"/>
                <w:szCs w:val="20"/>
                <w:color w:val="auto"/>
              </w:rPr>
            </w:pPr>
            <w:r>
              <w:rPr>
                <w:rFonts w:ascii="Arial" w:cs="Arial" w:eastAsia="Arial" w:hAnsi="Arial"/>
                <w:sz w:val="13"/>
                <w:szCs w:val="13"/>
                <w:b w:val="1"/>
                <w:bCs w:val="1"/>
                <w:color w:val="FFFFFF"/>
              </w:rPr>
              <w:t>Table Total for</w:t>
            </w:r>
          </w:p>
        </w:tc>
        <w:tc>
          <w:tcPr>
            <w:tcW w:w="114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Actually Paid</w:t>
            </w:r>
          </w:p>
        </w:tc>
        <w:tc>
          <w:tcPr>
            <w:tcW w:w="116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Non-PEO</w:t>
            </w:r>
          </w:p>
        </w:tc>
        <w:tc>
          <w:tcPr>
            <w:tcW w:w="1140" w:type="dxa"/>
            <w:vAlign w:val="bottom"/>
            <w:shd w:val="clear" w:color="auto" w:fill="00588C"/>
          </w:tcPr>
          <w:p>
            <w:pPr>
              <w:jc w:val="right"/>
              <w:ind w:right="55"/>
              <w:spacing w:after="0"/>
              <w:rPr>
                <w:sz w:val="20"/>
                <w:szCs w:val="20"/>
                <w:color w:val="auto"/>
              </w:rPr>
            </w:pPr>
            <w:r>
              <w:rPr>
                <w:rFonts w:ascii="Arial" w:cs="Arial" w:eastAsia="Arial" w:hAnsi="Arial"/>
                <w:sz w:val="13"/>
                <w:szCs w:val="13"/>
                <w:b w:val="1"/>
                <w:bCs w:val="1"/>
                <w:color w:val="FFFFFF"/>
              </w:rPr>
              <w:t>to Non-PEO</w:t>
            </w:r>
          </w:p>
        </w:tc>
        <w:tc>
          <w:tcPr>
            <w:tcW w:w="102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Shareholder</w:t>
            </w:r>
          </w:p>
        </w:tc>
        <w:tc>
          <w:tcPr>
            <w:tcW w:w="102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Shareholder</w:t>
            </w:r>
          </w:p>
        </w:tc>
        <w:tc>
          <w:tcPr>
            <w:tcW w:w="7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Net</w:t>
            </w:r>
          </w:p>
        </w:tc>
        <w:tc>
          <w:tcPr>
            <w:tcW w:w="1120" w:type="dxa"/>
            <w:vAlign w:val="bottom"/>
            <w:shd w:val="clear" w:color="auto" w:fill="00588C"/>
          </w:tcPr>
          <w:p>
            <w:pPr>
              <w:jc w:val="right"/>
              <w:ind w:right="73"/>
              <w:spacing w:after="0"/>
              <w:rPr>
                <w:sz w:val="20"/>
                <w:szCs w:val="20"/>
                <w:color w:val="auto"/>
              </w:rPr>
            </w:pPr>
            <w:r>
              <w:rPr>
                <w:rFonts w:ascii="Arial" w:cs="Arial" w:eastAsia="Arial" w:hAnsi="Arial"/>
                <w:sz w:val="13"/>
                <w:szCs w:val="13"/>
                <w:b w:val="1"/>
                <w:bCs w:val="1"/>
                <w:color w:val="FFFFFF"/>
              </w:rPr>
              <w:t>Reimbursable</w:t>
            </w:r>
          </w:p>
        </w:tc>
        <w:tc>
          <w:tcPr>
            <w:tcW w:w="60" w:type="dxa"/>
            <w:vAlign w:val="bottom"/>
            <w:shd w:val="clear" w:color="auto" w:fill="00588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0" w:type="dxa"/>
            <w:vAlign w:val="bottom"/>
            <w:shd w:val="clear" w:color="auto" w:fill="00588C"/>
          </w:tcPr>
          <w:p>
            <w:pPr>
              <w:spacing w:after="0"/>
              <w:rPr>
                <w:sz w:val="14"/>
                <w:szCs w:val="14"/>
                <w:color w:val="auto"/>
              </w:rPr>
            </w:pPr>
          </w:p>
        </w:tc>
        <w:tc>
          <w:tcPr>
            <w:tcW w:w="116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PEO</w:t>
            </w:r>
          </w:p>
        </w:tc>
        <w:tc>
          <w:tcPr>
            <w:tcW w:w="114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to PEO</w:t>
            </w:r>
          </w:p>
        </w:tc>
        <w:tc>
          <w:tcPr>
            <w:tcW w:w="116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NEOs</w:t>
            </w:r>
          </w:p>
        </w:tc>
        <w:tc>
          <w:tcPr>
            <w:tcW w:w="114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NEOs</w:t>
            </w:r>
          </w:p>
        </w:tc>
        <w:tc>
          <w:tcPr>
            <w:tcW w:w="10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Return</w:t>
            </w:r>
          </w:p>
        </w:tc>
        <w:tc>
          <w:tcPr>
            <w:tcW w:w="1020" w:type="dxa"/>
            <w:vAlign w:val="bottom"/>
            <w:shd w:val="clear" w:color="auto" w:fill="00588C"/>
          </w:tcPr>
          <w:p>
            <w:pPr>
              <w:jc w:val="right"/>
              <w:spacing w:after="0" w:line="167" w:lineRule="exact"/>
              <w:rPr>
                <w:sz w:val="20"/>
                <w:szCs w:val="20"/>
                <w:color w:val="auto"/>
              </w:rPr>
            </w:pPr>
            <w:r>
              <w:rPr>
                <w:rFonts w:ascii="Arial" w:cs="Arial" w:eastAsia="Arial" w:hAnsi="Arial"/>
                <w:sz w:val="13"/>
                <w:szCs w:val="13"/>
                <w:b w:val="1"/>
                <w:bCs w:val="1"/>
                <w:color w:val="FFFFFF"/>
              </w:rPr>
              <w:t xml:space="preserve">Return </w:t>
            </w:r>
            <w:r>
              <w:rPr>
                <w:rFonts w:ascii="Arial" w:cs="Arial" w:eastAsia="Arial" w:hAnsi="Arial"/>
                <w:sz w:val="17"/>
                <w:szCs w:val="17"/>
                <w:b w:val="1"/>
                <w:bCs w:val="1"/>
                <w:color w:val="FFFFFF"/>
                <w:vertAlign w:val="superscript"/>
              </w:rPr>
              <w:t>(5)</w:t>
            </w:r>
          </w:p>
        </w:tc>
        <w:tc>
          <w:tcPr>
            <w:tcW w:w="7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Income</w:t>
            </w:r>
          </w:p>
        </w:tc>
        <w:tc>
          <w:tcPr>
            <w:tcW w:w="11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Expenses</w:t>
            </w:r>
          </w:p>
        </w:tc>
        <w:tc>
          <w:tcPr>
            <w:tcW w:w="60" w:type="dxa"/>
            <w:vAlign w:val="bottom"/>
            <w:shd w:val="clear" w:color="auto" w:fill="00588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40" w:type="dxa"/>
            <w:vAlign w:val="bottom"/>
            <w:shd w:val="clear" w:color="auto" w:fill="00588C"/>
          </w:tcPr>
          <w:p>
            <w:pPr>
              <w:ind w:left="140"/>
              <w:spacing w:after="0"/>
              <w:rPr>
                <w:sz w:val="20"/>
                <w:szCs w:val="20"/>
                <w:color w:val="auto"/>
              </w:rPr>
            </w:pPr>
            <w:r>
              <w:rPr>
                <w:rFonts w:ascii="Arial" w:cs="Arial" w:eastAsia="Arial" w:hAnsi="Arial"/>
                <w:sz w:val="13"/>
                <w:szCs w:val="13"/>
                <w:b w:val="1"/>
                <w:bCs w:val="1"/>
                <w:color w:val="FFFFFF"/>
              </w:rPr>
              <w:t>Year</w:t>
            </w:r>
          </w:p>
        </w:tc>
        <w:tc>
          <w:tcPr>
            <w:tcW w:w="116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vertAlign w:val="superscript"/>
              </w:rPr>
              <w:t>(1)</w:t>
            </w:r>
          </w:p>
        </w:tc>
        <w:tc>
          <w:tcPr>
            <w:tcW w:w="114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vertAlign w:val="superscript"/>
              </w:rPr>
              <w:t>(3)</w:t>
            </w:r>
          </w:p>
        </w:tc>
        <w:tc>
          <w:tcPr>
            <w:tcW w:w="116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vertAlign w:val="superscript"/>
              </w:rPr>
              <w:t>(2)</w:t>
            </w:r>
          </w:p>
        </w:tc>
        <w:tc>
          <w:tcPr>
            <w:tcW w:w="1140" w:type="dxa"/>
            <w:vAlign w:val="bottom"/>
            <w:shd w:val="clear" w:color="auto" w:fill="00588C"/>
          </w:tcPr>
          <w:p>
            <w:pPr>
              <w:jc w:val="right"/>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(2)(3)</w:t>
            </w:r>
          </w:p>
        </w:tc>
        <w:tc>
          <w:tcPr>
            <w:tcW w:w="102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($'000s)</w:t>
            </w:r>
          </w:p>
        </w:tc>
        <w:tc>
          <w:tcPr>
            <w:tcW w:w="112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($'000s) </w:t>
            </w:r>
            <w:r>
              <w:rPr>
                <w:rFonts w:ascii="Arial" w:cs="Arial" w:eastAsia="Arial" w:hAnsi="Arial"/>
                <w:sz w:val="17"/>
                <w:szCs w:val="17"/>
                <w:b w:val="1"/>
                <w:bCs w:val="1"/>
                <w:color w:val="FFFFFF"/>
                <w:vertAlign w:val="superscript"/>
              </w:rPr>
              <w:t>(6)</w:t>
            </w:r>
          </w:p>
        </w:tc>
        <w:tc>
          <w:tcPr>
            <w:tcW w:w="60" w:type="dxa"/>
            <w:vAlign w:val="bottom"/>
            <w:shd w:val="clear" w:color="auto" w:fill="00588C"/>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40" w:type="dxa"/>
            <w:vAlign w:val="bottom"/>
            <w:shd w:val="clear" w:color="auto" w:fill="00588C"/>
          </w:tcPr>
          <w:p>
            <w:pPr>
              <w:spacing w:after="0"/>
              <w:rPr>
                <w:sz w:val="8"/>
                <w:szCs w:val="8"/>
                <w:color w:val="auto"/>
              </w:rPr>
            </w:pPr>
          </w:p>
        </w:tc>
        <w:tc>
          <w:tcPr>
            <w:tcW w:w="116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116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1020" w:type="dxa"/>
            <w:vAlign w:val="bottom"/>
            <w:shd w:val="clear" w:color="auto" w:fill="00588C"/>
          </w:tcPr>
          <w:p>
            <w:pPr>
              <w:spacing w:after="0"/>
              <w:rPr>
                <w:sz w:val="8"/>
                <w:szCs w:val="8"/>
                <w:color w:val="auto"/>
              </w:rPr>
            </w:pPr>
          </w:p>
        </w:tc>
        <w:tc>
          <w:tcPr>
            <w:tcW w:w="1020" w:type="dxa"/>
            <w:vAlign w:val="bottom"/>
            <w:shd w:val="clear" w:color="auto" w:fill="00588C"/>
          </w:tcPr>
          <w:p>
            <w:pPr>
              <w:spacing w:after="0"/>
              <w:rPr>
                <w:sz w:val="8"/>
                <w:szCs w:val="8"/>
                <w:color w:val="auto"/>
              </w:rPr>
            </w:pPr>
          </w:p>
        </w:tc>
        <w:tc>
          <w:tcPr>
            <w:tcW w:w="720" w:type="dxa"/>
            <w:vAlign w:val="bottom"/>
            <w:shd w:val="clear" w:color="auto" w:fill="00588C"/>
          </w:tcPr>
          <w:p>
            <w:pPr>
              <w:spacing w:after="0"/>
              <w:rPr>
                <w:sz w:val="8"/>
                <w:szCs w:val="8"/>
                <w:color w:val="auto"/>
              </w:rPr>
            </w:pPr>
          </w:p>
        </w:tc>
        <w:tc>
          <w:tcPr>
            <w:tcW w:w="1120" w:type="dxa"/>
            <w:vAlign w:val="bottom"/>
            <w:shd w:val="clear" w:color="auto" w:fill="00588C"/>
          </w:tcPr>
          <w:p>
            <w:pPr>
              <w:spacing w:after="0"/>
              <w:rPr>
                <w:sz w:val="8"/>
                <w:szCs w:val="8"/>
                <w:color w:val="auto"/>
              </w:rPr>
            </w:pPr>
          </w:p>
        </w:tc>
        <w:tc>
          <w:tcPr>
            <w:tcW w:w="60" w:type="dxa"/>
            <w:vAlign w:val="bottom"/>
            <w:shd w:val="clear" w:color="auto" w:fill="00588C"/>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54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2025</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7,198,354</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14,304,427</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2,288,951</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4,228,623</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293</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154</w:t>
            </w:r>
          </w:p>
        </w:tc>
        <w:tc>
          <w:tcPr>
            <w:tcW w:w="7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105,040</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1,662,836</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14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140" w:type="dxa"/>
            <w:vAlign w:val="bottom"/>
            <w:shd w:val="clear" w:color="auto" w:fill="F2F3F2"/>
          </w:tcPr>
          <w:p>
            <w:pPr>
              <w:spacing w:after="0"/>
              <w:rPr>
                <w:sz w:val="9"/>
                <w:szCs w:val="9"/>
                <w:color w:val="auto"/>
              </w:rPr>
            </w:pPr>
          </w:p>
        </w:tc>
        <w:tc>
          <w:tcPr>
            <w:tcW w:w="1020" w:type="dxa"/>
            <w:vAlign w:val="bottom"/>
            <w:shd w:val="clear" w:color="auto" w:fill="F2F3F2"/>
          </w:tcPr>
          <w:p>
            <w:pPr>
              <w:spacing w:after="0"/>
              <w:rPr>
                <w:sz w:val="9"/>
                <w:szCs w:val="9"/>
                <w:color w:val="auto"/>
              </w:rPr>
            </w:pPr>
          </w:p>
        </w:tc>
        <w:tc>
          <w:tcPr>
            <w:tcW w:w="1020" w:type="dxa"/>
            <w:vAlign w:val="bottom"/>
            <w:shd w:val="clear" w:color="auto" w:fill="F2F3F2"/>
          </w:tcPr>
          <w:p>
            <w:pPr>
              <w:spacing w:after="0"/>
              <w:rPr>
                <w:sz w:val="9"/>
                <w:szCs w:val="9"/>
                <w:color w:val="auto"/>
              </w:rPr>
            </w:pPr>
          </w:p>
        </w:tc>
        <w:tc>
          <w:tcPr>
            <w:tcW w:w="720" w:type="dxa"/>
            <w:vAlign w:val="bottom"/>
            <w:shd w:val="clear" w:color="auto" w:fill="F2F3F2"/>
          </w:tcPr>
          <w:p>
            <w:pPr>
              <w:spacing w:after="0"/>
              <w:rPr>
                <w:sz w:val="9"/>
                <w:szCs w:val="9"/>
                <w:color w:val="auto"/>
              </w:rPr>
            </w:pPr>
          </w:p>
        </w:tc>
        <w:tc>
          <w:tcPr>
            <w:tcW w:w="1120" w:type="dxa"/>
            <w:vAlign w:val="bottom"/>
            <w:shd w:val="clear" w:color="auto" w:fill="F2F3F2"/>
          </w:tcPr>
          <w:p>
            <w:pPr>
              <w:spacing w:after="0"/>
              <w:rPr>
                <w:sz w:val="9"/>
                <w:szCs w:val="9"/>
                <w:color w:val="auto"/>
              </w:rPr>
            </w:pPr>
          </w:p>
        </w:tc>
        <w:tc>
          <w:tcPr>
            <w:tcW w:w="6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540" w:type="dxa"/>
            <w:vAlign w:val="bottom"/>
          </w:tcPr>
          <w:p>
            <w:pPr>
              <w:ind w:left="140"/>
              <w:spacing w:after="0"/>
              <w:rPr>
                <w:sz w:val="20"/>
                <w:szCs w:val="20"/>
                <w:color w:val="auto"/>
              </w:rPr>
            </w:pPr>
            <w:r>
              <w:rPr>
                <w:rFonts w:ascii="Arial" w:cs="Arial" w:eastAsia="Arial" w:hAnsi="Arial"/>
                <w:sz w:val="13"/>
                <w:szCs w:val="13"/>
                <w:b w:val="1"/>
                <w:bCs w:val="1"/>
                <w:color w:val="auto"/>
              </w:rPr>
              <w:t>2024</w:t>
            </w:r>
          </w:p>
        </w:tc>
        <w:tc>
          <w:tcPr>
            <w:tcW w:w="1160" w:type="dxa"/>
            <w:vAlign w:val="bottom"/>
          </w:tcPr>
          <w:p>
            <w:pPr>
              <w:jc w:val="right"/>
              <w:spacing w:after="0"/>
              <w:rPr>
                <w:sz w:val="20"/>
                <w:szCs w:val="20"/>
                <w:color w:val="auto"/>
              </w:rPr>
            </w:pPr>
            <w:r>
              <w:rPr>
                <w:rFonts w:ascii="Arial" w:cs="Arial" w:eastAsia="Arial" w:hAnsi="Arial"/>
                <w:sz w:val="13"/>
                <w:szCs w:val="13"/>
                <w:color w:val="auto"/>
              </w:rPr>
              <w:t>6,519,978</w:t>
            </w:r>
          </w:p>
        </w:tc>
        <w:tc>
          <w:tcPr>
            <w:tcW w:w="1140" w:type="dxa"/>
            <w:vAlign w:val="bottom"/>
          </w:tcPr>
          <w:p>
            <w:pPr>
              <w:jc w:val="right"/>
              <w:spacing w:after="0"/>
              <w:rPr>
                <w:sz w:val="20"/>
                <w:szCs w:val="20"/>
                <w:color w:val="auto"/>
              </w:rPr>
            </w:pPr>
            <w:r>
              <w:rPr>
                <w:rFonts w:ascii="Arial" w:cs="Arial" w:eastAsia="Arial" w:hAnsi="Arial"/>
                <w:sz w:val="13"/>
                <w:szCs w:val="13"/>
                <w:color w:val="auto"/>
              </w:rPr>
              <w:t>10,541,029</w:t>
            </w:r>
          </w:p>
        </w:tc>
        <w:tc>
          <w:tcPr>
            <w:tcW w:w="1160" w:type="dxa"/>
            <w:vAlign w:val="bottom"/>
          </w:tcPr>
          <w:p>
            <w:pPr>
              <w:jc w:val="right"/>
              <w:spacing w:after="0"/>
              <w:rPr>
                <w:sz w:val="20"/>
                <w:szCs w:val="20"/>
                <w:color w:val="auto"/>
              </w:rPr>
            </w:pPr>
            <w:r>
              <w:rPr>
                <w:rFonts w:ascii="Arial" w:cs="Arial" w:eastAsia="Arial" w:hAnsi="Arial"/>
                <w:sz w:val="13"/>
                <w:szCs w:val="13"/>
                <w:color w:val="auto"/>
              </w:rPr>
              <w:t>2,180,600</w:t>
            </w:r>
          </w:p>
        </w:tc>
        <w:tc>
          <w:tcPr>
            <w:tcW w:w="1140" w:type="dxa"/>
            <w:vAlign w:val="bottom"/>
          </w:tcPr>
          <w:p>
            <w:pPr>
              <w:jc w:val="right"/>
              <w:spacing w:after="0"/>
              <w:rPr>
                <w:sz w:val="20"/>
                <w:szCs w:val="20"/>
                <w:color w:val="auto"/>
              </w:rPr>
            </w:pPr>
            <w:r>
              <w:rPr>
                <w:rFonts w:ascii="Arial" w:cs="Arial" w:eastAsia="Arial" w:hAnsi="Arial"/>
                <w:sz w:val="13"/>
                <w:szCs w:val="13"/>
                <w:color w:val="auto"/>
              </w:rPr>
              <w:t>3,255,143</w:t>
            </w:r>
          </w:p>
        </w:tc>
        <w:tc>
          <w:tcPr>
            <w:tcW w:w="1020" w:type="dxa"/>
            <w:vAlign w:val="bottom"/>
          </w:tcPr>
          <w:p>
            <w:pPr>
              <w:jc w:val="right"/>
              <w:spacing w:after="0"/>
              <w:rPr>
                <w:sz w:val="20"/>
                <w:szCs w:val="20"/>
                <w:color w:val="auto"/>
              </w:rPr>
            </w:pPr>
            <w:r>
              <w:rPr>
                <w:rFonts w:ascii="Arial" w:cs="Arial" w:eastAsia="Arial" w:hAnsi="Arial"/>
                <w:sz w:val="13"/>
                <w:szCs w:val="13"/>
                <w:color w:val="auto"/>
              </w:rPr>
              <w:t>211</w:t>
            </w:r>
          </w:p>
        </w:tc>
        <w:tc>
          <w:tcPr>
            <w:tcW w:w="1020" w:type="dxa"/>
            <w:vAlign w:val="bottom"/>
          </w:tcPr>
          <w:p>
            <w:pPr>
              <w:jc w:val="right"/>
              <w:spacing w:after="0"/>
              <w:rPr>
                <w:sz w:val="20"/>
                <w:szCs w:val="20"/>
                <w:color w:val="auto"/>
              </w:rPr>
            </w:pPr>
            <w:r>
              <w:rPr>
                <w:rFonts w:ascii="Arial" w:cs="Arial" w:eastAsia="Arial" w:hAnsi="Arial"/>
                <w:sz w:val="13"/>
                <w:szCs w:val="13"/>
                <w:color w:val="auto"/>
              </w:rPr>
              <w:t>176</w:t>
            </w:r>
          </w:p>
        </w:tc>
        <w:tc>
          <w:tcPr>
            <w:tcW w:w="720" w:type="dxa"/>
            <w:vAlign w:val="bottom"/>
          </w:tcPr>
          <w:p>
            <w:pPr>
              <w:jc w:val="right"/>
              <w:spacing w:after="0"/>
              <w:rPr>
                <w:sz w:val="20"/>
                <w:szCs w:val="20"/>
                <w:color w:val="auto"/>
              </w:rPr>
            </w:pPr>
            <w:r>
              <w:rPr>
                <w:rFonts w:ascii="Arial" w:cs="Arial" w:eastAsia="Arial" w:hAnsi="Arial"/>
                <w:sz w:val="13"/>
                <w:szCs w:val="13"/>
                <w:color w:val="auto"/>
              </w:rPr>
              <w:t>116,626</w:t>
            </w:r>
          </w:p>
        </w:tc>
        <w:tc>
          <w:tcPr>
            <w:tcW w:w="1120" w:type="dxa"/>
            <w:vAlign w:val="bottom"/>
          </w:tcPr>
          <w:p>
            <w:pPr>
              <w:jc w:val="right"/>
              <w:spacing w:after="0"/>
              <w:rPr>
                <w:sz w:val="20"/>
                <w:szCs w:val="20"/>
                <w:color w:val="auto"/>
              </w:rPr>
            </w:pPr>
            <w:r>
              <w:rPr>
                <w:rFonts w:ascii="Arial" w:cs="Arial" w:eastAsia="Arial" w:hAnsi="Arial"/>
                <w:sz w:val="13"/>
                <w:szCs w:val="13"/>
                <w:color w:val="auto"/>
              </w:rPr>
              <w:t>1,486,085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54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2023</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5,706,403</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10,225,755</w:t>
            </w:r>
          </w:p>
        </w:tc>
        <w:tc>
          <w:tcPr>
            <w:tcW w:w="1160" w:type="dxa"/>
            <w:vAlign w:val="bottom"/>
            <w:shd w:val="clear" w:color="auto" w:fill="F2F3F2"/>
          </w:tcPr>
          <w:p>
            <w:pPr>
              <w:jc w:val="right"/>
              <w:ind w:right="13"/>
              <w:spacing w:after="0"/>
              <w:rPr>
                <w:sz w:val="20"/>
                <w:szCs w:val="20"/>
                <w:color w:val="auto"/>
              </w:rPr>
            </w:pPr>
            <w:r>
              <w:rPr>
                <w:rFonts w:ascii="Arial" w:cs="Arial" w:eastAsia="Arial" w:hAnsi="Arial"/>
                <w:sz w:val="13"/>
                <w:szCs w:val="13"/>
                <w:color w:val="auto"/>
              </w:rPr>
              <w:t>2,387,211</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4,398,093</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174</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178</w:t>
            </w:r>
          </w:p>
        </w:tc>
        <w:tc>
          <w:tcPr>
            <w:tcW w:w="7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62,479</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1,362,060</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14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140" w:type="dxa"/>
            <w:vAlign w:val="bottom"/>
            <w:shd w:val="clear" w:color="auto" w:fill="F2F3F2"/>
          </w:tcPr>
          <w:p>
            <w:pPr>
              <w:spacing w:after="0"/>
              <w:rPr>
                <w:sz w:val="9"/>
                <w:szCs w:val="9"/>
                <w:color w:val="auto"/>
              </w:rPr>
            </w:pPr>
          </w:p>
        </w:tc>
        <w:tc>
          <w:tcPr>
            <w:tcW w:w="1020" w:type="dxa"/>
            <w:vAlign w:val="bottom"/>
            <w:shd w:val="clear" w:color="auto" w:fill="F2F3F2"/>
          </w:tcPr>
          <w:p>
            <w:pPr>
              <w:spacing w:after="0"/>
              <w:rPr>
                <w:sz w:val="9"/>
                <w:szCs w:val="9"/>
                <w:color w:val="auto"/>
              </w:rPr>
            </w:pPr>
          </w:p>
        </w:tc>
        <w:tc>
          <w:tcPr>
            <w:tcW w:w="1020" w:type="dxa"/>
            <w:vAlign w:val="bottom"/>
            <w:shd w:val="clear" w:color="auto" w:fill="F2F3F2"/>
          </w:tcPr>
          <w:p>
            <w:pPr>
              <w:spacing w:after="0"/>
              <w:rPr>
                <w:sz w:val="9"/>
                <w:szCs w:val="9"/>
                <w:color w:val="auto"/>
              </w:rPr>
            </w:pPr>
          </w:p>
        </w:tc>
        <w:tc>
          <w:tcPr>
            <w:tcW w:w="720" w:type="dxa"/>
            <w:vAlign w:val="bottom"/>
            <w:shd w:val="clear" w:color="auto" w:fill="F2F3F2"/>
          </w:tcPr>
          <w:p>
            <w:pPr>
              <w:spacing w:after="0"/>
              <w:rPr>
                <w:sz w:val="9"/>
                <w:szCs w:val="9"/>
                <w:color w:val="auto"/>
              </w:rPr>
            </w:pPr>
          </w:p>
        </w:tc>
        <w:tc>
          <w:tcPr>
            <w:tcW w:w="1120" w:type="dxa"/>
            <w:vAlign w:val="bottom"/>
            <w:shd w:val="clear" w:color="auto" w:fill="F2F3F2"/>
          </w:tcPr>
          <w:p>
            <w:pPr>
              <w:spacing w:after="0"/>
              <w:rPr>
                <w:sz w:val="9"/>
                <w:szCs w:val="9"/>
                <w:color w:val="auto"/>
              </w:rPr>
            </w:pPr>
          </w:p>
        </w:tc>
        <w:tc>
          <w:tcPr>
            <w:tcW w:w="6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540" w:type="dxa"/>
            <w:vAlign w:val="bottom"/>
          </w:tcPr>
          <w:p>
            <w:pPr>
              <w:ind w:left="140"/>
              <w:spacing w:after="0"/>
              <w:rPr>
                <w:sz w:val="20"/>
                <w:szCs w:val="20"/>
                <w:color w:val="auto"/>
              </w:rPr>
            </w:pPr>
            <w:r>
              <w:rPr>
                <w:rFonts w:ascii="Arial" w:cs="Arial" w:eastAsia="Arial" w:hAnsi="Arial"/>
                <w:sz w:val="13"/>
                <w:szCs w:val="13"/>
                <w:b w:val="1"/>
                <w:bCs w:val="1"/>
                <w:color w:val="auto"/>
              </w:rPr>
              <w:t>2022</w:t>
            </w:r>
          </w:p>
        </w:tc>
        <w:tc>
          <w:tcPr>
            <w:tcW w:w="1160" w:type="dxa"/>
            <w:vAlign w:val="bottom"/>
          </w:tcPr>
          <w:p>
            <w:pPr>
              <w:jc w:val="right"/>
              <w:spacing w:after="0"/>
              <w:rPr>
                <w:sz w:val="20"/>
                <w:szCs w:val="20"/>
                <w:color w:val="auto"/>
              </w:rPr>
            </w:pPr>
            <w:r>
              <w:rPr>
                <w:rFonts w:ascii="Arial" w:cs="Arial" w:eastAsia="Arial" w:hAnsi="Arial"/>
                <w:sz w:val="13"/>
                <w:szCs w:val="13"/>
                <w:color w:val="auto"/>
              </w:rPr>
              <w:t>6,066,630</w:t>
            </w:r>
          </w:p>
        </w:tc>
        <w:tc>
          <w:tcPr>
            <w:tcW w:w="1140" w:type="dxa"/>
            <w:vAlign w:val="bottom"/>
          </w:tcPr>
          <w:p>
            <w:pPr>
              <w:jc w:val="right"/>
              <w:spacing w:after="0"/>
              <w:rPr>
                <w:sz w:val="20"/>
                <w:szCs w:val="20"/>
                <w:color w:val="auto"/>
              </w:rPr>
            </w:pPr>
            <w:r>
              <w:rPr>
                <w:rFonts w:ascii="Arial" w:cs="Arial" w:eastAsia="Arial" w:hAnsi="Arial"/>
                <w:sz w:val="13"/>
                <w:szCs w:val="13"/>
                <w:color w:val="auto"/>
              </w:rPr>
              <w:t>8,811,255</w:t>
            </w:r>
          </w:p>
        </w:tc>
        <w:tc>
          <w:tcPr>
            <w:tcW w:w="1160" w:type="dxa"/>
            <w:vAlign w:val="bottom"/>
          </w:tcPr>
          <w:p>
            <w:pPr>
              <w:jc w:val="right"/>
              <w:spacing w:after="0"/>
              <w:rPr>
                <w:sz w:val="20"/>
                <w:szCs w:val="20"/>
                <w:color w:val="auto"/>
              </w:rPr>
            </w:pPr>
            <w:r>
              <w:rPr>
                <w:rFonts w:ascii="Arial" w:cs="Arial" w:eastAsia="Arial" w:hAnsi="Arial"/>
                <w:sz w:val="13"/>
                <w:szCs w:val="13"/>
                <w:color w:val="auto"/>
              </w:rPr>
              <w:t>2,637,060</w:t>
            </w:r>
          </w:p>
        </w:tc>
        <w:tc>
          <w:tcPr>
            <w:tcW w:w="1140" w:type="dxa"/>
            <w:vAlign w:val="bottom"/>
          </w:tcPr>
          <w:p>
            <w:pPr>
              <w:jc w:val="right"/>
              <w:spacing w:after="0"/>
              <w:rPr>
                <w:sz w:val="20"/>
                <w:szCs w:val="20"/>
                <w:color w:val="auto"/>
              </w:rPr>
            </w:pPr>
            <w:r>
              <w:rPr>
                <w:rFonts w:ascii="Arial" w:cs="Arial" w:eastAsia="Arial" w:hAnsi="Arial"/>
                <w:sz w:val="13"/>
                <w:szCs w:val="13"/>
                <w:color w:val="auto"/>
              </w:rPr>
              <w:t>3,593,717</w:t>
            </w:r>
          </w:p>
        </w:tc>
        <w:tc>
          <w:tcPr>
            <w:tcW w:w="1020" w:type="dxa"/>
            <w:vAlign w:val="bottom"/>
          </w:tcPr>
          <w:p>
            <w:pPr>
              <w:jc w:val="right"/>
              <w:spacing w:after="0"/>
              <w:rPr>
                <w:sz w:val="20"/>
                <w:szCs w:val="20"/>
                <w:color w:val="auto"/>
              </w:rPr>
            </w:pPr>
            <w:r>
              <w:rPr>
                <w:rFonts w:ascii="Arial" w:cs="Arial" w:eastAsia="Arial" w:hAnsi="Arial"/>
                <w:sz w:val="13"/>
                <w:szCs w:val="13"/>
                <w:color w:val="auto"/>
              </w:rPr>
              <w:t>123</w:t>
            </w:r>
          </w:p>
        </w:tc>
        <w:tc>
          <w:tcPr>
            <w:tcW w:w="1020" w:type="dxa"/>
            <w:vAlign w:val="bottom"/>
          </w:tcPr>
          <w:p>
            <w:pPr>
              <w:jc w:val="right"/>
              <w:spacing w:after="0"/>
              <w:rPr>
                <w:sz w:val="20"/>
                <w:szCs w:val="20"/>
                <w:color w:val="auto"/>
              </w:rPr>
            </w:pPr>
            <w:r>
              <w:rPr>
                <w:rFonts w:ascii="Arial" w:cs="Arial" w:eastAsia="Arial" w:hAnsi="Arial"/>
                <w:sz w:val="13"/>
                <w:szCs w:val="13"/>
                <w:color w:val="auto"/>
              </w:rPr>
              <w:t>148</w:t>
            </w:r>
          </w:p>
        </w:tc>
        <w:tc>
          <w:tcPr>
            <w:tcW w:w="720" w:type="dxa"/>
            <w:vAlign w:val="bottom"/>
          </w:tcPr>
          <w:p>
            <w:pPr>
              <w:jc w:val="right"/>
              <w:spacing w:after="0"/>
              <w:rPr>
                <w:sz w:val="20"/>
                <w:szCs w:val="20"/>
                <w:color w:val="auto"/>
              </w:rPr>
            </w:pPr>
            <w:r>
              <w:rPr>
                <w:rFonts w:ascii="Arial" w:cs="Arial" w:eastAsia="Arial" w:hAnsi="Arial"/>
                <w:sz w:val="13"/>
                <w:szCs w:val="13"/>
                <w:color w:val="auto"/>
              </w:rPr>
              <w:t>75,552</w:t>
            </w:r>
          </w:p>
        </w:tc>
        <w:tc>
          <w:tcPr>
            <w:tcW w:w="1120" w:type="dxa"/>
            <w:vAlign w:val="bottom"/>
          </w:tcPr>
          <w:p>
            <w:pPr>
              <w:jc w:val="right"/>
              <w:spacing w:after="0"/>
              <w:rPr>
                <w:sz w:val="20"/>
                <w:szCs w:val="20"/>
                <w:color w:val="auto"/>
              </w:rPr>
            </w:pPr>
            <w:r>
              <w:rPr>
                <w:rFonts w:ascii="Arial" w:cs="Arial" w:eastAsia="Arial" w:hAnsi="Arial"/>
                <w:sz w:val="13"/>
                <w:szCs w:val="13"/>
                <w:color w:val="auto"/>
              </w:rPr>
              <w:t>1,132,455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54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2021</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3,595,855</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1,428,917</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1,579,259</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709,973</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85</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141</w:t>
            </w:r>
          </w:p>
        </w:tc>
        <w:tc>
          <w:tcPr>
            <w:tcW w:w="7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62,987</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905,640</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0" w:type="dxa"/>
            <w:vAlign w:val="bottom"/>
            <w:tcBorders>
              <w:bottom w:val="single" w:sz="8" w:color="B2B3B6"/>
            </w:tcBorders>
            <w:shd w:val="clear" w:color="auto" w:fill="F2F3F2"/>
          </w:tcPr>
          <w:p>
            <w:pPr>
              <w:spacing w:after="0"/>
              <w:rPr>
                <w:sz w:val="9"/>
                <w:szCs w:val="9"/>
                <w:color w:val="auto"/>
              </w:rPr>
            </w:pPr>
          </w:p>
        </w:tc>
        <w:tc>
          <w:tcPr>
            <w:tcW w:w="1160" w:type="dxa"/>
            <w:vAlign w:val="bottom"/>
            <w:tcBorders>
              <w:bottom w:val="single" w:sz="8" w:color="929292"/>
            </w:tcBorders>
            <w:shd w:val="clear" w:color="auto" w:fill="F2F3F2"/>
          </w:tcPr>
          <w:p>
            <w:pPr>
              <w:spacing w:after="0"/>
              <w:rPr>
                <w:sz w:val="9"/>
                <w:szCs w:val="9"/>
                <w:color w:val="auto"/>
              </w:rPr>
            </w:pPr>
          </w:p>
        </w:tc>
        <w:tc>
          <w:tcPr>
            <w:tcW w:w="1140" w:type="dxa"/>
            <w:vAlign w:val="bottom"/>
            <w:tcBorders>
              <w:bottom w:val="single" w:sz="8" w:color="929292"/>
            </w:tcBorders>
            <w:shd w:val="clear" w:color="auto" w:fill="F2F3F2"/>
          </w:tcPr>
          <w:p>
            <w:pPr>
              <w:spacing w:after="0"/>
              <w:rPr>
                <w:sz w:val="9"/>
                <w:szCs w:val="9"/>
                <w:color w:val="auto"/>
              </w:rPr>
            </w:pPr>
          </w:p>
        </w:tc>
        <w:tc>
          <w:tcPr>
            <w:tcW w:w="1160" w:type="dxa"/>
            <w:vAlign w:val="bottom"/>
            <w:tcBorders>
              <w:bottom w:val="single" w:sz="8" w:color="929292"/>
            </w:tcBorders>
            <w:shd w:val="clear" w:color="auto" w:fill="F2F3F2"/>
          </w:tcPr>
          <w:p>
            <w:pPr>
              <w:spacing w:after="0"/>
              <w:rPr>
                <w:sz w:val="9"/>
                <w:szCs w:val="9"/>
                <w:color w:val="auto"/>
              </w:rPr>
            </w:pPr>
          </w:p>
        </w:tc>
        <w:tc>
          <w:tcPr>
            <w:tcW w:w="1140" w:type="dxa"/>
            <w:vAlign w:val="bottom"/>
            <w:tcBorders>
              <w:bottom w:val="single" w:sz="8" w:color="929292"/>
            </w:tcBorders>
            <w:shd w:val="clear" w:color="auto" w:fill="F2F3F2"/>
          </w:tcPr>
          <w:p>
            <w:pPr>
              <w:spacing w:after="0"/>
              <w:rPr>
                <w:sz w:val="9"/>
                <w:szCs w:val="9"/>
                <w:color w:val="auto"/>
              </w:rPr>
            </w:pPr>
          </w:p>
        </w:tc>
        <w:tc>
          <w:tcPr>
            <w:tcW w:w="1020" w:type="dxa"/>
            <w:vAlign w:val="bottom"/>
            <w:tcBorders>
              <w:bottom w:val="single" w:sz="8" w:color="929292"/>
            </w:tcBorders>
            <w:shd w:val="clear" w:color="auto" w:fill="F2F3F2"/>
          </w:tcPr>
          <w:p>
            <w:pPr>
              <w:spacing w:after="0"/>
              <w:rPr>
                <w:sz w:val="9"/>
                <w:szCs w:val="9"/>
                <w:color w:val="auto"/>
              </w:rPr>
            </w:pPr>
          </w:p>
        </w:tc>
        <w:tc>
          <w:tcPr>
            <w:tcW w:w="1020" w:type="dxa"/>
            <w:vAlign w:val="bottom"/>
            <w:tcBorders>
              <w:bottom w:val="single" w:sz="8" w:color="929292"/>
            </w:tcBorders>
            <w:shd w:val="clear" w:color="auto" w:fill="F2F3F2"/>
          </w:tcPr>
          <w:p>
            <w:pPr>
              <w:spacing w:after="0"/>
              <w:rPr>
                <w:sz w:val="9"/>
                <w:szCs w:val="9"/>
                <w:color w:val="auto"/>
              </w:rPr>
            </w:pPr>
          </w:p>
        </w:tc>
        <w:tc>
          <w:tcPr>
            <w:tcW w:w="720" w:type="dxa"/>
            <w:vAlign w:val="bottom"/>
            <w:tcBorders>
              <w:bottom w:val="single" w:sz="8" w:color="929292"/>
            </w:tcBorders>
            <w:shd w:val="clear" w:color="auto" w:fill="F2F3F2"/>
          </w:tcPr>
          <w:p>
            <w:pPr>
              <w:spacing w:after="0"/>
              <w:rPr>
                <w:sz w:val="9"/>
                <w:szCs w:val="9"/>
                <w:color w:val="auto"/>
              </w:rPr>
            </w:pPr>
          </w:p>
        </w:tc>
        <w:tc>
          <w:tcPr>
            <w:tcW w:w="1120" w:type="dxa"/>
            <w:vAlign w:val="bottom"/>
            <w:tcBorders>
              <w:bottom w:val="single" w:sz="8" w:color="929292"/>
            </w:tcBorders>
            <w:shd w:val="clear" w:color="auto" w:fill="F2F3F2"/>
          </w:tcPr>
          <w:p>
            <w:pPr>
              <w:spacing w:after="0"/>
              <w:rPr>
                <w:sz w:val="9"/>
                <w:szCs w:val="9"/>
                <w:color w:val="auto"/>
              </w:rPr>
            </w:pPr>
          </w:p>
        </w:tc>
        <w:tc>
          <w:tcPr>
            <w:tcW w:w="6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right="120" w:hanging="331"/>
        <w:spacing w:after="0" w:line="291" w:lineRule="auto"/>
        <w:tabs>
          <w:tab w:leader="none" w:pos="4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principal executive officer (PEO) included in the summary compensation table total and compensation actually paid (CAP) total for 2025, 2024, and 2023 was C. Mark Hussey. The PEO for 2022 and 2021 was James H. Roth.</w:t>
      </w:r>
    </w:p>
    <w:p>
      <w:pPr>
        <w:spacing w:after="0" w:line="1" w:lineRule="exact"/>
        <w:rPr>
          <w:rFonts w:ascii="Arial" w:cs="Arial" w:eastAsia="Arial" w:hAnsi="Arial"/>
          <w:sz w:val="14"/>
          <w:szCs w:val="14"/>
          <w:color w:val="auto"/>
        </w:rPr>
      </w:pPr>
    </w:p>
    <w:p>
      <w:pPr>
        <w:ind w:left="420" w:hanging="331"/>
        <w:spacing w:after="0"/>
        <w:tabs>
          <w:tab w:leader="none" w:pos="4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non-PEO NEOs included in the average summary compensation table total and average CAP for each year are as follows:</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2025</w:t>
      </w:r>
      <w:r>
        <w:rPr>
          <w:rFonts w:ascii="Arial" w:cs="Arial" w:eastAsia="Arial" w:hAnsi="Arial"/>
          <w:sz w:val="14"/>
          <w:szCs w:val="14"/>
          <w:color w:val="auto"/>
        </w:rPr>
        <w:t xml:space="preserve"> - John D. Kelly, J. Ronald Dail, and Hope Katz</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2024</w:t>
      </w:r>
      <w:r>
        <w:rPr>
          <w:rFonts w:ascii="Arial" w:cs="Arial" w:eastAsia="Arial" w:hAnsi="Arial"/>
          <w:sz w:val="14"/>
          <w:szCs w:val="14"/>
          <w:color w:val="auto"/>
        </w:rPr>
        <w:t xml:space="preserve"> - John D. Kelly, J. Ronald Dail, and Ernest W. Torain, Jr.</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2023</w:t>
      </w:r>
      <w:r>
        <w:rPr>
          <w:rFonts w:ascii="Arial" w:cs="Arial" w:eastAsia="Arial" w:hAnsi="Arial"/>
          <w:sz w:val="14"/>
          <w:szCs w:val="14"/>
          <w:color w:val="auto"/>
        </w:rPr>
        <w:t xml:space="preserve"> - John D. Kelly, J. Ronald Dail, and Ernest W. Torain, Jr.</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2022</w:t>
      </w:r>
      <w:r>
        <w:rPr>
          <w:rFonts w:ascii="Arial" w:cs="Arial" w:eastAsia="Arial" w:hAnsi="Arial"/>
          <w:sz w:val="14"/>
          <w:szCs w:val="14"/>
          <w:color w:val="auto"/>
        </w:rPr>
        <w:t xml:space="preserve"> - C. Mark Hussey, John D. Kelly, J. Ronald Dail, and Ernest W. Torain, Jr.</w:t>
      </w:r>
    </w:p>
    <w:p>
      <w:pPr>
        <w:spacing w:after="0" w:line="55"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2021</w:t>
      </w:r>
      <w:r>
        <w:rPr>
          <w:rFonts w:ascii="Arial" w:cs="Arial" w:eastAsia="Arial" w:hAnsi="Arial"/>
          <w:sz w:val="14"/>
          <w:szCs w:val="14"/>
          <w:color w:val="auto"/>
        </w:rPr>
        <w:t xml:space="preserve"> - C. Mark Hussey, John D. Kelly and Ernest W. Torain, Jr.</w:t>
      </w:r>
    </w:p>
    <w:p>
      <w:pPr>
        <w:spacing w:after="0" w:line="68" w:lineRule="exact"/>
        <w:rPr>
          <w:rFonts w:ascii="Arial" w:cs="Arial" w:eastAsia="Arial" w:hAnsi="Arial"/>
          <w:sz w:val="14"/>
          <w:szCs w:val="14"/>
          <w:color w:val="auto"/>
        </w:rPr>
      </w:pPr>
    </w:p>
    <w:p>
      <w:pPr>
        <w:ind w:left="420" w:right="120" w:hanging="331"/>
        <w:spacing w:after="0" w:line="276" w:lineRule="auto"/>
        <w:tabs>
          <w:tab w:leader="none" w:pos="4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CAP was calculated by subtracting from the summary compensation total the grant date fair value of awards included in the summary compensation total, adding/(subtracting) the year-over-year change in fair value of unvested equity, adding/(subtracting) the year-over-year change in fair value of prior years' unvested equity that vested in the current year (valued as of the vest date), and adding the fair value of equity compensation granted in the current year (valued as of year-end). No dividends were paid in any year presented.</w:t>
      </w:r>
    </w:p>
    <w:p>
      <w:pPr>
        <w:spacing w:after="0" w:line="1" w:lineRule="exact"/>
        <w:rPr>
          <w:rFonts w:ascii="Arial" w:cs="Arial" w:eastAsia="Arial" w:hAnsi="Arial"/>
          <w:sz w:val="14"/>
          <w:szCs w:val="14"/>
          <w:color w:val="auto"/>
        </w:rPr>
      </w:pPr>
    </w:p>
    <w:p>
      <w:pPr>
        <w:ind w:left="420" w:right="320"/>
        <w:spacing w:after="0" w:line="345" w:lineRule="auto"/>
        <w:rPr>
          <w:rFonts w:ascii="Arial" w:cs="Arial" w:eastAsia="Arial" w:hAnsi="Arial"/>
          <w:sz w:val="14"/>
          <w:szCs w:val="14"/>
          <w:color w:val="auto"/>
        </w:rPr>
      </w:pPr>
      <w:r>
        <w:rPr>
          <w:rFonts w:ascii="Arial" w:cs="Arial" w:eastAsia="Arial" w:hAnsi="Arial"/>
          <w:sz w:val="14"/>
          <w:szCs w:val="14"/>
          <w:color w:val="auto"/>
        </w:rPr>
        <w:t>Below is additional information on the total amount of equity compensation included in CAP for the PEO and the average amount of equity compensation included in CAP for the non-PEO NEOs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62</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30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10375" cy="830580"/>
                    </a:xfrm>
                    <a:prstGeom prst="rect">
                      <a:avLst/>
                    </a:prstGeom>
                    <a:noFill/>
                  </pic:spPr>
                </pic:pic>
              </a:graphicData>
            </a:graphic>
          </wp:anchor>
        </w:drawing>
      </w:r>
    </w:p>
    <w:p>
      <w:pPr>
        <w:sectPr>
          <w:pgSz w:w="11900" w:h="16838" w:orient="portrait"/>
          <w:cols w:equalWidth="0" w:num="1">
            <w:col w:w="9080"/>
          </w:cols>
          <w:pgMar w:left="1400" w:top="486" w:right="1419"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486" w:right="1419" w:bottom="114"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93"/>
        </w:trPr>
        <w:tc>
          <w:tcPr>
            <w:tcW w:w="840" w:type="dxa"/>
            <w:vAlign w:val="bottom"/>
            <w:shd w:val="clear" w:color="auto" w:fill="00558C"/>
          </w:tcPr>
          <w:p>
            <w:pPr>
              <w:spacing w:after="0"/>
              <w:rPr>
                <w:sz w:val="24"/>
                <w:szCs w:val="24"/>
                <w:color w:val="auto"/>
              </w:rPr>
            </w:pPr>
          </w:p>
        </w:tc>
        <w:tc>
          <w:tcPr>
            <w:tcW w:w="3300" w:type="dxa"/>
            <w:vAlign w:val="bottom"/>
            <w:gridSpan w:val="4"/>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Components of PEO Equity Compensation</w:t>
            </w:r>
          </w:p>
        </w:tc>
        <w:tc>
          <w:tcPr>
            <w:tcW w:w="840" w:type="dxa"/>
            <w:vAlign w:val="bottom"/>
            <w:shd w:val="clear" w:color="auto" w:fill="00558C"/>
          </w:tcPr>
          <w:p>
            <w:pPr>
              <w:spacing w:after="0"/>
              <w:rPr>
                <w:sz w:val="24"/>
                <w:szCs w:val="24"/>
                <w:color w:val="auto"/>
              </w:rPr>
            </w:pPr>
          </w:p>
        </w:tc>
        <w:tc>
          <w:tcPr>
            <w:tcW w:w="4100" w:type="dxa"/>
            <w:vAlign w:val="bottom"/>
            <w:gridSpan w:val="5"/>
            <w:shd w:val="clear" w:color="auto" w:fill="00558C"/>
          </w:tcPr>
          <w:p>
            <w:pPr>
              <w:jc w:val="right"/>
              <w:ind w:right="557"/>
              <w:spacing w:after="0"/>
              <w:rPr>
                <w:sz w:val="20"/>
                <w:szCs w:val="20"/>
                <w:color w:val="auto"/>
              </w:rPr>
            </w:pPr>
            <w:r>
              <w:rPr>
                <w:rFonts w:ascii="Arial" w:cs="Arial" w:eastAsia="Arial" w:hAnsi="Arial"/>
                <w:sz w:val="13"/>
                <w:szCs w:val="13"/>
                <w:b w:val="1"/>
                <w:bCs w:val="1"/>
                <w:color w:val="FFFFFF"/>
              </w:rPr>
              <w:t>Components of non-PEO NEO Equity Compensation</w:t>
            </w:r>
          </w:p>
        </w:tc>
        <w:tc>
          <w:tcPr>
            <w:tcW w:w="0" w:type="dxa"/>
            <w:vAlign w:val="bottom"/>
          </w:tcPr>
          <w:p>
            <w:pPr>
              <w:spacing w:after="0"/>
              <w:rPr>
                <w:sz w:val="1"/>
                <w:szCs w:val="1"/>
                <w:color w:val="auto"/>
              </w:rPr>
            </w:pPr>
          </w:p>
        </w:tc>
      </w:tr>
      <w:tr>
        <w:trPr>
          <w:trHeight w:val="173"/>
        </w:trPr>
        <w:tc>
          <w:tcPr>
            <w:tcW w:w="840" w:type="dxa"/>
            <w:vAlign w:val="bottom"/>
            <w:tcBorders>
              <w:bottom w:val="single" w:sz="8" w:color="00558C"/>
            </w:tcBorders>
            <w:shd w:val="clear" w:color="auto" w:fill="00558C"/>
          </w:tcPr>
          <w:p>
            <w:pPr>
              <w:spacing w:after="0"/>
              <w:rPr>
                <w:sz w:val="15"/>
                <w:szCs w:val="15"/>
                <w:color w:val="auto"/>
              </w:rPr>
            </w:pPr>
          </w:p>
        </w:tc>
        <w:tc>
          <w:tcPr>
            <w:tcW w:w="760" w:type="dxa"/>
            <w:vAlign w:val="bottom"/>
            <w:tcBorders>
              <w:bottom w:val="single" w:sz="8" w:color="00558C"/>
            </w:tcBorders>
            <w:shd w:val="clear" w:color="auto" w:fill="00558C"/>
          </w:tcPr>
          <w:p>
            <w:pPr>
              <w:spacing w:after="0"/>
              <w:rPr>
                <w:sz w:val="15"/>
                <w:szCs w:val="15"/>
                <w:color w:val="auto"/>
              </w:rPr>
            </w:pPr>
          </w:p>
        </w:tc>
        <w:tc>
          <w:tcPr>
            <w:tcW w:w="1740" w:type="dxa"/>
            <w:vAlign w:val="bottom"/>
            <w:tcBorders>
              <w:bottom w:val="single" w:sz="8" w:color="00558C"/>
            </w:tcBorders>
            <w:gridSpan w:val="2"/>
            <w:shd w:val="clear" w:color="auto" w:fill="00558C"/>
          </w:tcPr>
          <w:p>
            <w:pPr>
              <w:jc w:val="right"/>
              <w:spacing w:after="0"/>
              <w:rPr>
                <w:sz w:val="20"/>
                <w:szCs w:val="20"/>
                <w:color w:val="auto"/>
              </w:rPr>
            </w:pPr>
            <w:r>
              <w:rPr>
                <w:rFonts w:ascii="Arial" w:cs="Arial" w:eastAsia="Arial" w:hAnsi="Arial"/>
                <w:sz w:val="13"/>
                <w:szCs w:val="13"/>
                <w:b w:val="1"/>
                <w:bCs w:val="1"/>
                <w:color w:val="FFFFFF"/>
              </w:rPr>
              <w:t>Included in CAP</w:t>
            </w:r>
          </w:p>
        </w:tc>
        <w:tc>
          <w:tcPr>
            <w:tcW w:w="800" w:type="dxa"/>
            <w:vAlign w:val="bottom"/>
            <w:tcBorders>
              <w:bottom w:val="single" w:sz="8" w:color="00558C"/>
            </w:tcBorders>
            <w:shd w:val="clear" w:color="auto" w:fill="00558C"/>
          </w:tcPr>
          <w:p>
            <w:pPr>
              <w:spacing w:after="0"/>
              <w:rPr>
                <w:sz w:val="15"/>
                <w:szCs w:val="15"/>
                <w:color w:val="auto"/>
              </w:rPr>
            </w:pPr>
          </w:p>
        </w:tc>
        <w:tc>
          <w:tcPr>
            <w:tcW w:w="840" w:type="dxa"/>
            <w:vAlign w:val="bottom"/>
            <w:tcBorders>
              <w:bottom w:val="single" w:sz="8" w:color="00558C"/>
            </w:tcBorders>
            <w:shd w:val="clear" w:color="auto" w:fill="00558C"/>
          </w:tcPr>
          <w:p>
            <w:pPr>
              <w:spacing w:after="0"/>
              <w:rPr>
                <w:sz w:val="15"/>
                <w:szCs w:val="15"/>
                <w:color w:val="auto"/>
              </w:rPr>
            </w:pPr>
          </w:p>
        </w:tc>
        <w:tc>
          <w:tcPr>
            <w:tcW w:w="860" w:type="dxa"/>
            <w:vAlign w:val="bottom"/>
            <w:tcBorders>
              <w:bottom w:val="single" w:sz="8" w:color="00558C"/>
            </w:tcBorders>
            <w:shd w:val="clear" w:color="auto" w:fill="00558C"/>
          </w:tcPr>
          <w:p>
            <w:pPr>
              <w:spacing w:after="0"/>
              <w:rPr>
                <w:sz w:val="15"/>
                <w:szCs w:val="15"/>
                <w:color w:val="auto"/>
              </w:rPr>
            </w:pPr>
          </w:p>
        </w:tc>
        <w:tc>
          <w:tcPr>
            <w:tcW w:w="1680" w:type="dxa"/>
            <w:vAlign w:val="bottom"/>
            <w:tcBorders>
              <w:bottom w:val="single" w:sz="8" w:color="00558C"/>
            </w:tcBorders>
            <w:gridSpan w:val="2"/>
            <w:shd w:val="clear" w:color="auto" w:fill="00558C"/>
          </w:tcPr>
          <w:p>
            <w:pPr>
              <w:jc w:val="right"/>
              <w:spacing w:after="0"/>
              <w:rPr>
                <w:sz w:val="20"/>
                <w:szCs w:val="20"/>
                <w:color w:val="auto"/>
              </w:rPr>
            </w:pPr>
            <w:r>
              <w:rPr>
                <w:rFonts w:ascii="Arial" w:cs="Arial" w:eastAsia="Arial" w:hAnsi="Arial"/>
                <w:sz w:val="13"/>
                <w:szCs w:val="13"/>
                <w:b w:val="1"/>
                <w:bCs w:val="1"/>
                <w:color w:val="FFFFFF"/>
              </w:rPr>
              <w:t>Included in CAP</w:t>
            </w:r>
          </w:p>
        </w:tc>
        <w:tc>
          <w:tcPr>
            <w:tcW w:w="740" w:type="dxa"/>
            <w:vAlign w:val="bottom"/>
            <w:tcBorders>
              <w:bottom w:val="single" w:sz="8" w:color="00558C"/>
            </w:tcBorders>
            <w:shd w:val="clear" w:color="auto" w:fill="00558C"/>
          </w:tcPr>
          <w:p>
            <w:pPr>
              <w:spacing w:after="0"/>
              <w:rPr>
                <w:sz w:val="15"/>
                <w:szCs w:val="15"/>
                <w:color w:val="auto"/>
              </w:rPr>
            </w:pPr>
          </w:p>
        </w:tc>
        <w:tc>
          <w:tcPr>
            <w:tcW w:w="820" w:type="dxa"/>
            <w:vAlign w:val="bottom"/>
            <w:tcBorders>
              <w:bottom w:val="single" w:sz="8" w:color="00558C"/>
            </w:tcBorders>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40" w:type="dxa"/>
            <w:vAlign w:val="bottom"/>
            <w:shd w:val="clear" w:color="auto" w:fill="00558C"/>
          </w:tcPr>
          <w:p>
            <w:pPr>
              <w:spacing w:after="0"/>
              <w:rPr>
                <w:sz w:val="8"/>
                <w:szCs w:val="8"/>
                <w:color w:val="auto"/>
              </w:rPr>
            </w:pPr>
          </w:p>
        </w:tc>
        <w:tc>
          <w:tcPr>
            <w:tcW w:w="760" w:type="dxa"/>
            <w:vAlign w:val="bottom"/>
            <w:shd w:val="clear" w:color="auto" w:fill="00558C"/>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FFFFFF"/>
              </w:rPr>
              <w:t>Change in</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FFFFFF"/>
              </w:rPr>
              <w:t>Change in</w:t>
            </w: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FFFFFF"/>
              </w:rPr>
              <w:t>Change in</w:t>
            </w:r>
          </w:p>
        </w:tc>
        <w:tc>
          <w:tcPr>
            <w:tcW w:w="8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FFFFFF"/>
              </w:rPr>
              <w:t>Change in</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FFFFFF"/>
                <w:w w:val="95"/>
              </w:rPr>
              <w:t>Change in</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0" w:type="dxa"/>
            <w:vAlign w:val="bottom"/>
            <w:shd w:val="clear" w:color="auto" w:fill="00558C"/>
          </w:tcPr>
          <w:p>
            <w:pPr>
              <w:spacing w:after="0"/>
              <w:rPr>
                <w:sz w:val="7"/>
                <w:szCs w:val="7"/>
                <w:color w:val="auto"/>
              </w:rPr>
            </w:pPr>
          </w:p>
        </w:tc>
        <w:tc>
          <w:tcPr>
            <w:tcW w:w="760" w:type="dxa"/>
            <w:vAlign w:val="bottom"/>
            <w:shd w:val="clear" w:color="auto" w:fill="00558C"/>
          </w:tcPr>
          <w:p>
            <w:pPr>
              <w:spacing w:after="0"/>
              <w:rPr>
                <w:sz w:val="7"/>
                <w:szCs w:val="7"/>
                <w:color w:val="auto"/>
              </w:rPr>
            </w:pPr>
          </w:p>
        </w:tc>
        <w:tc>
          <w:tcPr>
            <w:tcW w:w="940" w:type="dxa"/>
            <w:vAlign w:val="bottom"/>
            <w:shd w:val="clear" w:color="auto" w:fill="00558C"/>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40" w:type="dxa"/>
            <w:vAlign w:val="bottom"/>
            <w:shd w:val="clear" w:color="auto" w:fill="00558C"/>
          </w:tcPr>
          <w:p>
            <w:pPr>
              <w:spacing w:after="0"/>
              <w:rPr>
                <w:sz w:val="11"/>
                <w:szCs w:val="11"/>
                <w:color w:val="auto"/>
              </w:rPr>
            </w:pPr>
          </w:p>
        </w:tc>
        <w:tc>
          <w:tcPr>
            <w:tcW w:w="760" w:type="dxa"/>
            <w:vAlign w:val="bottom"/>
            <w:shd w:val="clear" w:color="auto" w:fill="00558C"/>
          </w:tcPr>
          <w:p>
            <w:pPr>
              <w:spacing w:after="0"/>
              <w:rPr>
                <w:sz w:val="11"/>
                <w:szCs w:val="11"/>
                <w:color w:val="auto"/>
              </w:rPr>
            </w:pPr>
          </w:p>
        </w:tc>
        <w:tc>
          <w:tcPr>
            <w:tcW w:w="940" w:type="dxa"/>
            <w:vAlign w:val="bottom"/>
            <w:shd w:val="clear" w:color="auto" w:fill="00558C"/>
          </w:tcPr>
          <w:p>
            <w:pPr>
              <w:spacing w:after="0"/>
              <w:rPr>
                <w:sz w:val="11"/>
                <w:szCs w:val="11"/>
                <w:color w:val="auto"/>
              </w:rPr>
            </w:pPr>
          </w:p>
        </w:tc>
        <w:tc>
          <w:tcPr>
            <w:tcW w:w="800" w:type="dxa"/>
            <w:vAlign w:val="bottom"/>
            <w:shd w:val="clear" w:color="auto" w:fill="00558C"/>
          </w:tcPr>
          <w:p>
            <w:pPr>
              <w:jc w:val="right"/>
              <w:ind w:right="57"/>
              <w:spacing w:after="0" w:line="134" w:lineRule="exact"/>
              <w:rPr>
                <w:sz w:val="20"/>
                <w:szCs w:val="20"/>
                <w:color w:val="auto"/>
              </w:rPr>
            </w:pPr>
            <w:r>
              <w:rPr>
                <w:rFonts w:ascii="Arial" w:cs="Arial" w:eastAsia="Arial" w:hAnsi="Arial"/>
                <w:sz w:val="13"/>
                <w:szCs w:val="13"/>
                <w:b w:val="1"/>
                <w:bCs w:val="1"/>
                <w:color w:val="FFFFFF"/>
              </w:rPr>
              <w:t>Fair Value</w:t>
            </w:r>
          </w:p>
        </w:tc>
        <w:tc>
          <w:tcPr>
            <w:tcW w:w="800" w:type="dxa"/>
            <w:vAlign w:val="bottom"/>
            <w:shd w:val="clear" w:color="auto" w:fill="00558C"/>
          </w:tcPr>
          <w:p>
            <w:pPr>
              <w:jc w:val="right"/>
              <w:ind w:right="37"/>
              <w:spacing w:after="0" w:line="134" w:lineRule="exact"/>
              <w:rPr>
                <w:sz w:val="20"/>
                <w:szCs w:val="20"/>
                <w:color w:val="auto"/>
              </w:rPr>
            </w:pPr>
            <w:r>
              <w:rPr>
                <w:rFonts w:ascii="Arial" w:cs="Arial" w:eastAsia="Arial" w:hAnsi="Arial"/>
                <w:sz w:val="13"/>
                <w:szCs w:val="13"/>
                <w:b w:val="1"/>
                <w:bCs w:val="1"/>
                <w:color w:val="FFFFFF"/>
              </w:rPr>
              <w:t>Fair Value</w:t>
            </w:r>
          </w:p>
        </w:tc>
        <w:tc>
          <w:tcPr>
            <w:tcW w:w="840" w:type="dxa"/>
            <w:vAlign w:val="bottom"/>
            <w:shd w:val="clear" w:color="auto" w:fill="00558C"/>
          </w:tcPr>
          <w:p>
            <w:pPr>
              <w:spacing w:after="0"/>
              <w:rPr>
                <w:sz w:val="11"/>
                <w:szCs w:val="11"/>
                <w:color w:val="auto"/>
              </w:rPr>
            </w:pPr>
          </w:p>
        </w:tc>
        <w:tc>
          <w:tcPr>
            <w:tcW w:w="860" w:type="dxa"/>
            <w:vAlign w:val="bottom"/>
            <w:shd w:val="clear" w:color="auto" w:fill="00558C"/>
          </w:tcPr>
          <w:p>
            <w:pPr>
              <w:spacing w:after="0"/>
              <w:rPr>
                <w:sz w:val="11"/>
                <w:szCs w:val="11"/>
                <w:color w:val="auto"/>
              </w:rPr>
            </w:pPr>
          </w:p>
        </w:tc>
        <w:tc>
          <w:tcPr>
            <w:tcW w:w="800" w:type="dxa"/>
            <w:vAlign w:val="bottom"/>
            <w:shd w:val="clear" w:color="auto" w:fill="00558C"/>
          </w:tcPr>
          <w:p>
            <w:pPr>
              <w:jc w:val="right"/>
              <w:ind w:right="57"/>
              <w:spacing w:after="0" w:line="134" w:lineRule="exact"/>
              <w:rPr>
                <w:sz w:val="20"/>
                <w:szCs w:val="20"/>
                <w:color w:val="auto"/>
              </w:rPr>
            </w:pPr>
            <w:r>
              <w:rPr>
                <w:rFonts w:ascii="Arial" w:cs="Arial" w:eastAsia="Arial" w:hAnsi="Arial"/>
                <w:sz w:val="13"/>
                <w:szCs w:val="13"/>
                <w:b w:val="1"/>
                <w:bCs w:val="1"/>
                <w:color w:val="FFFFFF"/>
              </w:rPr>
              <w:t>Fair Value</w:t>
            </w:r>
          </w:p>
        </w:tc>
        <w:tc>
          <w:tcPr>
            <w:tcW w:w="880" w:type="dxa"/>
            <w:vAlign w:val="bottom"/>
            <w:shd w:val="clear" w:color="auto" w:fill="00558C"/>
          </w:tcPr>
          <w:p>
            <w:pPr>
              <w:jc w:val="right"/>
              <w:ind w:right="117"/>
              <w:spacing w:after="0" w:line="134" w:lineRule="exact"/>
              <w:rPr>
                <w:sz w:val="20"/>
                <w:szCs w:val="20"/>
                <w:color w:val="auto"/>
              </w:rPr>
            </w:pPr>
            <w:r>
              <w:rPr>
                <w:rFonts w:ascii="Arial" w:cs="Arial" w:eastAsia="Arial" w:hAnsi="Arial"/>
                <w:sz w:val="13"/>
                <w:szCs w:val="13"/>
                <w:b w:val="1"/>
                <w:bCs w:val="1"/>
                <w:color w:val="FFFFFF"/>
              </w:rPr>
              <w:t>Fair Value</w:t>
            </w:r>
          </w:p>
        </w:tc>
        <w:tc>
          <w:tcPr>
            <w:tcW w:w="740" w:type="dxa"/>
            <w:vAlign w:val="bottom"/>
            <w:shd w:val="clear" w:color="auto" w:fill="00558C"/>
          </w:tcPr>
          <w:p>
            <w:pPr>
              <w:jc w:val="right"/>
              <w:ind w:right="57"/>
              <w:spacing w:after="0" w:line="134" w:lineRule="exact"/>
              <w:rPr>
                <w:sz w:val="20"/>
                <w:szCs w:val="20"/>
                <w:color w:val="auto"/>
              </w:rPr>
            </w:pPr>
            <w:r>
              <w:rPr>
                <w:rFonts w:ascii="Arial" w:cs="Arial" w:eastAsia="Arial" w:hAnsi="Arial"/>
                <w:sz w:val="13"/>
                <w:szCs w:val="13"/>
                <w:b w:val="1"/>
                <w:bCs w:val="1"/>
                <w:color w:val="FFFFFF"/>
                <w:w w:val="96"/>
              </w:rPr>
              <w:t>Fair Value</w:t>
            </w:r>
          </w:p>
        </w:tc>
        <w:tc>
          <w:tcPr>
            <w:tcW w:w="820" w:type="dxa"/>
            <w:vAlign w:val="bottom"/>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00558C"/>
          </w:tcPr>
          <w:p>
            <w:pPr>
              <w:spacing w:after="0"/>
              <w:rPr>
                <w:sz w:val="12"/>
                <w:szCs w:val="12"/>
                <w:color w:val="auto"/>
              </w:rPr>
            </w:pPr>
          </w:p>
        </w:tc>
        <w:tc>
          <w:tcPr>
            <w:tcW w:w="76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w w:val="99"/>
              </w:rPr>
              <w:t>Fair Value</w:t>
            </w:r>
          </w:p>
        </w:tc>
        <w:tc>
          <w:tcPr>
            <w:tcW w:w="9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Change in</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of Equity</w:t>
            </w:r>
          </w:p>
        </w:tc>
        <w:tc>
          <w:tcPr>
            <w:tcW w:w="80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of Prior</w:t>
            </w:r>
          </w:p>
        </w:tc>
        <w:tc>
          <w:tcPr>
            <w:tcW w:w="840" w:type="dxa"/>
            <w:vAlign w:val="bottom"/>
            <w:shd w:val="clear" w:color="auto" w:fill="00558C"/>
          </w:tcPr>
          <w:p>
            <w:pPr>
              <w:spacing w:after="0"/>
              <w:rPr>
                <w:sz w:val="12"/>
                <w:szCs w:val="12"/>
                <w:color w:val="auto"/>
              </w:rPr>
            </w:pPr>
          </w:p>
        </w:tc>
        <w:tc>
          <w:tcPr>
            <w:tcW w:w="86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Fair Value</w:t>
            </w:r>
          </w:p>
        </w:tc>
        <w:tc>
          <w:tcPr>
            <w:tcW w:w="80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of</w:t>
            </w:r>
          </w:p>
        </w:tc>
        <w:tc>
          <w:tcPr>
            <w:tcW w:w="880" w:type="dxa"/>
            <w:vAlign w:val="bottom"/>
            <w:shd w:val="clear" w:color="auto" w:fill="00558C"/>
          </w:tcPr>
          <w:p>
            <w:pPr>
              <w:jc w:val="right"/>
              <w:ind w:right="117"/>
              <w:spacing w:after="0"/>
              <w:rPr>
                <w:sz w:val="20"/>
                <w:szCs w:val="20"/>
                <w:color w:val="auto"/>
              </w:rPr>
            </w:pPr>
            <w:r>
              <w:rPr>
                <w:rFonts w:ascii="Arial" w:cs="Arial" w:eastAsia="Arial" w:hAnsi="Arial"/>
                <w:sz w:val="13"/>
                <w:szCs w:val="13"/>
                <w:b w:val="1"/>
                <w:bCs w:val="1"/>
                <w:color w:val="FFFFFF"/>
              </w:rPr>
              <w:t>of Equity</w:t>
            </w:r>
          </w:p>
        </w:tc>
        <w:tc>
          <w:tcPr>
            <w:tcW w:w="74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of Prior</w:t>
            </w:r>
          </w:p>
        </w:tc>
        <w:tc>
          <w:tcPr>
            <w:tcW w:w="820" w:type="dxa"/>
            <w:vAlign w:val="bottom"/>
            <w:shd w:val="clear" w:color="auto" w:fill="00558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00558C"/>
          </w:tcPr>
          <w:p>
            <w:pPr>
              <w:spacing w:after="0"/>
              <w:rPr>
                <w:sz w:val="12"/>
                <w:szCs w:val="12"/>
                <w:color w:val="auto"/>
              </w:rPr>
            </w:pPr>
          </w:p>
        </w:tc>
        <w:tc>
          <w:tcPr>
            <w:tcW w:w="7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of Equity</w:t>
            </w:r>
          </w:p>
        </w:tc>
        <w:tc>
          <w:tcPr>
            <w:tcW w:w="94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w w:val="99"/>
              </w:rPr>
              <w:t>Fair Value of</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80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Years'</w:t>
            </w:r>
          </w:p>
        </w:tc>
        <w:tc>
          <w:tcPr>
            <w:tcW w:w="840" w:type="dxa"/>
            <w:vAlign w:val="bottom"/>
            <w:shd w:val="clear" w:color="auto" w:fill="00558C"/>
          </w:tcPr>
          <w:p>
            <w:pPr>
              <w:spacing w:after="0"/>
              <w:rPr>
                <w:sz w:val="12"/>
                <w:szCs w:val="12"/>
                <w:color w:val="auto"/>
              </w:rPr>
            </w:pPr>
          </w:p>
        </w:tc>
        <w:tc>
          <w:tcPr>
            <w:tcW w:w="86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of Equity</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Unvested</w:t>
            </w:r>
          </w:p>
        </w:tc>
        <w:tc>
          <w:tcPr>
            <w:tcW w:w="88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74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Years'</w:t>
            </w:r>
          </w:p>
        </w:tc>
        <w:tc>
          <w:tcPr>
            <w:tcW w:w="820" w:type="dxa"/>
            <w:vAlign w:val="bottom"/>
            <w:shd w:val="clear" w:color="auto" w:fill="00558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00558C"/>
          </w:tcPr>
          <w:p>
            <w:pPr>
              <w:spacing w:after="0"/>
              <w:rPr>
                <w:sz w:val="12"/>
                <w:szCs w:val="12"/>
                <w:color w:val="auto"/>
              </w:rPr>
            </w:pPr>
          </w:p>
        </w:tc>
        <w:tc>
          <w:tcPr>
            <w:tcW w:w="7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9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Unvested</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Granted in</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Unvested</w:t>
            </w:r>
          </w:p>
        </w:tc>
        <w:tc>
          <w:tcPr>
            <w:tcW w:w="84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Total Fair</w:t>
            </w:r>
          </w:p>
        </w:tc>
        <w:tc>
          <w:tcPr>
            <w:tcW w:w="8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Equity</w:t>
            </w:r>
          </w:p>
        </w:tc>
        <w:tc>
          <w:tcPr>
            <w:tcW w:w="880" w:type="dxa"/>
            <w:vAlign w:val="bottom"/>
            <w:shd w:val="clear" w:color="auto" w:fill="00558C"/>
          </w:tcPr>
          <w:p>
            <w:pPr>
              <w:jc w:val="right"/>
              <w:ind w:right="117"/>
              <w:spacing w:after="0"/>
              <w:rPr>
                <w:sz w:val="20"/>
                <w:szCs w:val="20"/>
                <w:color w:val="auto"/>
              </w:rPr>
            </w:pPr>
            <w:r>
              <w:rPr>
                <w:rFonts w:ascii="Arial" w:cs="Arial" w:eastAsia="Arial" w:hAnsi="Arial"/>
                <w:sz w:val="13"/>
                <w:szCs w:val="13"/>
                <w:b w:val="1"/>
                <w:bCs w:val="1"/>
                <w:color w:val="FFFFFF"/>
              </w:rPr>
              <w:t>Granted in</w:t>
            </w:r>
          </w:p>
        </w:tc>
        <w:tc>
          <w:tcPr>
            <w:tcW w:w="7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Unvested</w:t>
            </w:r>
          </w:p>
        </w:tc>
        <w:tc>
          <w:tcPr>
            <w:tcW w:w="82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Total Fair</w:t>
            </w:r>
          </w:p>
        </w:tc>
        <w:tc>
          <w:tcPr>
            <w:tcW w:w="0" w:type="dxa"/>
            <w:vAlign w:val="bottom"/>
          </w:tcPr>
          <w:p>
            <w:pPr>
              <w:spacing w:after="0"/>
              <w:rPr>
                <w:sz w:val="1"/>
                <w:szCs w:val="1"/>
                <w:color w:val="auto"/>
              </w:rPr>
            </w:pPr>
          </w:p>
        </w:tc>
      </w:tr>
      <w:tr>
        <w:trPr>
          <w:trHeight w:val="162"/>
        </w:trPr>
        <w:tc>
          <w:tcPr>
            <w:tcW w:w="840" w:type="dxa"/>
            <w:vAlign w:val="bottom"/>
            <w:shd w:val="clear" w:color="auto" w:fill="00558C"/>
          </w:tcPr>
          <w:p>
            <w:pPr>
              <w:spacing w:after="0"/>
              <w:rPr>
                <w:sz w:val="14"/>
                <w:szCs w:val="14"/>
                <w:color w:val="auto"/>
              </w:rPr>
            </w:pPr>
          </w:p>
        </w:tc>
        <w:tc>
          <w:tcPr>
            <w:tcW w:w="7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Granted</w:t>
            </w:r>
          </w:p>
        </w:tc>
        <w:tc>
          <w:tcPr>
            <w:tcW w:w="94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Equity</w:t>
            </w:r>
          </w:p>
        </w:tc>
        <w:tc>
          <w:tcPr>
            <w:tcW w:w="80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a Prior</w:t>
            </w:r>
          </w:p>
        </w:tc>
        <w:tc>
          <w:tcPr>
            <w:tcW w:w="80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Value of</w:t>
            </w:r>
          </w:p>
        </w:tc>
        <w:tc>
          <w:tcPr>
            <w:tcW w:w="86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Granted</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88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a Prior</w:t>
            </w:r>
          </w:p>
        </w:tc>
        <w:tc>
          <w:tcPr>
            <w:tcW w:w="74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82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48"/>
        </w:trPr>
        <w:tc>
          <w:tcPr>
            <w:tcW w:w="840" w:type="dxa"/>
            <w:vAlign w:val="bottom"/>
            <w:shd w:val="clear" w:color="auto" w:fill="00558C"/>
          </w:tcPr>
          <w:p>
            <w:pPr>
              <w:spacing w:after="0"/>
              <w:rPr>
                <w:sz w:val="12"/>
                <w:szCs w:val="12"/>
                <w:color w:val="auto"/>
              </w:rPr>
            </w:pPr>
          </w:p>
        </w:tc>
        <w:tc>
          <w:tcPr>
            <w:tcW w:w="76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in</w:t>
            </w:r>
          </w:p>
        </w:tc>
        <w:tc>
          <w:tcPr>
            <w:tcW w:w="94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Year that</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that were</w:t>
            </w:r>
          </w:p>
        </w:tc>
        <w:tc>
          <w:tcPr>
            <w:tcW w:w="84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rPr>
              <w:t>Equity</w:t>
            </w:r>
          </w:p>
        </w:tc>
        <w:tc>
          <w:tcPr>
            <w:tcW w:w="86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in</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Granted in</w:t>
            </w:r>
          </w:p>
        </w:tc>
        <w:tc>
          <w:tcPr>
            <w:tcW w:w="880" w:type="dxa"/>
            <w:vAlign w:val="bottom"/>
            <w:shd w:val="clear" w:color="auto" w:fill="00558C"/>
          </w:tcPr>
          <w:p>
            <w:pPr>
              <w:jc w:val="right"/>
              <w:ind w:right="137"/>
              <w:spacing w:after="0"/>
              <w:rPr>
                <w:sz w:val="20"/>
                <w:szCs w:val="20"/>
                <w:color w:val="auto"/>
              </w:rPr>
            </w:pPr>
            <w:r>
              <w:rPr>
                <w:rFonts w:ascii="Arial" w:cs="Arial" w:eastAsia="Arial" w:hAnsi="Arial"/>
                <w:sz w:val="13"/>
                <w:szCs w:val="13"/>
                <w:b w:val="1"/>
                <w:bCs w:val="1"/>
                <w:color w:val="FFFFFF"/>
              </w:rPr>
              <w:t>Year that</w:t>
            </w:r>
          </w:p>
        </w:tc>
        <w:tc>
          <w:tcPr>
            <w:tcW w:w="74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rPr>
              <w:t>that were</w:t>
            </w:r>
          </w:p>
        </w:tc>
        <w:tc>
          <w:tcPr>
            <w:tcW w:w="82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8"/>
        </w:trPr>
        <w:tc>
          <w:tcPr>
            <w:tcW w:w="840" w:type="dxa"/>
            <w:vAlign w:val="bottom"/>
            <w:shd w:val="clear" w:color="auto" w:fill="00558C"/>
          </w:tcPr>
          <w:p>
            <w:pPr>
              <w:spacing w:after="0"/>
              <w:rPr>
                <w:sz w:val="12"/>
                <w:szCs w:val="12"/>
                <w:color w:val="auto"/>
              </w:rPr>
            </w:pPr>
          </w:p>
        </w:tc>
        <w:tc>
          <w:tcPr>
            <w:tcW w:w="7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Current</w:t>
            </w:r>
          </w:p>
        </w:tc>
        <w:tc>
          <w:tcPr>
            <w:tcW w:w="94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rPr>
              <w:t>Granted in a</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Vested in</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Forfeited</w:t>
            </w:r>
          </w:p>
        </w:tc>
        <w:tc>
          <w:tcPr>
            <w:tcW w:w="84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86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Current</w:t>
            </w:r>
          </w:p>
        </w:tc>
        <w:tc>
          <w:tcPr>
            <w:tcW w:w="80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a Prior</w:t>
            </w:r>
          </w:p>
        </w:tc>
        <w:tc>
          <w:tcPr>
            <w:tcW w:w="880" w:type="dxa"/>
            <w:vAlign w:val="bottom"/>
            <w:shd w:val="clear" w:color="auto" w:fill="00558C"/>
          </w:tcPr>
          <w:p>
            <w:pPr>
              <w:jc w:val="right"/>
              <w:ind w:right="117"/>
              <w:spacing w:after="0"/>
              <w:rPr>
                <w:sz w:val="20"/>
                <w:szCs w:val="20"/>
                <w:color w:val="auto"/>
              </w:rPr>
            </w:pPr>
            <w:r>
              <w:rPr>
                <w:rFonts w:ascii="Arial" w:cs="Arial" w:eastAsia="Arial" w:hAnsi="Arial"/>
                <w:sz w:val="13"/>
                <w:szCs w:val="13"/>
                <w:b w:val="1"/>
                <w:bCs w:val="1"/>
                <w:color w:val="FFFFFF"/>
              </w:rPr>
              <w:t>Vested in</w:t>
            </w:r>
          </w:p>
        </w:tc>
        <w:tc>
          <w:tcPr>
            <w:tcW w:w="7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Forfeited</w:t>
            </w:r>
          </w:p>
        </w:tc>
        <w:tc>
          <w:tcPr>
            <w:tcW w:w="82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49"/>
        </w:trPr>
        <w:tc>
          <w:tcPr>
            <w:tcW w:w="840" w:type="dxa"/>
            <w:vAlign w:val="bottom"/>
            <w:shd w:val="clear" w:color="auto" w:fill="00558C"/>
          </w:tcPr>
          <w:p>
            <w:pPr>
              <w:spacing w:after="0"/>
              <w:rPr>
                <w:sz w:val="12"/>
                <w:szCs w:val="12"/>
                <w:color w:val="auto"/>
              </w:rPr>
            </w:pPr>
          </w:p>
        </w:tc>
        <w:tc>
          <w:tcPr>
            <w:tcW w:w="7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Year as of</w:t>
            </w:r>
          </w:p>
        </w:tc>
        <w:tc>
          <w:tcPr>
            <w:tcW w:w="9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w w:val="99"/>
              </w:rPr>
              <w:t>Prior Year as</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Current</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in Current</w:t>
            </w:r>
          </w:p>
        </w:tc>
        <w:tc>
          <w:tcPr>
            <w:tcW w:w="84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included</w:t>
            </w:r>
          </w:p>
        </w:tc>
        <w:tc>
          <w:tcPr>
            <w:tcW w:w="8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Year as of</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Year as of</w:t>
            </w:r>
          </w:p>
        </w:tc>
        <w:tc>
          <w:tcPr>
            <w:tcW w:w="880" w:type="dxa"/>
            <w:vAlign w:val="bottom"/>
            <w:shd w:val="clear" w:color="auto" w:fill="00558C"/>
          </w:tcPr>
          <w:p>
            <w:pPr>
              <w:jc w:val="right"/>
              <w:ind w:right="117"/>
              <w:spacing w:after="0"/>
              <w:rPr>
                <w:sz w:val="20"/>
                <w:szCs w:val="20"/>
                <w:color w:val="auto"/>
              </w:rPr>
            </w:pPr>
            <w:r>
              <w:rPr>
                <w:rFonts w:ascii="Arial" w:cs="Arial" w:eastAsia="Arial" w:hAnsi="Arial"/>
                <w:sz w:val="13"/>
                <w:szCs w:val="13"/>
                <w:b w:val="1"/>
                <w:bCs w:val="1"/>
                <w:color w:val="FFFFFF"/>
              </w:rPr>
              <w:t>Current</w:t>
            </w:r>
          </w:p>
        </w:tc>
        <w:tc>
          <w:tcPr>
            <w:tcW w:w="7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w w:val="96"/>
              </w:rPr>
              <w:t>in Current</w:t>
            </w:r>
          </w:p>
        </w:tc>
        <w:tc>
          <w:tcPr>
            <w:tcW w:w="82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included</w:t>
            </w:r>
          </w:p>
        </w:tc>
        <w:tc>
          <w:tcPr>
            <w:tcW w:w="0" w:type="dxa"/>
            <w:vAlign w:val="bottom"/>
          </w:tcPr>
          <w:p>
            <w:pPr>
              <w:spacing w:after="0"/>
              <w:rPr>
                <w:sz w:val="1"/>
                <w:szCs w:val="1"/>
                <w:color w:val="auto"/>
              </w:rPr>
            </w:pPr>
          </w:p>
        </w:tc>
      </w:tr>
      <w:tr>
        <w:trPr>
          <w:trHeight w:val="172"/>
        </w:trPr>
        <w:tc>
          <w:tcPr>
            <w:tcW w:w="84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FYE</w:t>
            </w:r>
          </w:p>
        </w:tc>
        <w:tc>
          <w:tcPr>
            <w:tcW w:w="94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of FYE</w:t>
            </w:r>
          </w:p>
        </w:tc>
        <w:tc>
          <w:tcPr>
            <w:tcW w:w="80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Year</w:t>
            </w:r>
          </w:p>
        </w:tc>
        <w:tc>
          <w:tcPr>
            <w:tcW w:w="80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Year</w:t>
            </w:r>
          </w:p>
        </w:tc>
        <w:tc>
          <w:tcPr>
            <w:tcW w:w="84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rPr>
              <w:t>in CAP</w:t>
            </w:r>
          </w:p>
        </w:tc>
        <w:tc>
          <w:tcPr>
            <w:tcW w:w="86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FYE</w:t>
            </w:r>
          </w:p>
        </w:tc>
        <w:tc>
          <w:tcPr>
            <w:tcW w:w="80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FYE</w:t>
            </w:r>
          </w:p>
        </w:tc>
        <w:tc>
          <w:tcPr>
            <w:tcW w:w="88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Year</w:t>
            </w:r>
          </w:p>
        </w:tc>
        <w:tc>
          <w:tcPr>
            <w:tcW w:w="74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Year</w:t>
            </w:r>
          </w:p>
        </w:tc>
        <w:tc>
          <w:tcPr>
            <w:tcW w:w="82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in CAP</w:t>
            </w:r>
          </w:p>
        </w:tc>
        <w:tc>
          <w:tcPr>
            <w:tcW w:w="0" w:type="dxa"/>
            <w:vAlign w:val="bottom"/>
          </w:tcPr>
          <w:p>
            <w:pPr>
              <w:spacing w:after="0"/>
              <w:rPr>
                <w:sz w:val="1"/>
                <w:szCs w:val="1"/>
                <w:color w:val="auto"/>
              </w:rPr>
            </w:pPr>
          </w:p>
        </w:tc>
      </w:tr>
      <w:tr>
        <w:trPr>
          <w:trHeight w:val="345"/>
        </w:trPr>
        <w:tc>
          <w:tcPr>
            <w:tcW w:w="840" w:type="dxa"/>
            <w:vAlign w:val="bottom"/>
            <w:shd w:val="clear" w:color="auto" w:fill="00558C"/>
          </w:tcPr>
          <w:p>
            <w:pPr>
              <w:spacing w:after="0"/>
              <w:rPr>
                <w:sz w:val="24"/>
                <w:szCs w:val="24"/>
                <w:color w:val="auto"/>
              </w:rPr>
            </w:pPr>
          </w:p>
        </w:tc>
        <w:tc>
          <w:tcPr>
            <w:tcW w:w="760" w:type="dxa"/>
            <w:vAlign w:val="bottom"/>
            <w:shd w:val="clear" w:color="auto" w:fill="00558C"/>
          </w:tcPr>
          <w:p>
            <w:pPr>
              <w:spacing w:after="0"/>
              <w:rPr>
                <w:sz w:val="24"/>
                <w:szCs w:val="24"/>
                <w:color w:val="auto"/>
              </w:rPr>
            </w:pPr>
          </w:p>
        </w:tc>
        <w:tc>
          <w:tcPr>
            <w:tcW w:w="940" w:type="dxa"/>
            <w:vAlign w:val="bottom"/>
            <w:shd w:val="clear" w:color="auto" w:fill="00558C"/>
          </w:tcPr>
          <w:p>
            <w:pPr>
              <w:spacing w:after="0"/>
              <w:rPr>
                <w:sz w:val="24"/>
                <w:szCs w:val="24"/>
                <w:color w:val="auto"/>
              </w:rPr>
            </w:pPr>
          </w:p>
        </w:tc>
        <w:tc>
          <w:tcPr>
            <w:tcW w:w="800" w:type="dxa"/>
            <w:vAlign w:val="bottom"/>
            <w:shd w:val="clear" w:color="auto" w:fill="00558C"/>
          </w:tcPr>
          <w:p>
            <w:pPr>
              <w:spacing w:after="0"/>
              <w:rPr>
                <w:sz w:val="24"/>
                <w:szCs w:val="24"/>
                <w:color w:val="auto"/>
              </w:rPr>
            </w:pPr>
          </w:p>
        </w:tc>
        <w:tc>
          <w:tcPr>
            <w:tcW w:w="800" w:type="dxa"/>
            <w:vAlign w:val="bottom"/>
            <w:shd w:val="clear" w:color="auto" w:fill="00558C"/>
          </w:tcPr>
          <w:p>
            <w:pPr>
              <w:spacing w:after="0"/>
              <w:rPr>
                <w:sz w:val="24"/>
                <w:szCs w:val="24"/>
                <w:color w:val="auto"/>
              </w:rPr>
            </w:pPr>
          </w:p>
        </w:tc>
        <w:tc>
          <w:tcPr>
            <w:tcW w:w="840" w:type="dxa"/>
            <w:vAlign w:val="bottom"/>
            <w:shd w:val="clear" w:color="auto" w:fill="00558C"/>
          </w:tcPr>
          <w:p>
            <w:pPr>
              <w:spacing w:after="0"/>
              <w:rPr>
                <w:sz w:val="24"/>
                <w:szCs w:val="24"/>
                <w:color w:val="auto"/>
              </w:rPr>
            </w:pPr>
          </w:p>
        </w:tc>
        <w:tc>
          <w:tcPr>
            <w:tcW w:w="860" w:type="dxa"/>
            <w:vAlign w:val="bottom"/>
            <w:shd w:val="clear" w:color="auto" w:fill="00558C"/>
          </w:tcPr>
          <w:p>
            <w:pPr>
              <w:spacing w:after="0"/>
              <w:rPr>
                <w:sz w:val="24"/>
                <w:szCs w:val="24"/>
                <w:color w:val="auto"/>
              </w:rPr>
            </w:pPr>
          </w:p>
        </w:tc>
        <w:tc>
          <w:tcPr>
            <w:tcW w:w="800" w:type="dxa"/>
            <w:vAlign w:val="bottom"/>
            <w:shd w:val="clear" w:color="auto" w:fill="00558C"/>
          </w:tcPr>
          <w:p>
            <w:pPr>
              <w:spacing w:after="0"/>
              <w:rPr>
                <w:sz w:val="24"/>
                <w:szCs w:val="24"/>
                <w:color w:val="auto"/>
              </w:rPr>
            </w:pPr>
          </w:p>
        </w:tc>
        <w:tc>
          <w:tcPr>
            <w:tcW w:w="880" w:type="dxa"/>
            <w:vAlign w:val="bottom"/>
            <w:shd w:val="clear" w:color="auto" w:fill="00558C"/>
          </w:tcPr>
          <w:p>
            <w:pPr>
              <w:spacing w:after="0"/>
              <w:rPr>
                <w:sz w:val="24"/>
                <w:szCs w:val="24"/>
                <w:color w:val="auto"/>
              </w:rPr>
            </w:pPr>
          </w:p>
        </w:tc>
        <w:tc>
          <w:tcPr>
            <w:tcW w:w="740" w:type="dxa"/>
            <w:vAlign w:val="bottom"/>
            <w:shd w:val="clear" w:color="auto" w:fill="00558C"/>
          </w:tcPr>
          <w:p>
            <w:pPr>
              <w:spacing w:after="0"/>
              <w:rPr>
                <w:sz w:val="24"/>
                <w:szCs w:val="24"/>
                <w:color w:val="auto"/>
              </w:rPr>
            </w:pPr>
          </w:p>
        </w:tc>
        <w:tc>
          <w:tcPr>
            <w:tcW w:w="82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4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PSU</w:t>
            </w:r>
          </w:p>
        </w:tc>
        <w:tc>
          <w:tcPr>
            <w:tcW w:w="760" w:type="dxa"/>
            <w:vAlign w:val="bottom"/>
            <w:shd w:val="clear" w:color="auto" w:fill="F2F3F2"/>
          </w:tcPr>
          <w:p>
            <w:pPr>
              <w:jc w:val="right"/>
              <w:ind w:right="57"/>
              <w:spacing w:after="0"/>
              <w:rPr>
                <w:sz w:val="20"/>
                <w:szCs w:val="20"/>
                <w:color w:val="auto"/>
              </w:rPr>
            </w:pPr>
            <w:r>
              <w:rPr>
                <w:rFonts w:ascii="Arial" w:cs="Arial" w:eastAsia="Arial" w:hAnsi="Arial"/>
                <w:sz w:val="13"/>
                <w:szCs w:val="13"/>
                <w:color w:val="auto"/>
              </w:rPr>
              <w:t>3,661,888</w:t>
            </w:r>
          </w:p>
        </w:tc>
        <w:tc>
          <w:tcPr>
            <w:tcW w:w="940" w:type="dxa"/>
            <w:vAlign w:val="bottom"/>
            <w:shd w:val="clear" w:color="auto" w:fill="F2F3F2"/>
          </w:tcPr>
          <w:p>
            <w:pPr>
              <w:jc w:val="right"/>
              <w:ind w:right="57"/>
              <w:spacing w:after="0"/>
              <w:rPr>
                <w:sz w:val="20"/>
                <w:szCs w:val="20"/>
                <w:color w:val="auto"/>
              </w:rPr>
            </w:pPr>
            <w:r>
              <w:rPr>
                <w:rFonts w:ascii="Arial" w:cs="Arial" w:eastAsia="Arial" w:hAnsi="Arial"/>
                <w:sz w:val="13"/>
                <w:szCs w:val="13"/>
                <w:color w:val="auto"/>
              </w:rPr>
              <w:t>4,613,231</w:t>
            </w:r>
          </w:p>
        </w:tc>
        <w:tc>
          <w:tcPr>
            <w:tcW w:w="800" w:type="dxa"/>
            <w:vAlign w:val="bottom"/>
            <w:shd w:val="clear" w:color="auto" w:fill="F2F3F2"/>
          </w:tcPr>
          <w:p>
            <w:pPr>
              <w:jc w:val="right"/>
              <w:ind w:right="57"/>
              <w:spacing w:after="0"/>
              <w:rPr>
                <w:sz w:val="20"/>
                <w:szCs w:val="20"/>
                <w:color w:val="auto"/>
              </w:rPr>
            </w:pPr>
            <w:r>
              <w:rPr>
                <w:rFonts w:ascii="Arial" w:cs="Arial" w:eastAsia="Arial" w:hAnsi="Arial"/>
                <w:sz w:val="13"/>
                <w:szCs w:val="13"/>
                <w:color w:val="auto"/>
              </w:rPr>
              <w:t>1,146,274</w:t>
            </w:r>
          </w:p>
        </w:tc>
        <w:tc>
          <w:tcPr>
            <w:tcW w:w="800" w:type="dxa"/>
            <w:vAlign w:val="bottom"/>
            <w:shd w:val="clear" w:color="auto" w:fill="F2F3F2"/>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F2F3F2"/>
          </w:tcPr>
          <w:p>
            <w:pPr>
              <w:jc w:val="right"/>
              <w:ind w:right="117"/>
              <w:spacing w:after="0"/>
              <w:rPr>
                <w:sz w:val="20"/>
                <w:szCs w:val="20"/>
                <w:color w:val="auto"/>
              </w:rPr>
            </w:pPr>
            <w:r>
              <w:rPr>
                <w:rFonts w:ascii="Arial" w:cs="Arial" w:eastAsia="Arial" w:hAnsi="Arial"/>
                <w:sz w:val="13"/>
                <w:szCs w:val="13"/>
                <w:color w:val="auto"/>
              </w:rPr>
              <w:t>9,421,392</w:t>
            </w:r>
          </w:p>
        </w:tc>
        <w:tc>
          <w:tcPr>
            <w:tcW w:w="860" w:type="dxa"/>
            <w:vAlign w:val="bottom"/>
            <w:shd w:val="clear" w:color="auto" w:fill="F2F3F2"/>
          </w:tcPr>
          <w:p>
            <w:pPr>
              <w:jc w:val="right"/>
              <w:ind w:right="77"/>
              <w:spacing w:after="0"/>
              <w:rPr>
                <w:sz w:val="20"/>
                <w:szCs w:val="20"/>
                <w:color w:val="auto"/>
              </w:rPr>
            </w:pPr>
            <w:r>
              <w:rPr>
                <w:rFonts w:ascii="Arial" w:cs="Arial" w:eastAsia="Arial" w:hAnsi="Arial"/>
                <w:sz w:val="13"/>
                <w:szCs w:val="13"/>
                <w:color w:val="auto"/>
              </w:rPr>
              <w:t>828,297</w:t>
            </w:r>
          </w:p>
        </w:tc>
        <w:tc>
          <w:tcPr>
            <w:tcW w:w="800" w:type="dxa"/>
            <w:vAlign w:val="bottom"/>
            <w:shd w:val="clear" w:color="auto" w:fill="F2F3F2"/>
          </w:tcPr>
          <w:p>
            <w:pPr>
              <w:jc w:val="right"/>
              <w:ind w:right="57"/>
              <w:spacing w:after="0"/>
              <w:rPr>
                <w:sz w:val="20"/>
                <w:szCs w:val="20"/>
                <w:color w:val="auto"/>
              </w:rPr>
            </w:pPr>
            <w:r>
              <w:rPr>
                <w:rFonts w:ascii="Arial" w:cs="Arial" w:eastAsia="Arial" w:hAnsi="Arial"/>
                <w:sz w:val="13"/>
                <w:szCs w:val="13"/>
                <w:color w:val="auto"/>
              </w:rPr>
              <w:t>1,122,989</w:t>
            </w:r>
          </w:p>
        </w:tc>
        <w:tc>
          <w:tcPr>
            <w:tcW w:w="880" w:type="dxa"/>
            <w:vAlign w:val="bottom"/>
            <w:shd w:val="clear" w:color="auto" w:fill="F2F3F2"/>
          </w:tcPr>
          <w:p>
            <w:pPr>
              <w:jc w:val="right"/>
              <w:ind w:right="137"/>
              <w:spacing w:after="0"/>
              <w:rPr>
                <w:sz w:val="20"/>
                <w:szCs w:val="20"/>
                <w:color w:val="auto"/>
              </w:rPr>
            </w:pPr>
            <w:r>
              <w:rPr>
                <w:rFonts w:ascii="Arial" w:cs="Arial" w:eastAsia="Arial" w:hAnsi="Arial"/>
                <w:sz w:val="13"/>
                <w:szCs w:val="13"/>
                <w:color w:val="auto"/>
              </w:rPr>
              <w:t>399,885</w:t>
            </w:r>
          </w:p>
        </w:tc>
        <w:tc>
          <w:tcPr>
            <w:tcW w:w="740" w:type="dxa"/>
            <w:vAlign w:val="bottom"/>
            <w:shd w:val="clear" w:color="auto" w:fill="F2F3F2"/>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F2F3F2"/>
          </w:tcPr>
          <w:p>
            <w:pPr>
              <w:jc w:val="right"/>
              <w:ind w:right="117"/>
              <w:spacing w:after="0"/>
              <w:rPr>
                <w:sz w:val="20"/>
                <w:szCs w:val="20"/>
                <w:color w:val="auto"/>
              </w:rPr>
            </w:pPr>
            <w:r>
              <w:rPr>
                <w:rFonts w:ascii="Arial" w:cs="Arial" w:eastAsia="Arial" w:hAnsi="Arial"/>
                <w:sz w:val="13"/>
                <w:szCs w:val="13"/>
                <w:color w:val="auto"/>
              </w:rPr>
              <w:t>2,351,171</w:t>
            </w:r>
          </w:p>
        </w:tc>
        <w:tc>
          <w:tcPr>
            <w:tcW w:w="0" w:type="dxa"/>
            <w:vAlign w:val="bottom"/>
          </w:tcPr>
          <w:p>
            <w:pPr>
              <w:spacing w:after="0"/>
              <w:rPr>
                <w:sz w:val="1"/>
                <w:szCs w:val="1"/>
                <w:color w:val="auto"/>
              </w:rPr>
            </w:pPr>
          </w:p>
        </w:tc>
      </w:tr>
      <w:tr>
        <w:trPr>
          <w:trHeight w:val="328"/>
        </w:trPr>
        <w:tc>
          <w:tcPr>
            <w:tcW w:w="840" w:type="dxa"/>
            <w:vAlign w:val="bottom"/>
            <w:shd w:val="clear" w:color="auto" w:fill="F2F3F2"/>
          </w:tcPr>
          <w:p>
            <w:pPr>
              <w:spacing w:after="0"/>
              <w:rPr>
                <w:sz w:val="24"/>
                <w:szCs w:val="24"/>
                <w:color w:val="auto"/>
              </w:rPr>
            </w:pPr>
          </w:p>
        </w:tc>
        <w:tc>
          <w:tcPr>
            <w:tcW w:w="760" w:type="dxa"/>
            <w:vAlign w:val="bottom"/>
            <w:shd w:val="clear" w:color="auto" w:fill="F2F3F2"/>
          </w:tcPr>
          <w:p>
            <w:pPr>
              <w:spacing w:after="0"/>
              <w:rPr>
                <w:sz w:val="24"/>
                <w:szCs w:val="24"/>
                <w:color w:val="auto"/>
              </w:rPr>
            </w:pPr>
          </w:p>
        </w:tc>
        <w:tc>
          <w:tcPr>
            <w:tcW w:w="940" w:type="dxa"/>
            <w:vAlign w:val="bottom"/>
            <w:shd w:val="clear" w:color="auto" w:fill="F2F3F2"/>
          </w:tcPr>
          <w:p>
            <w:pPr>
              <w:spacing w:after="0"/>
              <w:rPr>
                <w:sz w:val="24"/>
                <w:szCs w:val="24"/>
                <w:color w:val="auto"/>
              </w:rPr>
            </w:pPr>
          </w:p>
        </w:tc>
        <w:tc>
          <w:tcPr>
            <w:tcW w:w="800" w:type="dxa"/>
            <w:vAlign w:val="bottom"/>
            <w:shd w:val="clear" w:color="auto" w:fill="F2F3F2"/>
          </w:tcPr>
          <w:p>
            <w:pPr>
              <w:spacing w:after="0"/>
              <w:rPr>
                <w:sz w:val="24"/>
                <w:szCs w:val="24"/>
                <w:color w:val="auto"/>
              </w:rPr>
            </w:pPr>
          </w:p>
        </w:tc>
        <w:tc>
          <w:tcPr>
            <w:tcW w:w="800" w:type="dxa"/>
            <w:vAlign w:val="bottom"/>
            <w:shd w:val="clear" w:color="auto" w:fill="F2F3F2"/>
          </w:tcPr>
          <w:p>
            <w:pPr>
              <w:spacing w:after="0"/>
              <w:rPr>
                <w:sz w:val="24"/>
                <w:szCs w:val="24"/>
                <w:color w:val="auto"/>
              </w:rPr>
            </w:pPr>
          </w:p>
        </w:tc>
        <w:tc>
          <w:tcPr>
            <w:tcW w:w="840" w:type="dxa"/>
            <w:vAlign w:val="bottom"/>
            <w:shd w:val="clear" w:color="auto" w:fill="F2F3F2"/>
          </w:tcPr>
          <w:p>
            <w:pPr>
              <w:spacing w:after="0"/>
              <w:rPr>
                <w:sz w:val="24"/>
                <w:szCs w:val="24"/>
                <w:color w:val="auto"/>
              </w:rPr>
            </w:pPr>
          </w:p>
        </w:tc>
        <w:tc>
          <w:tcPr>
            <w:tcW w:w="860" w:type="dxa"/>
            <w:vAlign w:val="bottom"/>
            <w:shd w:val="clear" w:color="auto" w:fill="F2F3F2"/>
          </w:tcPr>
          <w:p>
            <w:pPr>
              <w:spacing w:after="0"/>
              <w:rPr>
                <w:sz w:val="24"/>
                <w:szCs w:val="24"/>
                <w:color w:val="auto"/>
              </w:rPr>
            </w:pPr>
          </w:p>
        </w:tc>
        <w:tc>
          <w:tcPr>
            <w:tcW w:w="800" w:type="dxa"/>
            <w:vAlign w:val="bottom"/>
            <w:shd w:val="clear" w:color="auto" w:fill="F2F3F2"/>
          </w:tcPr>
          <w:p>
            <w:pPr>
              <w:spacing w:after="0"/>
              <w:rPr>
                <w:sz w:val="24"/>
                <w:szCs w:val="24"/>
                <w:color w:val="auto"/>
              </w:rPr>
            </w:pPr>
          </w:p>
        </w:tc>
        <w:tc>
          <w:tcPr>
            <w:tcW w:w="880" w:type="dxa"/>
            <w:vAlign w:val="bottom"/>
            <w:shd w:val="clear" w:color="auto" w:fill="F2F3F2"/>
          </w:tcPr>
          <w:p>
            <w:pPr>
              <w:spacing w:after="0"/>
              <w:rPr>
                <w:sz w:val="24"/>
                <w:szCs w:val="24"/>
                <w:color w:val="auto"/>
              </w:rPr>
            </w:pPr>
          </w:p>
        </w:tc>
        <w:tc>
          <w:tcPr>
            <w:tcW w:w="740" w:type="dxa"/>
            <w:vAlign w:val="bottom"/>
            <w:shd w:val="clear" w:color="auto" w:fill="F2F3F2"/>
          </w:tcPr>
          <w:p>
            <w:pPr>
              <w:spacing w:after="0"/>
              <w:rPr>
                <w:sz w:val="24"/>
                <w:szCs w:val="24"/>
                <w:color w:val="auto"/>
              </w:rPr>
            </w:pPr>
          </w:p>
        </w:tc>
        <w:tc>
          <w:tcPr>
            <w:tcW w:w="82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PSO</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24,035</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24,035</w:t>
            </w:r>
          </w:p>
        </w:tc>
        <w:tc>
          <w:tcPr>
            <w:tcW w:w="0" w:type="dxa"/>
            <w:vAlign w:val="bottom"/>
          </w:tcPr>
          <w:p>
            <w:pPr>
              <w:spacing w:after="0"/>
              <w:rPr>
                <w:sz w:val="1"/>
                <w:szCs w:val="1"/>
                <w:color w:val="auto"/>
              </w:rPr>
            </w:pPr>
          </w:p>
        </w:tc>
      </w:tr>
      <w:tr>
        <w:trPr>
          <w:trHeight w:val="306"/>
        </w:trPr>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Restricted</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40" w:type="dxa"/>
            <w:vAlign w:val="bottom"/>
            <w:shd w:val="clear" w:color="auto" w:fill="F2F3F2"/>
          </w:tcPr>
          <w:p>
            <w:pPr>
              <w:ind w:left="140"/>
              <w:spacing w:after="0" w:line="117" w:lineRule="exact"/>
              <w:rPr>
                <w:sz w:val="20"/>
                <w:szCs w:val="20"/>
                <w:color w:val="auto"/>
              </w:rPr>
            </w:pPr>
            <w:r>
              <w:rPr>
                <w:rFonts w:ascii="Arial" w:cs="Arial" w:eastAsia="Arial" w:hAnsi="Arial"/>
                <w:sz w:val="13"/>
                <w:szCs w:val="13"/>
                <w:b w:val="1"/>
                <w:bCs w:val="1"/>
                <w:color w:val="auto"/>
              </w:rPr>
              <w:t>Stock</w:t>
            </w:r>
          </w:p>
        </w:tc>
        <w:tc>
          <w:tcPr>
            <w:tcW w:w="760" w:type="dxa"/>
            <w:vAlign w:val="bottom"/>
            <w:shd w:val="clear" w:color="auto" w:fill="F2F3F2"/>
          </w:tcPr>
          <w:p>
            <w:pPr>
              <w:jc w:val="right"/>
              <w:ind w:right="57"/>
              <w:spacing w:after="0" w:line="117" w:lineRule="exact"/>
              <w:rPr>
                <w:sz w:val="20"/>
                <w:szCs w:val="20"/>
                <w:color w:val="auto"/>
              </w:rPr>
            </w:pPr>
            <w:r>
              <w:rPr>
                <w:rFonts w:ascii="Arial" w:cs="Arial" w:eastAsia="Arial" w:hAnsi="Arial"/>
                <w:sz w:val="13"/>
                <w:szCs w:val="13"/>
                <w:color w:val="auto"/>
              </w:rPr>
              <w:t>1,569,331</w:t>
            </w:r>
          </w:p>
        </w:tc>
        <w:tc>
          <w:tcPr>
            <w:tcW w:w="940" w:type="dxa"/>
            <w:vAlign w:val="bottom"/>
            <w:shd w:val="clear" w:color="auto" w:fill="F2F3F2"/>
          </w:tcPr>
          <w:p>
            <w:pPr>
              <w:jc w:val="right"/>
              <w:ind w:right="57"/>
              <w:spacing w:after="0" w:line="117" w:lineRule="exact"/>
              <w:rPr>
                <w:sz w:val="20"/>
                <w:szCs w:val="20"/>
                <w:color w:val="auto"/>
              </w:rPr>
            </w:pPr>
            <w:r>
              <w:rPr>
                <w:rFonts w:ascii="Arial" w:cs="Arial" w:eastAsia="Arial" w:hAnsi="Arial"/>
                <w:sz w:val="13"/>
                <w:szCs w:val="13"/>
                <w:color w:val="auto"/>
              </w:rPr>
              <w:t>472,975</w:t>
            </w:r>
          </w:p>
        </w:tc>
        <w:tc>
          <w:tcPr>
            <w:tcW w:w="800" w:type="dxa"/>
            <w:vAlign w:val="bottom"/>
            <w:shd w:val="clear" w:color="auto" w:fill="F2F3F2"/>
          </w:tcPr>
          <w:p>
            <w:pPr>
              <w:jc w:val="right"/>
              <w:ind w:right="57"/>
              <w:spacing w:after="0" w:line="117" w:lineRule="exact"/>
              <w:rPr>
                <w:sz w:val="20"/>
                <w:szCs w:val="20"/>
                <w:color w:val="auto"/>
              </w:rPr>
            </w:pPr>
            <w:r>
              <w:rPr>
                <w:rFonts w:ascii="Arial" w:cs="Arial" w:eastAsia="Arial" w:hAnsi="Arial"/>
                <w:sz w:val="13"/>
                <w:szCs w:val="13"/>
                <w:color w:val="auto"/>
              </w:rPr>
              <w:t>254,900</w:t>
            </w:r>
          </w:p>
        </w:tc>
        <w:tc>
          <w:tcPr>
            <w:tcW w:w="800" w:type="dxa"/>
            <w:vAlign w:val="bottom"/>
            <w:shd w:val="clear" w:color="auto" w:fill="F2F3F2"/>
          </w:tcPr>
          <w:p>
            <w:pPr>
              <w:jc w:val="right"/>
              <w:ind w:right="37"/>
              <w:spacing w:after="0" w:line="117" w:lineRule="exact"/>
              <w:rPr>
                <w:sz w:val="20"/>
                <w:szCs w:val="20"/>
                <w:color w:val="auto"/>
              </w:rPr>
            </w:pPr>
            <w:r>
              <w:rPr>
                <w:rFonts w:ascii="Arial" w:cs="Arial" w:eastAsia="Arial" w:hAnsi="Arial"/>
                <w:sz w:val="13"/>
                <w:szCs w:val="13"/>
                <w:color w:val="auto"/>
              </w:rPr>
              <w:t>—</w:t>
            </w:r>
          </w:p>
        </w:tc>
        <w:tc>
          <w:tcPr>
            <w:tcW w:w="840" w:type="dxa"/>
            <w:vAlign w:val="bottom"/>
            <w:shd w:val="clear" w:color="auto" w:fill="F2F3F2"/>
          </w:tcPr>
          <w:p>
            <w:pPr>
              <w:jc w:val="right"/>
              <w:ind w:right="117"/>
              <w:spacing w:after="0" w:line="117" w:lineRule="exact"/>
              <w:rPr>
                <w:sz w:val="20"/>
                <w:szCs w:val="20"/>
                <w:color w:val="auto"/>
              </w:rPr>
            </w:pPr>
            <w:r>
              <w:rPr>
                <w:rFonts w:ascii="Arial" w:cs="Arial" w:eastAsia="Arial" w:hAnsi="Arial"/>
                <w:sz w:val="13"/>
                <w:szCs w:val="13"/>
                <w:color w:val="auto"/>
              </w:rPr>
              <w:t>2,297,206</w:t>
            </w:r>
          </w:p>
        </w:tc>
        <w:tc>
          <w:tcPr>
            <w:tcW w:w="860" w:type="dxa"/>
            <w:vAlign w:val="bottom"/>
            <w:shd w:val="clear" w:color="auto" w:fill="F2F3F2"/>
          </w:tcPr>
          <w:p>
            <w:pPr>
              <w:jc w:val="right"/>
              <w:ind w:right="77"/>
              <w:spacing w:after="0" w:line="117" w:lineRule="exact"/>
              <w:rPr>
                <w:sz w:val="20"/>
                <w:szCs w:val="20"/>
                <w:color w:val="auto"/>
              </w:rPr>
            </w:pPr>
            <w:r>
              <w:rPr>
                <w:rFonts w:ascii="Arial" w:cs="Arial" w:eastAsia="Arial" w:hAnsi="Arial"/>
                <w:sz w:val="13"/>
                <w:szCs w:val="13"/>
                <w:color w:val="auto"/>
              </w:rPr>
              <w:t>392,794</w:t>
            </w:r>
          </w:p>
        </w:tc>
        <w:tc>
          <w:tcPr>
            <w:tcW w:w="800" w:type="dxa"/>
            <w:vAlign w:val="bottom"/>
            <w:shd w:val="clear" w:color="auto" w:fill="F2F3F2"/>
          </w:tcPr>
          <w:p>
            <w:pPr>
              <w:jc w:val="right"/>
              <w:ind w:right="57"/>
              <w:spacing w:after="0" w:line="117" w:lineRule="exact"/>
              <w:rPr>
                <w:sz w:val="20"/>
                <w:szCs w:val="20"/>
                <w:color w:val="auto"/>
              </w:rPr>
            </w:pPr>
            <w:r>
              <w:rPr>
                <w:rFonts w:ascii="Arial" w:cs="Arial" w:eastAsia="Arial" w:hAnsi="Arial"/>
                <w:sz w:val="13"/>
                <w:szCs w:val="13"/>
                <w:color w:val="auto"/>
              </w:rPr>
              <w:t>157,156</w:t>
            </w:r>
          </w:p>
        </w:tc>
        <w:tc>
          <w:tcPr>
            <w:tcW w:w="880" w:type="dxa"/>
            <w:vAlign w:val="bottom"/>
            <w:shd w:val="clear" w:color="auto" w:fill="F2F3F2"/>
          </w:tcPr>
          <w:p>
            <w:pPr>
              <w:jc w:val="right"/>
              <w:ind w:right="137"/>
              <w:spacing w:after="0" w:line="117" w:lineRule="exact"/>
              <w:rPr>
                <w:sz w:val="20"/>
                <w:szCs w:val="20"/>
                <w:color w:val="auto"/>
              </w:rPr>
            </w:pPr>
            <w:r>
              <w:rPr>
                <w:rFonts w:ascii="Arial" w:cs="Arial" w:eastAsia="Arial" w:hAnsi="Arial"/>
                <w:sz w:val="13"/>
                <w:szCs w:val="13"/>
                <w:color w:val="auto"/>
              </w:rPr>
              <w:t>91,136</w:t>
            </w:r>
          </w:p>
        </w:tc>
        <w:tc>
          <w:tcPr>
            <w:tcW w:w="740" w:type="dxa"/>
            <w:vAlign w:val="bottom"/>
            <w:shd w:val="clear" w:color="auto" w:fill="F2F3F2"/>
          </w:tcPr>
          <w:p>
            <w:pPr>
              <w:jc w:val="right"/>
              <w:ind w:right="57"/>
              <w:spacing w:after="0" w:line="117" w:lineRule="exact"/>
              <w:rPr>
                <w:sz w:val="20"/>
                <w:szCs w:val="20"/>
                <w:color w:val="auto"/>
              </w:rPr>
            </w:pPr>
            <w:r>
              <w:rPr>
                <w:rFonts w:ascii="Arial" w:cs="Arial" w:eastAsia="Arial" w:hAnsi="Arial"/>
                <w:sz w:val="13"/>
                <w:szCs w:val="13"/>
                <w:color w:val="auto"/>
              </w:rPr>
              <w:t>—</w:t>
            </w:r>
          </w:p>
        </w:tc>
        <w:tc>
          <w:tcPr>
            <w:tcW w:w="820" w:type="dxa"/>
            <w:vAlign w:val="bottom"/>
            <w:shd w:val="clear" w:color="auto" w:fill="F2F3F2"/>
          </w:tcPr>
          <w:p>
            <w:pPr>
              <w:jc w:val="right"/>
              <w:ind w:right="117"/>
              <w:spacing w:after="0" w:line="117" w:lineRule="exact"/>
              <w:rPr>
                <w:sz w:val="20"/>
                <w:szCs w:val="20"/>
                <w:color w:val="auto"/>
              </w:rPr>
            </w:pPr>
            <w:r>
              <w:rPr>
                <w:rFonts w:ascii="Arial" w:cs="Arial" w:eastAsia="Arial" w:hAnsi="Arial"/>
                <w:sz w:val="13"/>
                <w:szCs w:val="13"/>
                <w:color w:val="auto"/>
              </w:rPr>
              <w:t>641,086</w:t>
            </w:r>
          </w:p>
        </w:tc>
        <w:tc>
          <w:tcPr>
            <w:tcW w:w="0" w:type="dxa"/>
            <w:vAlign w:val="bottom"/>
          </w:tcPr>
          <w:p>
            <w:pPr>
              <w:spacing w:after="0"/>
              <w:rPr>
                <w:sz w:val="1"/>
                <w:szCs w:val="1"/>
                <w:color w:val="auto"/>
              </w:rPr>
            </w:pPr>
          </w:p>
        </w:tc>
      </w:tr>
      <w:tr>
        <w:trPr>
          <w:trHeight w:val="172"/>
        </w:trPr>
        <w:tc>
          <w:tcPr>
            <w:tcW w:w="84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Units</w:t>
            </w:r>
          </w:p>
        </w:tc>
        <w:tc>
          <w:tcPr>
            <w:tcW w:w="760" w:type="dxa"/>
            <w:vAlign w:val="bottom"/>
            <w:shd w:val="clear" w:color="auto" w:fill="F2F3F2"/>
          </w:tcPr>
          <w:p>
            <w:pPr>
              <w:spacing w:after="0"/>
              <w:rPr>
                <w:sz w:val="14"/>
                <w:szCs w:val="14"/>
                <w:color w:val="auto"/>
              </w:rPr>
            </w:pPr>
          </w:p>
        </w:tc>
        <w:tc>
          <w:tcPr>
            <w:tcW w:w="940" w:type="dxa"/>
            <w:vAlign w:val="bottom"/>
            <w:shd w:val="clear" w:color="auto" w:fill="F2F3F2"/>
          </w:tcPr>
          <w:p>
            <w:pPr>
              <w:spacing w:after="0"/>
              <w:rPr>
                <w:sz w:val="14"/>
                <w:szCs w:val="14"/>
                <w:color w:val="auto"/>
              </w:rPr>
            </w:pPr>
          </w:p>
        </w:tc>
        <w:tc>
          <w:tcPr>
            <w:tcW w:w="800" w:type="dxa"/>
            <w:vAlign w:val="bottom"/>
            <w:shd w:val="clear" w:color="auto" w:fill="F2F3F2"/>
          </w:tcPr>
          <w:p>
            <w:pPr>
              <w:spacing w:after="0"/>
              <w:rPr>
                <w:sz w:val="14"/>
                <w:szCs w:val="14"/>
                <w:color w:val="auto"/>
              </w:rPr>
            </w:pPr>
          </w:p>
        </w:tc>
        <w:tc>
          <w:tcPr>
            <w:tcW w:w="800" w:type="dxa"/>
            <w:vAlign w:val="bottom"/>
            <w:shd w:val="clear" w:color="auto" w:fill="F2F3F2"/>
          </w:tcPr>
          <w:p>
            <w:pPr>
              <w:spacing w:after="0"/>
              <w:rPr>
                <w:sz w:val="14"/>
                <w:szCs w:val="14"/>
                <w:color w:val="auto"/>
              </w:rPr>
            </w:pPr>
          </w:p>
        </w:tc>
        <w:tc>
          <w:tcPr>
            <w:tcW w:w="840" w:type="dxa"/>
            <w:vAlign w:val="bottom"/>
            <w:shd w:val="clear" w:color="auto" w:fill="F2F3F2"/>
          </w:tcPr>
          <w:p>
            <w:pPr>
              <w:spacing w:after="0"/>
              <w:rPr>
                <w:sz w:val="14"/>
                <w:szCs w:val="14"/>
                <w:color w:val="auto"/>
              </w:rPr>
            </w:pPr>
          </w:p>
        </w:tc>
        <w:tc>
          <w:tcPr>
            <w:tcW w:w="860" w:type="dxa"/>
            <w:vAlign w:val="bottom"/>
            <w:shd w:val="clear" w:color="auto" w:fill="F2F3F2"/>
          </w:tcPr>
          <w:p>
            <w:pPr>
              <w:spacing w:after="0"/>
              <w:rPr>
                <w:sz w:val="14"/>
                <w:szCs w:val="14"/>
                <w:color w:val="auto"/>
              </w:rPr>
            </w:pPr>
          </w:p>
        </w:tc>
        <w:tc>
          <w:tcPr>
            <w:tcW w:w="800" w:type="dxa"/>
            <w:vAlign w:val="bottom"/>
            <w:shd w:val="clear" w:color="auto" w:fill="F2F3F2"/>
          </w:tcPr>
          <w:p>
            <w:pPr>
              <w:spacing w:after="0"/>
              <w:rPr>
                <w:sz w:val="14"/>
                <w:szCs w:val="14"/>
                <w:color w:val="auto"/>
              </w:rPr>
            </w:pPr>
          </w:p>
        </w:tc>
        <w:tc>
          <w:tcPr>
            <w:tcW w:w="880" w:type="dxa"/>
            <w:vAlign w:val="bottom"/>
            <w:shd w:val="clear" w:color="auto" w:fill="F2F3F2"/>
          </w:tcPr>
          <w:p>
            <w:pPr>
              <w:spacing w:after="0"/>
              <w:rPr>
                <w:sz w:val="14"/>
                <w:szCs w:val="14"/>
                <w:color w:val="auto"/>
              </w:rPr>
            </w:pPr>
          </w:p>
        </w:tc>
        <w:tc>
          <w:tcPr>
            <w:tcW w:w="740" w:type="dxa"/>
            <w:vAlign w:val="bottom"/>
            <w:shd w:val="clear" w:color="auto" w:fill="F2F3F2"/>
          </w:tcPr>
          <w:p>
            <w:pPr>
              <w:spacing w:after="0"/>
              <w:rPr>
                <w:sz w:val="14"/>
                <w:szCs w:val="14"/>
                <w:color w:val="auto"/>
              </w:rPr>
            </w:pPr>
          </w:p>
        </w:tc>
        <w:tc>
          <w:tcPr>
            <w:tcW w:w="82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F2F3F2"/>
          </w:tcPr>
          <w:p>
            <w:pPr>
              <w:spacing w:after="0"/>
              <w:rPr>
                <w:sz w:val="18"/>
                <w:szCs w:val="18"/>
                <w:color w:val="auto"/>
              </w:rPr>
            </w:pPr>
          </w:p>
        </w:tc>
        <w:tc>
          <w:tcPr>
            <w:tcW w:w="760" w:type="dxa"/>
            <w:vAlign w:val="bottom"/>
            <w:shd w:val="clear" w:color="auto" w:fill="F2F3F2"/>
          </w:tcPr>
          <w:p>
            <w:pPr>
              <w:spacing w:after="0"/>
              <w:rPr>
                <w:sz w:val="18"/>
                <w:szCs w:val="18"/>
                <w:color w:val="auto"/>
              </w:rPr>
            </w:pPr>
          </w:p>
        </w:tc>
        <w:tc>
          <w:tcPr>
            <w:tcW w:w="940" w:type="dxa"/>
            <w:vAlign w:val="bottom"/>
            <w:shd w:val="clear" w:color="auto" w:fill="F2F3F2"/>
          </w:tcPr>
          <w:p>
            <w:pPr>
              <w:spacing w:after="0"/>
              <w:rPr>
                <w:sz w:val="18"/>
                <w:szCs w:val="18"/>
                <w:color w:val="auto"/>
              </w:rPr>
            </w:pPr>
          </w:p>
        </w:tc>
        <w:tc>
          <w:tcPr>
            <w:tcW w:w="800" w:type="dxa"/>
            <w:vAlign w:val="bottom"/>
            <w:shd w:val="clear" w:color="auto" w:fill="F2F3F2"/>
          </w:tcPr>
          <w:p>
            <w:pPr>
              <w:spacing w:after="0"/>
              <w:rPr>
                <w:sz w:val="18"/>
                <w:szCs w:val="18"/>
                <w:color w:val="auto"/>
              </w:rPr>
            </w:pPr>
          </w:p>
        </w:tc>
        <w:tc>
          <w:tcPr>
            <w:tcW w:w="800" w:type="dxa"/>
            <w:vAlign w:val="bottom"/>
            <w:shd w:val="clear" w:color="auto" w:fill="F2F3F2"/>
          </w:tcPr>
          <w:p>
            <w:pPr>
              <w:spacing w:after="0"/>
              <w:rPr>
                <w:sz w:val="18"/>
                <w:szCs w:val="18"/>
                <w:color w:val="auto"/>
              </w:rPr>
            </w:pPr>
          </w:p>
        </w:tc>
        <w:tc>
          <w:tcPr>
            <w:tcW w:w="840" w:type="dxa"/>
            <w:vAlign w:val="bottom"/>
            <w:shd w:val="clear" w:color="auto" w:fill="F2F3F2"/>
          </w:tcPr>
          <w:p>
            <w:pPr>
              <w:spacing w:after="0"/>
              <w:rPr>
                <w:sz w:val="18"/>
                <w:szCs w:val="18"/>
                <w:color w:val="auto"/>
              </w:rPr>
            </w:pPr>
          </w:p>
        </w:tc>
        <w:tc>
          <w:tcPr>
            <w:tcW w:w="860" w:type="dxa"/>
            <w:vAlign w:val="bottom"/>
            <w:shd w:val="clear" w:color="auto" w:fill="F2F3F2"/>
          </w:tcPr>
          <w:p>
            <w:pPr>
              <w:spacing w:after="0"/>
              <w:rPr>
                <w:sz w:val="18"/>
                <w:szCs w:val="18"/>
                <w:color w:val="auto"/>
              </w:rPr>
            </w:pPr>
          </w:p>
        </w:tc>
        <w:tc>
          <w:tcPr>
            <w:tcW w:w="800" w:type="dxa"/>
            <w:vAlign w:val="bottom"/>
            <w:shd w:val="clear" w:color="auto" w:fill="F2F3F2"/>
          </w:tcPr>
          <w:p>
            <w:pPr>
              <w:spacing w:after="0"/>
              <w:rPr>
                <w:sz w:val="18"/>
                <w:szCs w:val="18"/>
                <w:color w:val="auto"/>
              </w:rPr>
            </w:pPr>
          </w:p>
        </w:tc>
        <w:tc>
          <w:tcPr>
            <w:tcW w:w="880" w:type="dxa"/>
            <w:vAlign w:val="bottom"/>
            <w:shd w:val="clear" w:color="auto" w:fill="F2F3F2"/>
          </w:tcPr>
          <w:p>
            <w:pPr>
              <w:spacing w:after="0"/>
              <w:rPr>
                <w:sz w:val="18"/>
                <w:szCs w:val="18"/>
                <w:color w:val="auto"/>
              </w:rPr>
            </w:pPr>
          </w:p>
        </w:tc>
        <w:tc>
          <w:tcPr>
            <w:tcW w:w="740" w:type="dxa"/>
            <w:vAlign w:val="bottom"/>
            <w:shd w:val="clear" w:color="auto" w:fill="F2F3F2"/>
          </w:tcPr>
          <w:p>
            <w:pPr>
              <w:spacing w:after="0"/>
              <w:rPr>
                <w:sz w:val="18"/>
                <w:szCs w:val="18"/>
                <w:color w:val="auto"/>
              </w:rPr>
            </w:pPr>
          </w:p>
        </w:tc>
        <w:tc>
          <w:tcPr>
            <w:tcW w:w="82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rPr>
              <w:t>5,231,219</w:t>
            </w: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5,086,206</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1,401,173</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b w:val="1"/>
                <w:bCs w:val="1"/>
                <w:color w:val="auto"/>
              </w:rPr>
              <w:t>11,718,598</w:t>
            </w: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1,221,090</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1,280,145</w:t>
            </w: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515,056</w:t>
            </w: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b w:val="1"/>
                <w:bCs w:val="1"/>
                <w:color w:val="auto"/>
              </w:rPr>
              <w:t>3,016,291</w:t>
            </w:r>
          </w:p>
        </w:tc>
        <w:tc>
          <w:tcPr>
            <w:tcW w:w="0" w:type="dxa"/>
            <w:vAlign w:val="bottom"/>
          </w:tcPr>
          <w:p>
            <w:pPr>
              <w:spacing w:after="0"/>
              <w:rPr>
                <w:sz w:val="1"/>
                <w:szCs w:val="1"/>
                <w:color w:val="auto"/>
              </w:rPr>
            </w:pPr>
          </w:p>
        </w:tc>
      </w:tr>
    </w:tbl>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025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10375" cy="8025765"/>
                    </a:xfrm>
                    <a:prstGeom prst="rect">
                      <a:avLst/>
                    </a:prstGeom>
                    <a:noFill/>
                  </pic:spPr>
                </pic:pic>
              </a:graphicData>
            </a:graphic>
          </wp:anchor>
        </w:drawing>
      </w:r>
    </w:p>
    <w:p>
      <w:pPr>
        <w:ind w:left="420" w:right="240" w:hanging="331"/>
        <w:spacing w:after="0" w:line="283" w:lineRule="auto"/>
        <w:tabs>
          <w:tab w:leader="none" w:pos="4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CAP was not required to be adjusted for the value of pension benefits as we do not provide pension benefits. In addition, none of the equity awards granted to our NEOs were granted and vested in the same year and there were no dividends paid on the awards that were not otherwise incorporated into the valuation of the awards.</w:t>
      </w:r>
    </w:p>
    <w:p>
      <w:pPr>
        <w:spacing w:after="0" w:line="91" w:lineRule="exact"/>
        <w:rPr>
          <w:rFonts w:ascii="Arial" w:cs="Arial" w:eastAsia="Arial" w:hAnsi="Arial"/>
          <w:sz w:val="14"/>
          <w:szCs w:val="14"/>
          <w:color w:val="auto"/>
        </w:rPr>
      </w:pPr>
    </w:p>
    <w:p>
      <w:pPr>
        <w:ind w:left="420" w:right="340" w:hanging="331"/>
        <w:spacing w:after="0" w:line="283" w:lineRule="auto"/>
        <w:tabs>
          <w:tab w:leader="none" w:pos="4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Compensation Committee determined revenues before reimbursable expenses to be the most important financial performance measure used to link company performance to CAP to our PEO and Non-PEO NEOs for 2025 because, in its view, it was most consistent with our primary near-term objective of driving revenue growth.</w:t>
      </w:r>
    </w:p>
    <w:p>
      <w:pPr>
        <w:spacing w:after="0" w:line="91" w:lineRule="exact"/>
        <w:rPr>
          <w:rFonts w:ascii="Arial" w:cs="Arial" w:eastAsia="Arial" w:hAnsi="Arial"/>
          <w:sz w:val="14"/>
          <w:szCs w:val="14"/>
          <w:color w:val="auto"/>
        </w:rPr>
      </w:pPr>
    </w:p>
    <w:p>
      <w:pPr>
        <w:ind w:left="420" w:hanging="331"/>
        <w:spacing w:after="0" w:line="262" w:lineRule="auto"/>
        <w:tabs>
          <w:tab w:leader="none" w:pos="4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pay versus performance table above and the graph below compare the cumulative total shareholder return (TSR) on our common stock against the cumulative TSR of the stocks making up an industry peer group from December 31, 2020 through December 31, 2025. The industry peer group, which is consistent with the peer group used by the Company for its S-K Item 201(e) disclosures within the 2025 Annual Report on Form 10-K, is comprised of the following companies: CRA International, Inc. (CRAI), FTI Consulting, Inc. (FCN), ICF International, Inc. (ICFI) and Resources Connection, Inc. (RGP). In 2025, we removed Premier, Inc. (PINC) from the peer group used for the S-K Item 201(e) disclosures as the common stock of the company was no longer listed on a public exchange as of December 31, 2025. The graph and table assume a $100 investment in Huron Consulting Group Inc. common stock and an index of the industry peer group on December 31, 2020. The annual TSR for each member of the peer group assumes all dividends are reinvested and was weighted based on its stock market capitalization at the beginning of each year presented.</w:t>
      </w:r>
    </w:p>
    <w:p>
      <w:pPr>
        <w:spacing w:after="0" w:line="20"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The below graphs illustrate the relationship between the compensation actually paid (CAP) to the principal executive officer (PEO) and the average of the non-PEO NEOs and i) total shareholder return for Huron and the peer group, ii) revenues and iii) net income from 2021 through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63</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2407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10375" cy="2407920"/>
                    </a:xfrm>
                    <a:prstGeom prst="rect">
                      <a:avLst/>
                    </a:prstGeom>
                    <a:noFill/>
                  </pic:spPr>
                </pic:pic>
              </a:graphicData>
            </a:graphic>
          </wp:anchor>
        </w:drawing>
      </w:r>
    </w:p>
    <w:p>
      <w:pPr>
        <w:sectPr>
          <w:pgSz w:w="11900" w:h="16838" w:orient="portrait"/>
          <w:cols w:equalWidth="0" w:num="1">
            <w:col w:w="9080"/>
          </w:cols>
          <w:pgMar w:left="1400" w:top="1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140" w:right="1419" w:bottom="1440" w:gutter="0" w:footer="0" w:header="0"/>
          <w:type w:val="continuous"/>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48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10375" cy="644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64</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39852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10375" cy="3985260"/>
                    </a:xfrm>
                    <a:prstGeom prst="rect">
                      <a:avLst/>
                    </a:prstGeom>
                    <a:noFill/>
                  </pic:spPr>
                </pic:pic>
              </a:graphicData>
            </a:graphic>
          </wp:anchor>
        </w:drawing>
      </w:r>
    </w:p>
    <w:p>
      <w:pPr>
        <w:sectPr>
          <w:pgSz w:w="11900" w:h="16838" w:orient="portrait"/>
          <w:cols w:equalWidth="0" w:num="1">
            <w:col w:w="9059"/>
          </w:cols>
          <w:pgMar w:left="14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39"/>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Proposal Stockholder Other Governance Two </w:t>
      </w:r>
      <w:r>
        <w:rPr>
          <w:rFonts w:ascii="Arial" w:cs="Arial" w:eastAsia="Arial" w:hAnsi="Arial"/>
          <w:sz w:val="13"/>
          <w:szCs w:val="13"/>
          <w:b w:val="1"/>
          <w:bCs w:val="1"/>
          <w:color w:val="6AAA37"/>
        </w:rPr>
        <w:t>Compensation</w:t>
      </w:r>
      <w:r>
        <w:rPr>
          <w:rFonts w:ascii="Arial" w:cs="Arial" w:eastAsia="Arial" w:hAnsi="Arial"/>
          <w:sz w:val="13"/>
          <w:szCs w:val="13"/>
          <w:b w:val="1"/>
          <w:bCs w:val="1"/>
          <w:color w:val="B2B3B6"/>
        </w:rPr>
        <w:t xml:space="preserve"> Three Proposals Matters</w:t>
      </w:r>
    </w:p>
    <w:p>
      <w:pPr>
        <w:spacing w:after="0" w:line="200" w:lineRule="exact"/>
        <w:rPr>
          <w:sz w:val="20"/>
          <w:szCs w:val="20"/>
          <w:color w:val="auto"/>
        </w:rPr>
      </w:pPr>
    </w:p>
    <w:p>
      <w:pPr>
        <w:sectPr>
          <w:pgSz w:w="11900" w:h="16838" w:orient="portrait"/>
          <w:cols w:equalWidth="0" w:num="2">
            <w:col w:w="1600" w:space="300"/>
            <w:col w:w="7159"/>
          </w:cols>
          <w:pgMar w:left="1400" w:top="1440" w:right="1440" w:bottom="0" w:gutter="0" w:footer="0" w:header="0"/>
          <w:type w:val="continuous"/>
        </w:sectPr>
      </w:pPr>
    </w:p>
    <w:p>
      <w:pPr>
        <w:spacing w:after="0" w:line="97" w:lineRule="exact"/>
        <w:rPr>
          <w:sz w:val="20"/>
          <w:szCs w:val="20"/>
          <w:color w:val="auto"/>
        </w:rPr>
      </w:pPr>
    </w:p>
    <w:p>
      <w:pPr>
        <w:jc w:val="both"/>
        <w:ind w:right="19"/>
        <w:spacing w:after="0" w:line="295" w:lineRule="auto"/>
        <w:rPr>
          <w:sz w:val="20"/>
          <w:szCs w:val="20"/>
          <w:color w:val="auto"/>
        </w:rPr>
      </w:pPr>
      <w:r>
        <w:rPr>
          <w:rFonts w:ascii="Arial" w:cs="Arial" w:eastAsia="Arial" w:hAnsi="Arial"/>
          <w:sz w:val="16"/>
          <w:szCs w:val="16"/>
          <w:color w:val="auto"/>
        </w:rPr>
        <w:t>The increase in the PEO and average Other NEO CAP in 2022 as compared to 2021 is primarily due to the increase in the fair value of equity awards. From December 31, 2021 to December 31, 2022, our stock price increased from $49.90 to $72.60 and the expected funding of the 2020 and 2021 performance-based awards tied to performance against Adjusted Diluted EPS and Revenue Growth metrics increased from 0% to 19% for the 2020 awards and 100% to 153% for the 2021 awards.</w:t>
      </w:r>
    </w:p>
    <w:p>
      <w:pPr>
        <w:spacing w:after="0" w:line="108" w:lineRule="exact"/>
        <w:rPr>
          <w:sz w:val="20"/>
          <w:szCs w:val="20"/>
          <w:color w:val="auto"/>
        </w:rPr>
      </w:pPr>
    </w:p>
    <w:p>
      <w:pPr>
        <w:ind w:right="79"/>
        <w:spacing w:after="0" w:line="300" w:lineRule="auto"/>
        <w:rPr>
          <w:sz w:val="20"/>
          <w:szCs w:val="20"/>
          <w:color w:val="auto"/>
        </w:rPr>
      </w:pPr>
      <w:r>
        <w:rPr>
          <w:rFonts w:ascii="Arial" w:cs="Arial" w:eastAsia="Arial" w:hAnsi="Arial"/>
          <w:sz w:val="16"/>
          <w:szCs w:val="16"/>
          <w:color w:val="auto"/>
        </w:rPr>
        <w:t>The increase in the PEO and average Other NEO CAP in 2023 also related to the increase in the fair value of equity awards. From December 31, 2022 to December 31, 2023, our stock price increased from $72.60 to $103.80 and the expected funding of the 2021 and 2022 performance-based awards tied to performance against Adjusted Diluted EPS and Revenue Growth metrics increased from 153% to 194% for the 2021 awards and 100% to 182% for the 2022 awards.</w:t>
      </w:r>
    </w:p>
    <w:p>
      <w:pPr>
        <w:spacing w:after="0" w:line="106" w:lineRule="exact"/>
        <w:rPr>
          <w:sz w:val="20"/>
          <w:szCs w:val="20"/>
          <w:color w:val="auto"/>
        </w:rPr>
      </w:pPr>
    </w:p>
    <w:p>
      <w:pPr>
        <w:ind w:right="19"/>
        <w:spacing w:after="0" w:line="293" w:lineRule="auto"/>
        <w:rPr>
          <w:sz w:val="20"/>
          <w:szCs w:val="20"/>
          <w:color w:val="auto"/>
        </w:rPr>
      </w:pPr>
      <w:r>
        <w:rPr>
          <w:rFonts w:ascii="Arial" w:cs="Arial" w:eastAsia="Arial" w:hAnsi="Arial"/>
          <w:sz w:val="16"/>
          <w:szCs w:val="16"/>
          <w:color w:val="auto"/>
        </w:rPr>
        <w:t>The increase in the PEO CAP in 2024 related to the increase in the fair value of equity awards; and the decrease in the average Other NEO CAP in 2024 is primarily related to the departure of Mr. Torain effective March 15, 2024, partially offset by the increase in the fair value of equity awards outstanding with the other NEOs. The increase in the fair value of equity awards relates to the increase in our stock price from $103.80 to $124.26 from December 31, 2023 to December 31, 2024 and the expected funding of the 2022 and 2023 performance-based awards tied to performance against Adjusted Diluted EPS and Revenue Growth metrics increased from 194% to 200% for the 2022 awards and 100% to 168% for the 2023 awards.</w:t>
      </w:r>
    </w:p>
    <w:p>
      <w:pPr>
        <w:spacing w:after="0" w:line="97" w:lineRule="exact"/>
        <w:rPr>
          <w:sz w:val="20"/>
          <w:szCs w:val="20"/>
          <w:color w:val="auto"/>
        </w:rPr>
      </w:pPr>
    </w:p>
    <w:p>
      <w:pPr>
        <w:ind w:right="19"/>
        <w:spacing w:after="0" w:line="295" w:lineRule="auto"/>
        <w:rPr>
          <w:sz w:val="20"/>
          <w:szCs w:val="20"/>
          <w:color w:val="auto"/>
        </w:rPr>
      </w:pPr>
      <w:r>
        <w:rPr>
          <w:rFonts w:ascii="Arial" w:cs="Arial" w:eastAsia="Arial" w:hAnsi="Arial"/>
          <w:sz w:val="16"/>
          <w:szCs w:val="16"/>
          <w:color w:val="auto"/>
        </w:rPr>
        <w:t>The increase in the PEO CAP in 2025 related to the increase in the fair value of equity awards; and the increase in the average Other NEO CAP in 2025 is primarily related to the increase in the fair value of the equity awards and the appointment of Ms. Katz as Executive Vice President, General Counsel and Corporate Secretary in 2025. The increase in the fair value of equity awards relates to the increase in our stock price from $124.26 to $172.91 from December 31, 2024 to December 31, 2025; and the expected funding of the 2023 and 2024 performance-based awards tied to performance against Adjusted Diluted EPS and Revenue Growth metrics increased from 168% to 180% for the 2023 awards and 100% to 136% for the 2024 awards.</w:t>
      </w:r>
    </w:p>
    <w:p>
      <w:pPr>
        <w:sectPr>
          <w:pgSz w:w="11900" w:h="16838" w:orient="portrait"/>
          <w:cols w:equalWidth="0" w:num="1">
            <w:col w:w="9059"/>
          </w:cols>
          <w:pgMar w:left="1400" w:top="1440" w:right="1440" w:bottom="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4871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10375" cy="4871085"/>
                    </a:xfrm>
                    <a:prstGeom prst="rect">
                      <a:avLst/>
                    </a:prstGeom>
                    <a:noFill/>
                  </pic:spPr>
                </pic:pic>
              </a:graphicData>
            </a:graphic>
          </wp:anchor>
        </w:drawing>
      </w:r>
    </w:p>
    <w:p>
      <w:pPr>
        <w:spacing w:after="0" w:line="37"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Compensation Committee uses the following four financial performance measures when determining actual compensation paid to the named executive officers:</w:t>
      </w:r>
    </w:p>
    <w:p>
      <w:pPr>
        <w:spacing w:after="0" w:line="34"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6"/>
          <w:szCs w:val="16"/>
          <w:b w:val="1"/>
          <w:bCs w:val="1"/>
          <w:color w:val="6AAA37"/>
        </w:rPr>
      </w:pPr>
      <w:r>
        <w:rPr>
          <w:rFonts w:ascii="Arial" w:cs="Arial" w:eastAsia="Arial" w:hAnsi="Arial"/>
          <w:sz w:val="16"/>
          <w:szCs w:val="16"/>
          <w:color w:val="auto"/>
        </w:rPr>
        <w:t>Revenues before reimbursable expenses;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9"/>
        </w:numPr>
        <w:rPr>
          <w:rFonts w:ascii="Arial" w:cs="Arial" w:eastAsia="Arial" w:hAnsi="Arial"/>
          <w:sz w:val="16"/>
          <w:szCs w:val="16"/>
          <w:b w:val="1"/>
          <w:bCs w:val="1"/>
          <w:color w:val="6AAA37"/>
        </w:rPr>
      </w:pPr>
      <w:r>
        <w:rPr>
          <w:rFonts w:ascii="Arial" w:cs="Arial" w:eastAsia="Arial" w:hAnsi="Arial"/>
          <w:sz w:val="16"/>
          <w:szCs w:val="16"/>
          <w:color w:val="auto"/>
        </w:rPr>
        <w:t>Organic revenues;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9"/>
        </w:numPr>
        <w:rPr>
          <w:rFonts w:ascii="Arial" w:cs="Arial" w:eastAsia="Arial" w:hAnsi="Arial"/>
          <w:sz w:val="16"/>
          <w:szCs w:val="16"/>
          <w:b w:val="1"/>
          <w:bCs w:val="1"/>
          <w:color w:val="6AAA37"/>
        </w:rPr>
      </w:pPr>
      <w:r>
        <w:rPr>
          <w:rFonts w:ascii="Arial" w:cs="Arial" w:eastAsia="Arial" w:hAnsi="Arial"/>
          <w:sz w:val="16"/>
          <w:szCs w:val="16"/>
          <w:color w:val="auto"/>
        </w:rPr>
        <w:t>Adjusted EBITDA margin;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9"/>
        </w:numPr>
        <w:rPr>
          <w:rFonts w:ascii="Arial" w:cs="Arial" w:eastAsia="Arial" w:hAnsi="Arial"/>
          <w:sz w:val="16"/>
          <w:szCs w:val="16"/>
          <w:b w:val="1"/>
          <w:bCs w:val="1"/>
          <w:color w:val="6AAA37"/>
        </w:rPr>
      </w:pPr>
      <w:r>
        <w:rPr>
          <w:rFonts w:ascii="Arial" w:cs="Arial" w:eastAsia="Arial" w:hAnsi="Arial"/>
          <w:sz w:val="16"/>
          <w:szCs w:val="16"/>
          <w:color w:val="auto"/>
        </w:rPr>
        <w:t>Adjusted diluted earnings per share (“EPS”).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CEO Pay Ratio</w:t>
      </w:r>
    </w:p>
    <w:p>
      <w:pPr>
        <w:spacing w:after="0" w:line="15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required by Section 953(b) of the Dodd-Frank Wall Street Reform and Consumer Protection Act, the Company is providing the following disclosure about the relationship of the annual total compensation of our median-paid employee to the annual total compensation of Mr. Hussey,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For 2025:</w:t>
      </w:r>
    </w:p>
    <w:p>
      <w:pPr>
        <w:spacing w:after="0" w:line="127"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6"/>
          <w:szCs w:val="16"/>
          <w:b w:val="1"/>
          <w:bCs w:val="1"/>
          <w:color w:val="6AAA37"/>
        </w:rPr>
      </w:pPr>
      <w:r>
        <w:rPr>
          <w:rFonts w:ascii="Arial" w:cs="Arial" w:eastAsia="Arial" w:hAnsi="Arial"/>
          <w:sz w:val="16"/>
          <w:szCs w:val="16"/>
          <w:color w:val="auto"/>
        </w:rPr>
        <w:t>The annual total compensation of our median employee was $89,793.</w:t>
      </w:r>
    </w:p>
    <w:p>
      <w:pPr>
        <w:spacing w:after="0" w:line="126" w:lineRule="exact"/>
        <w:rPr>
          <w:rFonts w:ascii="Arial" w:cs="Arial" w:eastAsia="Arial" w:hAnsi="Arial"/>
          <w:sz w:val="16"/>
          <w:szCs w:val="16"/>
          <w:b w:val="1"/>
          <w:bCs w:val="1"/>
          <w:color w:val="6AAA37"/>
        </w:rPr>
      </w:pPr>
    </w:p>
    <w:p>
      <w:pPr>
        <w:ind w:left="180" w:right="20" w:hanging="172"/>
        <w:spacing w:after="0" w:line="321" w:lineRule="auto"/>
        <w:tabs>
          <w:tab w:leader="none" w:pos="180" w:val="left"/>
        </w:tabs>
        <w:numPr>
          <w:ilvl w:val="0"/>
          <w:numId w:val="80"/>
        </w:numPr>
        <w:rPr>
          <w:rFonts w:ascii="Arial" w:cs="Arial" w:eastAsia="Arial" w:hAnsi="Arial"/>
          <w:sz w:val="16"/>
          <w:szCs w:val="16"/>
          <w:b w:val="1"/>
          <w:bCs w:val="1"/>
          <w:color w:val="6AAA37"/>
        </w:rPr>
      </w:pPr>
      <w:r>
        <w:rPr>
          <w:rFonts w:ascii="Arial" w:cs="Arial" w:eastAsia="Arial" w:hAnsi="Arial"/>
          <w:sz w:val="16"/>
          <w:szCs w:val="16"/>
          <w:color w:val="auto"/>
        </w:rPr>
        <w:t>Mr. Hussey’s annual total compensation, as reflected in the Summary Compensation Table included in this Proxy Statement, was $7,198,354.</w:t>
      </w:r>
    </w:p>
    <w:p>
      <w:pPr>
        <w:spacing w:after="0" w:line="34" w:lineRule="exact"/>
        <w:rPr>
          <w:rFonts w:ascii="Arial" w:cs="Arial" w:eastAsia="Arial" w:hAnsi="Arial"/>
          <w:sz w:val="16"/>
          <w:szCs w:val="16"/>
          <w:b w:val="1"/>
          <w:bCs w:val="1"/>
          <w:color w:val="6AAA37"/>
        </w:rPr>
      </w:pPr>
    </w:p>
    <w:p>
      <w:pPr>
        <w:ind w:left="180" w:right="140" w:hanging="172"/>
        <w:spacing w:after="0" w:line="321" w:lineRule="auto"/>
        <w:tabs>
          <w:tab w:leader="none" w:pos="180" w:val="left"/>
        </w:tabs>
        <w:numPr>
          <w:ilvl w:val="0"/>
          <w:numId w:val="80"/>
        </w:numPr>
        <w:rPr>
          <w:rFonts w:ascii="Arial" w:cs="Arial" w:eastAsia="Arial" w:hAnsi="Arial"/>
          <w:sz w:val="16"/>
          <w:szCs w:val="16"/>
          <w:b w:val="1"/>
          <w:bCs w:val="1"/>
          <w:color w:val="6AAA37"/>
        </w:rPr>
      </w:pPr>
      <w:r>
        <w:rPr>
          <w:rFonts w:ascii="Arial" w:cs="Arial" w:eastAsia="Arial" w:hAnsi="Arial"/>
          <w:sz w:val="16"/>
          <w:szCs w:val="16"/>
          <w:color w:val="auto"/>
        </w:rPr>
        <w:t>Based on this information, the ratio of the annual total compensation of Mr. Hussey to the annual total compensation of our median employee is estimated to be 80.2 to 1.</w:t>
      </w:r>
    </w:p>
    <w:p>
      <w:pPr>
        <w:spacing w:after="0" w:line="8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color w:val="auto"/>
        </w:rPr>
        <w:t>In 2025, we identified the median employee by examining the 2025 total cash compensation for all individuals, excluding our CEO, who were employed by us on December 31, 2025. We included all employees, whether employed on a full-time or part-time basis. We annualized the base compensation and bonus for all employees that were not employed by us for all of 2025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65</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5562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0375" cy="556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8"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unless they were designated as temporary or seasonal positions. For purposes of identifying the median employee, we used target incentive compensation because actual amounts were not determinable at the time.</w:t>
      </w:r>
    </w:p>
    <w:p>
      <w:pPr>
        <w:spacing w:after="0" w:line="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in order to identify our median employee in 2025, we (i) utilized the exemption permitted under Item 402(u) of Regulation S-K to exclude a total of 308 employees from Canada, the United Kingdom, Singapore, Switzerland, and Poland (which, in the aggregate, comprised less than 5% of our total employee population as of December 31, 2025), resulting in a net employee population of 8,497, of which 3,506 are located in India and (ii) adjusted non-U.S. employee pay applying foreign currency exchange rates as of December 31, 2025.</w:t>
      </w:r>
    </w:p>
    <w:p>
      <w:pPr>
        <w:spacing w:after="0" w:line="113"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Final annual total compensation for the median employee reflects actual incentive compensation earned. We calculated 2025 annual total compensation for our median employee using the same methodology we use for our NEOs as set forth in the Summary Compensation Table.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Compensation Committee Interlocks and Insider Participation</w:t>
      </w:r>
    </w:p>
    <w:p>
      <w:pPr>
        <w:spacing w:after="0" w:line="153"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During 2025, there were no Compensation Committee interlocks and no insider participation in Compensation Committee decisions that were required to be reported under the rules and regulations of the 1934 Act.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Certain Relationships and Related Transactions</w:t>
      </w:r>
    </w:p>
    <w:p>
      <w:pPr>
        <w:spacing w:after="0" w:line="1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or the appropriate board committee, those transactions requiring disclosure pursuant to the SEC’s related person disclosure requirements between Huron and a board member or a principal stockholder and members of their immediate families.</w:t>
      </w:r>
    </w:p>
    <w:p>
      <w:pPr>
        <w:spacing w:after="0" w:line="1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Huron has a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his/her or its duties, as the case may be, in an impartial manner, and use of corporate property for improper personal gain. Any exceptions require disclosure and approval by the Chief Compliance Officer and, in the case of officers and directors, by the Audit Committee of the board. The Code of Conduct also prohibits Huron from making any personal loans or guaranteeing any personal obligations of board members and executive officers.</w:t>
      </w:r>
    </w:p>
    <w:p>
      <w:pPr>
        <w:sectPr>
          <w:pgSz w:w="11900" w:h="16838" w:orient="portrait"/>
          <w:cols w:equalWidth="0" w:num="1">
            <w:col w:w="9080"/>
          </w:cols>
          <w:pgMar w:left="1400" w:top="114" w:right="1419" w:bottom="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Vice Chairman</w:t>
      </w:r>
    </w:p>
    <w:p>
      <w:pPr>
        <w:sectPr>
          <w:pgSz w:w="11900" w:h="16838" w:orient="portrait"/>
          <w:cols w:equalWidth="0" w:num="1">
            <w:col w:w="9080"/>
          </w:cols>
          <w:pgMar w:left="1400" w:top="114" w:right="1419" w:bottom="0" w:gutter="0" w:footer="0" w:header="0"/>
          <w:type w:val="continuous"/>
        </w:sectPr>
      </w:pPr>
    </w:p>
    <w:bookmarkStart w:id="66" w:name="page67"/>
    <w:bookmarkEnd w:id="66"/>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293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10375" cy="3293745"/>
                    </a:xfrm>
                    <a:prstGeom prst="rect">
                      <a:avLst/>
                    </a:prstGeom>
                    <a:noFill/>
                  </pic:spPr>
                </pic:pic>
              </a:graphicData>
            </a:graphic>
          </wp:anchor>
        </w:drawing>
        <w:t>Effective January 1, 2023, James H. Roth was appointed as Vice Chairman, Client Services by the board and this change in role marked the conclusion of his tenure as an executive officer. In this full-time role, Mr. Roth assists in strategic and market-facing activities concentrating on engaging directly with clients in Huron’s core industries, originating business in existing and adjacent markets and engaging with new and existing clients, cultivating new client relationships, and providing exceptional service delivery across the company. In addition to his 45 years of client-focused experience, Mr. Roth continues to play an active and pivotal role mentoring and developing the next generation of Huron leaders. Mr. Roth does not receive compensation for his director duties but is remunerated commensurate with his new responsibilities for revenue generation, client service and developing leaders.</w:t>
      </w:r>
    </w:p>
    <w:p>
      <w:pPr>
        <w:spacing w:after="0" w:line="118" w:lineRule="exact"/>
        <w:rPr>
          <w:sz w:val="20"/>
          <w:szCs w:val="20"/>
          <w:color w:val="auto"/>
        </w:rPr>
      </w:pPr>
    </w:p>
    <w:p>
      <w:pPr>
        <w:ind w:right="340"/>
        <w:spacing w:after="0" w:line="300" w:lineRule="auto"/>
        <w:rPr>
          <w:sz w:val="20"/>
          <w:szCs w:val="20"/>
          <w:color w:val="auto"/>
        </w:rPr>
      </w:pPr>
      <w:r>
        <w:rPr>
          <w:rFonts w:ascii="Arial" w:cs="Arial" w:eastAsia="Arial" w:hAnsi="Arial"/>
          <w:sz w:val="16"/>
          <w:szCs w:val="16"/>
          <w:color w:val="auto"/>
        </w:rPr>
        <w:t>In 2025, Mr. Roth received compensation of $2,244,655 comprised of $900,000 for base salary, $1,107,000 non-equity incentive plan compensation, $180,055 in stock award grants and $57,600 in other benefits. The stock awards include the grant date fair value of $180,055 for 1,181 restricted stock units granted on March 1, 2025, with a four year annual vesting schedule.</w:t>
      </w:r>
    </w:p>
    <w:p>
      <w:pPr>
        <w:spacing w:after="0" w:line="10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2025, Mr. Roth entered into a senior management agreement with Huron, effective January 1, 2025, which superseded and replaced any prior senior management agreements between Mr. Roth and Huron as of the effective date (as amended, the "Roth Agreement"). Set forth below is a brief description of the material terms of the Roth Agreement. The foregoing description of the terms of the Roth Agreement does not purport to be a complete description of the Roth Agreement and is qualified in its entirety by reference to the text of the Roth Agreement, which was filed as Exhibit 10.29 to the Company’s Annual Report on Form 10-K filed on February 24, 2026.</w:t>
      </w:r>
    </w:p>
    <w:p>
      <w:pPr>
        <w:spacing w:after="0" w:line="22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66</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7139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10375" cy="7139940"/>
                    </a:xfrm>
                    <a:prstGeom prst="rect">
                      <a:avLst/>
                    </a:prstGeom>
                    <a:noFill/>
                  </pic:spPr>
                </pic:pic>
              </a:graphicData>
            </a:graphic>
          </wp:anchor>
        </w:drawing>
      </w:r>
    </w:p>
    <w:p>
      <w:pPr>
        <w:sectPr>
          <w:pgSz w:w="11900" w:h="16838" w:orient="portrait"/>
          <w:cols w:equalWidth="0" w:num="1">
            <w:col w:w="9080"/>
          </w:cols>
          <w:pgMar w:left="1400" w:top="152"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Proposal Stockholder Other Three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52" w:right="1419" w:bottom="0" w:gutter="0" w:footer="0" w:header="0"/>
          <w:type w:val="continuous"/>
        </w:sectPr>
      </w:pPr>
    </w:p>
    <w:p>
      <w:pPr>
        <w:spacing w:after="0" w:line="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Roth Agreement provided for an initial one-year term which expired January 1, 2026. On March 11, 2026, Mr. Roth</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an amendment to the Roth Agreement to extend the term of the Roth Agreement for an additional one-year period beginning January 1, 2026 and ending December 31, 2026. The parties may agree to extent the Roth Agreement for an additional one year or longer period subject to the approval of the board. The Roth Agreement may be terminated earlier by Mr. Roth or the Company pursuant to its terms.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Roth Agreement entitles Mr. Roth to an annual base salary in the amount of $900,000.</w:t>
      </w:r>
    </w:p>
    <w:p>
      <w:pPr>
        <w:spacing w:after="0" w:line="181" w:lineRule="exact"/>
        <w:rPr>
          <w:sz w:val="20"/>
          <w:szCs w:val="20"/>
          <w:color w:val="auto"/>
        </w:rPr>
      </w:pPr>
    </w:p>
    <w:p>
      <w:pPr>
        <w:spacing w:after="0" w:line="300" w:lineRule="auto"/>
        <w:rPr>
          <w:sz w:val="20"/>
          <w:szCs w:val="20"/>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Each calendar year, Mr. Roth is eligible for an annual cash bonus in an amount determined by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based on the Company’s and Mr. Roth’s performance and the Company’s compensation policies. For the 2025 calendar year, Mr. Roth's annual target cash bonus was $900,000 and based on his performance in 2025, the Compensation Committee approved 123% funding. For the 2026 calendar year, Mr. Roth’s target cash bonus will be $900,000.</w:t>
      </w:r>
    </w:p>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Mr. Roth is generally eligible to participate in the Company’s equity plans, with the amount and terms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awards to be determined by the Chief Executive Officer, subject to the approval of the Compensation Committee, based on the Company’s and Mr. Roth’s performance and the Company’s compensation policies. The terms and conditions of each equity award are subject to the terms of the applicable equity incentive plan of the Company and the equity awards' grant agreements. For the 2025 calendar year, Mr. Roth's annual equity bonus was 20% of his annual base salary ($180,000). For the 2026 calendar year, Mr. Roth’s target equity bonus will be 20% of his annual base salary ($180,000). The Roth Agreement provides that each of Mr. Roth’s 2025 annual equity grant and 2026 annual equity grant will vest in four equal installments, with one-fourth vesting on the first anniversary of the grant date and one-fourth vesting on each of the next three anniversaries of the grant date.</w:t>
      </w:r>
    </w:p>
    <w:p>
      <w:pPr>
        <w:spacing w:after="0" w:line="11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Mr. Roth is eligible to participate in the Company’s various health and welfare benefit plans for its similarly-situated employees. Additionally, Mr. Roth is eligible to participate in the executive physical program provided to key management employees, and is provided a dedicated office space in the Company’s headquarter office.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Post-Termination Payments: </w:t>
      </w:r>
      <w:r>
        <w:rPr>
          <w:rFonts w:ascii="Arial" w:cs="Arial" w:eastAsia="Arial" w:hAnsi="Arial"/>
          <w:sz w:val="16"/>
          <w:szCs w:val="16"/>
          <w:color w:val="auto"/>
        </w:rPr>
        <w:t>If Mr. Roth's employment is terminated by the Company without Cause (as defined in the Roth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Mr. Roth will be entitled to: (i) severance pay in an amount equal to six months' of Mr. Roth's annual base salary</w:t>
      </w:r>
    </w:p>
    <w:p>
      <w:pPr>
        <w:spacing w:after="0" w:line="32" w:lineRule="exact"/>
        <w:rPr>
          <w:sz w:val="20"/>
          <w:szCs w:val="20"/>
          <w:color w:val="auto"/>
        </w:rPr>
      </w:pPr>
    </w:p>
    <w:p>
      <w:pPr>
        <w:ind w:firstLine="8"/>
        <w:spacing w:after="0" w:line="295" w:lineRule="auto"/>
        <w:tabs>
          <w:tab w:leader="none" w:pos="2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continuation of medical benefits for 12 months upon the same terms as exist from time to time for active similarly-situated employees of the Company; and (iii) an amount in cash equal to the annual bonus that Mr. Roth would have earned for the year of termination had he remained employed for the year in which his termination occurs based on his performance, prorated for the number of completed days of employment during the year of termination.</w:t>
      </w:r>
    </w:p>
    <w:p>
      <w:pPr>
        <w:spacing w:after="0" w:line="10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Death or Permanent Disability: </w:t>
      </w:r>
      <w:r>
        <w:rPr>
          <w:rFonts w:ascii="Arial" w:cs="Arial" w:eastAsia="Arial" w:hAnsi="Arial"/>
          <w:sz w:val="16"/>
          <w:szCs w:val="16"/>
          <w:color w:val="auto"/>
        </w:rPr>
        <w:t>If Mr. Roth's employment is terminated due to Mr. Roth’s death or permanent disability, then</w:t>
      </w:r>
      <w:r>
        <w:rPr>
          <w:rFonts w:ascii="Arial" w:cs="Arial" w:eastAsia="Arial" w:hAnsi="Arial"/>
          <w:sz w:val="16"/>
          <w:szCs w:val="16"/>
          <w:b w:val="1"/>
          <w:bCs w:val="1"/>
          <w:color w:val="auto"/>
        </w:rPr>
        <w:t xml:space="preserve"> </w:t>
      </w:r>
      <w:r>
        <w:rPr>
          <w:rFonts w:ascii="Arial" w:cs="Arial" w:eastAsia="Arial" w:hAnsi="Arial"/>
          <w:sz w:val="16"/>
          <w:szCs w:val="16"/>
          <w:color w:val="auto"/>
        </w:rPr>
        <w:t>Mr. Roth or Mr. Roth's estate will be entitled to (i) payment of Mr. Roth's base salary through the date of termination; (ii) if the termination due to Mr. Roth's death or permanent disability occurs during the initial one-year term of the Roth Agreement, an amount in cash equal to the then-prevailing target amount of Mr. Roth's annual bonus, prorated for the number of completed days of employment during that year; and (iii) vesting of any outstanding time-based or performance-based equity will be treated in accordance with the applicable equity agreement then in effect. Additionally, if Mr. Roth's employment is terminated due to Mr. Roth's death or permanent disability, then Mr. Roth or Mr. Roth's eligible dependents will be entitled to continuation of medical benefits upon the same terms as exist immediately prior to the termination of employment for similarly-situated active employees of the Company for the six-month period immediately following the termination of employment.</w:t>
      </w:r>
    </w:p>
    <w:p>
      <w:pPr>
        <w:spacing w:after="0" w:line="11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receipt of the post-termination benefits described above are conditioned on Mr. Roth’s compliance with the covenants, warranties, representations and agreements set forth in Roth Agreement, as well as his execution and acceptance of the terms and conditions of a general release in the standard form used by the Company.</w:t>
      </w:r>
    </w:p>
    <w:p>
      <w:pPr>
        <w:sectPr>
          <w:pgSz w:w="11900" w:h="16838" w:orient="portrait"/>
          <w:cols w:equalWidth="0" w:num="1">
            <w:col w:w="9080"/>
          </w:cols>
          <w:pgMar w:left="1400" w:top="152" w:right="1419" w:bottom="0" w:gutter="0" w:footer="0" w:header="0"/>
          <w:type w:val="continuous"/>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7164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10375" cy="171640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67</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87172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10375" cy="871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6AAA37"/>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54"/>
          <w:szCs w:val="54"/>
          <w:color w:val="00558C"/>
        </w:rPr>
        <w:t>Proposal Three</w:t>
      </w:r>
    </w:p>
    <w:p>
      <w:pPr>
        <w:spacing w:after="0" w:line="117" w:lineRule="exact"/>
        <w:rPr>
          <w:sz w:val="20"/>
          <w:szCs w:val="20"/>
          <w:color w:val="auto"/>
        </w:rPr>
      </w:pPr>
    </w:p>
    <w:p>
      <w:pPr>
        <w:ind w:right="1559"/>
        <w:spacing w:after="0" w:line="298" w:lineRule="auto"/>
        <w:rPr>
          <w:sz w:val="20"/>
          <w:szCs w:val="20"/>
          <w:color w:val="auto"/>
        </w:rPr>
      </w:pPr>
      <w:r>
        <w:rPr>
          <w:rFonts w:ascii="Arial" w:cs="Arial" w:eastAsia="Arial" w:hAnsi="Arial"/>
          <w:sz w:val="29"/>
          <w:szCs w:val="29"/>
          <w:b w:val="1"/>
          <w:bCs w:val="1"/>
          <w:color w:val="B2B3B6"/>
        </w:rPr>
        <w:t>Ratification of Appointment of Independent Registered Public Accounting Firm</w:t>
      </w:r>
    </w:p>
    <w:p>
      <w:pPr>
        <w:sectPr>
          <w:pgSz w:w="11900" w:h="16838" w:orient="portrait"/>
          <w:cols w:equalWidth="0" w:num="1">
            <w:col w:w="9059"/>
          </w:cols>
          <w:pgMar w:left="1400" w:top="1440" w:right="1440" w:bottom="0" w:gutter="0" w:footer="0" w:header="0"/>
        </w:sectPr>
      </w:pPr>
    </w:p>
    <w:p>
      <w:pPr>
        <w:spacing w:after="0" w:line="25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2026. This appointment is being presented to the stockholders for ratification.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140"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Annual Meeting. Abstentions will have the same effect as a vote against ratification. This proposal is considered a routine matter, so a bank, broker or nominee has the discretion to vote uninstructed shares held in “street name” on behalf of beneficial owners on this proposal. Proxies submitted pursuant to this solicitation will be voted “FOR” the ratification of PwC as the Company’s independent registered public accounting firm for the fiscal year ending December 31, 2026, unless specified otherwise.</w:t>
      </w:r>
    </w:p>
    <w:p>
      <w:pPr>
        <w:spacing w:after="0" w:line="114"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ind w:right="499"/>
        <w:spacing w:after="0" w:line="377" w:lineRule="auto"/>
        <w:rPr>
          <w:sz w:val="20"/>
          <w:szCs w:val="20"/>
          <w:color w:val="auto"/>
        </w:rPr>
      </w:pPr>
      <w:r>
        <w:rPr>
          <w:rFonts w:ascii="Arial" w:cs="Arial" w:eastAsia="Arial" w:hAnsi="Arial"/>
          <w:sz w:val="21"/>
          <w:szCs w:val="21"/>
          <w:b w:val="1"/>
          <w:bCs w:val="1"/>
          <w:color w:val="FFFFFF"/>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99"/>
        <w:spacing w:after="0" w:line="270" w:lineRule="auto"/>
        <w:rPr>
          <w:sz w:val="20"/>
          <w:szCs w:val="20"/>
          <w:color w:val="auto"/>
        </w:rPr>
      </w:pPr>
      <w:r>
        <w:rPr>
          <w:rFonts w:ascii="Arial" w:cs="Arial" w:eastAsia="Arial" w:hAnsi="Arial"/>
          <w:sz w:val="17"/>
          <w:szCs w:val="17"/>
          <w:color w:val="FFFFFF"/>
        </w:rPr>
        <w:t>The Board of Directors recommends that stockholders vote FOR the ratification of the appointment of PricewaterhouseCoopers LLP as the company’s independent registered public accounting firm for the fiscal year ending December 31, 2026.</w:t>
      </w:r>
    </w:p>
    <w:p>
      <w:pPr>
        <w:spacing w:after="0" w:line="1002" w:lineRule="exact"/>
        <w:rPr>
          <w:sz w:val="20"/>
          <w:szCs w:val="20"/>
          <w:color w:val="auto"/>
        </w:rPr>
      </w:pPr>
    </w:p>
    <w:p>
      <w:pPr>
        <w:sectPr>
          <w:pgSz w:w="11900" w:h="16838" w:orient="portrait"/>
          <w:cols w:equalWidth="0" w:num="2">
            <w:col w:w="6020" w:space="720"/>
            <w:col w:w="2319"/>
          </w:cols>
          <w:pgMar w:left="140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68</w:t>
      </w:r>
      <w:r>
        <w:rPr>
          <w:sz w:val="20"/>
          <w:szCs w:val="20"/>
          <w:color w:val="auto"/>
        </w:rPr>
        <w:tab/>
      </w:r>
      <w:r>
        <w:rPr>
          <w:rFonts w:ascii="Arial" w:cs="Arial" w:eastAsia="Arial" w:hAnsi="Arial"/>
          <w:sz w:val="12"/>
          <w:szCs w:val="12"/>
          <w:color w:val="auto"/>
        </w:rPr>
        <w:t>2026 Proxy Statement</w:t>
      </w:r>
    </w:p>
    <w:p>
      <w:pPr>
        <w:sectPr>
          <w:pgSz w:w="11900" w:h="16838" w:orient="portrait"/>
          <w:cols w:equalWidth="0" w:num="1">
            <w:col w:w="9059"/>
          </w:cols>
          <w:pgMar w:left="1400" w:top="1440" w:right="1440" w:bottom="0" w:gutter="0" w:footer="0" w:header="0"/>
          <w:type w:val="continuous"/>
        </w:sectPr>
      </w:pPr>
    </w:p>
    <w:bookmarkStart w:id="68" w:name="page69"/>
    <w:bookmarkEnd w:id="68"/>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88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10375" cy="9088755"/>
                    </a:xfrm>
                    <a:prstGeom prst="rect">
                      <a:avLst/>
                    </a:prstGeom>
                    <a:noFill/>
                  </pic:spPr>
                </pic:pic>
              </a:graphicData>
            </a:graphic>
          </wp:anchor>
        </w:drawing>
      </w: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6AAA37"/>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5"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2025 and December 31, 2024, and fees for other services rendered by PwC during those periods: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6680" w:type="dxa"/>
            <w:vAlign w:val="bottom"/>
            <w:shd w:val="clear" w:color="auto" w:fill="00558C"/>
          </w:tcPr>
          <w:p>
            <w:pPr>
              <w:ind w:left="6320"/>
              <w:spacing w:after="0"/>
              <w:rPr>
                <w:sz w:val="20"/>
                <w:szCs w:val="20"/>
                <w:color w:val="auto"/>
              </w:rPr>
            </w:pPr>
            <w:r>
              <w:rPr>
                <w:rFonts w:ascii="Arial" w:cs="Arial" w:eastAsia="Arial" w:hAnsi="Arial"/>
                <w:sz w:val="14"/>
                <w:szCs w:val="14"/>
                <w:b w:val="1"/>
                <w:bCs w:val="1"/>
                <w:color w:val="FFFFFF"/>
              </w:rPr>
              <w:t>2025</w:t>
            </w:r>
          </w:p>
        </w:tc>
        <w:tc>
          <w:tcPr>
            <w:tcW w:w="1240" w:type="dxa"/>
            <w:vAlign w:val="bottom"/>
            <w:shd w:val="clear" w:color="auto" w:fill="00558C"/>
          </w:tcPr>
          <w:p>
            <w:pPr>
              <w:spacing w:after="0"/>
              <w:rPr>
                <w:sz w:val="24"/>
                <w:szCs w:val="24"/>
                <w:color w:val="auto"/>
              </w:rPr>
            </w:pPr>
          </w:p>
        </w:tc>
        <w:tc>
          <w:tcPr>
            <w:tcW w:w="1160" w:type="dxa"/>
            <w:vAlign w:val="bottom"/>
            <w:shd w:val="clear" w:color="auto" w:fill="00558C"/>
          </w:tcPr>
          <w:p>
            <w:pPr>
              <w:jc w:val="right"/>
              <w:ind w:right="648"/>
              <w:spacing w:after="0"/>
              <w:rPr>
                <w:sz w:val="20"/>
                <w:szCs w:val="20"/>
                <w:color w:val="auto"/>
              </w:rPr>
            </w:pPr>
            <w:r>
              <w:rPr>
                <w:rFonts w:ascii="Arial" w:cs="Arial" w:eastAsia="Arial" w:hAnsi="Arial"/>
                <w:sz w:val="14"/>
                <w:szCs w:val="14"/>
                <w:b w:val="1"/>
                <w:bCs w:val="1"/>
                <w:color w:val="FFFFFF"/>
              </w:rPr>
              <w:t>2024</w:t>
            </w:r>
          </w:p>
        </w:tc>
      </w:tr>
      <w:tr>
        <w:trPr>
          <w:trHeight w:val="392"/>
        </w:trPr>
        <w:tc>
          <w:tcPr>
            <w:tcW w:w="6680" w:type="dxa"/>
            <w:vAlign w:val="bottom"/>
            <w:shd w:val="clear" w:color="auto" w:fill="00558C"/>
          </w:tcPr>
          <w:p>
            <w:pPr>
              <w:spacing w:after="0"/>
              <w:rPr>
                <w:sz w:val="24"/>
                <w:szCs w:val="24"/>
                <w:color w:val="auto"/>
              </w:rPr>
            </w:pPr>
          </w:p>
        </w:tc>
        <w:tc>
          <w:tcPr>
            <w:tcW w:w="1240" w:type="dxa"/>
            <w:vAlign w:val="bottom"/>
            <w:shd w:val="clear" w:color="auto" w:fill="00558C"/>
          </w:tcPr>
          <w:p>
            <w:pPr>
              <w:jc w:val="right"/>
              <w:ind w:right="48"/>
              <w:spacing w:after="0"/>
              <w:rPr>
                <w:sz w:val="20"/>
                <w:szCs w:val="20"/>
                <w:color w:val="auto"/>
              </w:rPr>
            </w:pPr>
            <w:r>
              <w:rPr>
                <w:rFonts w:ascii="Arial" w:cs="Arial" w:eastAsia="Arial" w:hAnsi="Arial"/>
                <w:sz w:val="14"/>
                <w:szCs w:val="14"/>
                <w:b w:val="1"/>
                <w:bCs w:val="1"/>
                <w:color w:val="FFFFFF"/>
              </w:rPr>
              <w:t>(in thousands)</w:t>
            </w:r>
          </w:p>
        </w:tc>
        <w:tc>
          <w:tcPr>
            <w:tcW w:w="1160" w:type="dxa"/>
            <w:vAlign w:val="bottom"/>
            <w:shd w:val="clear" w:color="auto" w:fill="00558C"/>
          </w:tcPr>
          <w:p>
            <w:pPr>
              <w:spacing w:after="0"/>
              <w:rPr>
                <w:sz w:val="24"/>
                <w:szCs w:val="24"/>
                <w:color w:val="auto"/>
              </w:rPr>
            </w:pPr>
          </w:p>
        </w:tc>
      </w:tr>
      <w:tr>
        <w:trPr>
          <w:trHeight w:val="124"/>
        </w:trPr>
        <w:tc>
          <w:tcPr>
            <w:tcW w:w="6680" w:type="dxa"/>
            <w:vAlign w:val="bottom"/>
            <w:shd w:val="clear" w:color="auto" w:fill="00558C"/>
          </w:tcPr>
          <w:p>
            <w:pPr>
              <w:spacing w:after="0"/>
              <w:rPr>
                <w:sz w:val="10"/>
                <w:szCs w:val="10"/>
                <w:color w:val="auto"/>
              </w:rPr>
            </w:pPr>
          </w:p>
        </w:tc>
        <w:tc>
          <w:tcPr>
            <w:tcW w:w="1240" w:type="dxa"/>
            <w:vAlign w:val="bottom"/>
            <w:shd w:val="clear" w:color="auto" w:fill="00558C"/>
          </w:tcPr>
          <w:p>
            <w:pPr>
              <w:spacing w:after="0"/>
              <w:rPr>
                <w:sz w:val="10"/>
                <w:szCs w:val="10"/>
                <w:color w:val="auto"/>
              </w:rPr>
            </w:pPr>
          </w:p>
        </w:tc>
        <w:tc>
          <w:tcPr>
            <w:tcW w:w="1160" w:type="dxa"/>
            <w:vAlign w:val="bottom"/>
            <w:shd w:val="clear" w:color="auto" w:fill="00558C"/>
          </w:tcPr>
          <w:p>
            <w:pPr>
              <w:spacing w:after="0"/>
              <w:rPr>
                <w:sz w:val="10"/>
                <w:szCs w:val="10"/>
                <w:color w:val="auto"/>
              </w:rPr>
            </w:pPr>
          </w:p>
        </w:tc>
      </w:tr>
      <w:tr>
        <w:trPr>
          <w:trHeight w:val="295"/>
        </w:trPr>
        <w:tc>
          <w:tcPr>
            <w:tcW w:w="66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Audit Fees</w:t>
            </w:r>
          </w:p>
        </w:tc>
        <w:tc>
          <w:tcPr>
            <w:tcW w:w="1240" w:type="dxa"/>
            <w:vAlign w:val="bottom"/>
            <w:shd w:val="clear" w:color="auto" w:fill="F2F3F2"/>
          </w:tcPr>
          <w:p>
            <w:pPr>
              <w:jc w:val="right"/>
              <w:ind w:right="688"/>
              <w:spacing w:after="0"/>
              <w:rPr>
                <w:sz w:val="20"/>
                <w:szCs w:val="20"/>
                <w:color w:val="auto"/>
              </w:rPr>
            </w:pPr>
            <w:r>
              <w:rPr>
                <w:rFonts w:ascii="Arial" w:cs="Arial" w:eastAsia="Arial" w:hAnsi="Arial"/>
                <w:sz w:val="14"/>
                <w:szCs w:val="14"/>
                <w:color w:val="auto"/>
              </w:rPr>
              <w:t>$2,152</w:t>
            </w:r>
          </w:p>
        </w:tc>
        <w:tc>
          <w:tcPr>
            <w:tcW w:w="1160" w:type="dxa"/>
            <w:vAlign w:val="bottom"/>
            <w:shd w:val="clear" w:color="auto" w:fill="F2F3F2"/>
          </w:tcPr>
          <w:p>
            <w:pPr>
              <w:jc w:val="right"/>
              <w:ind w:right="108"/>
              <w:spacing w:after="0"/>
              <w:rPr>
                <w:sz w:val="20"/>
                <w:szCs w:val="20"/>
                <w:color w:val="auto"/>
              </w:rPr>
            </w:pPr>
            <w:r>
              <w:rPr>
                <w:rFonts w:ascii="Arial" w:cs="Arial" w:eastAsia="Arial" w:hAnsi="Arial"/>
                <w:sz w:val="14"/>
                <w:szCs w:val="14"/>
                <w:color w:val="auto"/>
              </w:rPr>
              <w:t>$1,922</w:t>
            </w:r>
          </w:p>
        </w:tc>
      </w:tr>
      <w:tr>
        <w:trPr>
          <w:trHeight w:val="70"/>
        </w:trPr>
        <w:tc>
          <w:tcPr>
            <w:tcW w:w="6680" w:type="dxa"/>
            <w:vAlign w:val="bottom"/>
            <w:shd w:val="clear" w:color="auto" w:fill="F2F3F2"/>
          </w:tcPr>
          <w:p>
            <w:pPr>
              <w:spacing w:after="0"/>
              <w:rPr>
                <w:sz w:val="6"/>
                <w:szCs w:val="6"/>
                <w:color w:val="auto"/>
              </w:rPr>
            </w:pPr>
          </w:p>
        </w:tc>
        <w:tc>
          <w:tcPr>
            <w:tcW w:w="1240" w:type="dxa"/>
            <w:vAlign w:val="bottom"/>
            <w:shd w:val="clear" w:color="auto" w:fill="F2F3F2"/>
          </w:tcPr>
          <w:p>
            <w:pPr>
              <w:spacing w:after="0"/>
              <w:rPr>
                <w:sz w:val="6"/>
                <w:szCs w:val="6"/>
                <w:color w:val="auto"/>
              </w:rPr>
            </w:pPr>
          </w:p>
        </w:tc>
        <w:tc>
          <w:tcPr>
            <w:tcW w:w="1160" w:type="dxa"/>
            <w:vAlign w:val="bottom"/>
            <w:shd w:val="clear" w:color="auto" w:fill="F2F3F2"/>
          </w:tcPr>
          <w:p>
            <w:pPr>
              <w:spacing w:after="0"/>
              <w:rPr>
                <w:sz w:val="6"/>
                <w:szCs w:val="6"/>
                <w:color w:val="auto"/>
              </w:rPr>
            </w:pPr>
          </w:p>
        </w:tc>
      </w:tr>
      <w:tr>
        <w:trPr>
          <w:trHeight w:val="295"/>
        </w:trPr>
        <w:tc>
          <w:tcPr>
            <w:tcW w:w="6680" w:type="dxa"/>
            <w:vAlign w:val="bottom"/>
          </w:tcPr>
          <w:p>
            <w:pPr>
              <w:ind w:left="140"/>
              <w:spacing w:after="0"/>
              <w:rPr>
                <w:sz w:val="20"/>
                <w:szCs w:val="20"/>
                <w:color w:val="auto"/>
              </w:rPr>
            </w:pPr>
            <w:r>
              <w:rPr>
                <w:rFonts w:ascii="Arial" w:cs="Arial" w:eastAsia="Arial" w:hAnsi="Arial"/>
                <w:sz w:val="14"/>
                <w:szCs w:val="14"/>
                <w:b w:val="1"/>
                <w:bCs w:val="1"/>
                <w:color w:val="auto"/>
              </w:rPr>
              <w:t>Audit-Related Fees</w:t>
            </w:r>
          </w:p>
        </w:tc>
        <w:tc>
          <w:tcPr>
            <w:tcW w:w="12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69"/>
        </w:trPr>
        <w:tc>
          <w:tcPr>
            <w:tcW w:w="66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95"/>
        </w:trPr>
        <w:tc>
          <w:tcPr>
            <w:tcW w:w="66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Tax Fees</w:t>
            </w:r>
          </w:p>
        </w:tc>
        <w:tc>
          <w:tcPr>
            <w:tcW w:w="1240" w:type="dxa"/>
            <w:vAlign w:val="bottom"/>
            <w:shd w:val="clear" w:color="auto" w:fill="F2F3F2"/>
          </w:tcPr>
          <w:p>
            <w:pPr>
              <w:jc w:val="right"/>
              <w:ind w:right="688"/>
              <w:spacing w:after="0"/>
              <w:rPr>
                <w:sz w:val="20"/>
                <w:szCs w:val="20"/>
                <w:color w:val="auto"/>
              </w:rPr>
            </w:pPr>
            <w:r>
              <w:rPr>
                <w:rFonts w:ascii="Arial" w:cs="Arial" w:eastAsia="Arial" w:hAnsi="Arial"/>
                <w:sz w:val="14"/>
                <w:szCs w:val="14"/>
                <w:color w:val="auto"/>
              </w:rPr>
              <w:t>$389</w:t>
            </w:r>
          </w:p>
        </w:tc>
        <w:tc>
          <w:tcPr>
            <w:tcW w:w="1160" w:type="dxa"/>
            <w:vAlign w:val="bottom"/>
            <w:shd w:val="clear" w:color="auto" w:fill="F2F3F2"/>
          </w:tcPr>
          <w:p>
            <w:pPr>
              <w:jc w:val="right"/>
              <w:ind w:right="108"/>
              <w:spacing w:after="0"/>
              <w:rPr>
                <w:sz w:val="20"/>
                <w:szCs w:val="20"/>
                <w:color w:val="auto"/>
              </w:rPr>
            </w:pPr>
            <w:r>
              <w:rPr>
                <w:rFonts w:ascii="Arial" w:cs="Arial" w:eastAsia="Arial" w:hAnsi="Arial"/>
                <w:sz w:val="14"/>
                <w:szCs w:val="14"/>
                <w:color w:val="auto"/>
              </w:rPr>
              <w:t>$344</w:t>
            </w:r>
          </w:p>
        </w:tc>
      </w:tr>
      <w:tr>
        <w:trPr>
          <w:trHeight w:val="70"/>
        </w:trPr>
        <w:tc>
          <w:tcPr>
            <w:tcW w:w="6680" w:type="dxa"/>
            <w:vAlign w:val="bottom"/>
            <w:shd w:val="clear" w:color="auto" w:fill="F2F3F2"/>
          </w:tcPr>
          <w:p>
            <w:pPr>
              <w:spacing w:after="0"/>
              <w:rPr>
                <w:sz w:val="6"/>
                <w:szCs w:val="6"/>
                <w:color w:val="auto"/>
              </w:rPr>
            </w:pPr>
          </w:p>
        </w:tc>
        <w:tc>
          <w:tcPr>
            <w:tcW w:w="1240" w:type="dxa"/>
            <w:vAlign w:val="bottom"/>
            <w:shd w:val="clear" w:color="auto" w:fill="F2F3F2"/>
          </w:tcPr>
          <w:p>
            <w:pPr>
              <w:spacing w:after="0"/>
              <w:rPr>
                <w:sz w:val="6"/>
                <w:szCs w:val="6"/>
                <w:color w:val="auto"/>
              </w:rPr>
            </w:pPr>
          </w:p>
        </w:tc>
        <w:tc>
          <w:tcPr>
            <w:tcW w:w="1160" w:type="dxa"/>
            <w:vAlign w:val="bottom"/>
            <w:shd w:val="clear" w:color="auto" w:fill="F2F3F2"/>
          </w:tcPr>
          <w:p>
            <w:pPr>
              <w:spacing w:after="0"/>
              <w:rPr>
                <w:sz w:val="6"/>
                <w:szCs w:val="6"/>
                <w:color w:val="auto"/>
              </w:rPr>
            </w:pPr>
          </w:p>
        </w:tc>
      </w:tr>
      <w:tr>
        <w:trPr>
          <w:trHeight w:val="295"/>
        </w:trPr>
        <w:tc>
          <w:tcPr>
            <w:tcW w:w="6680" w:type="dxa"/>
            <w:vAlign w:val="bottom"/>
          </w:tcPr>
          <w:p>
            <w:pPr>
              <w:ind w:left="140"/>
              <w:spacing w:after="0"/>
              <w:rPr>
                <w:sz w:val="20"/>
                <w:szCs w:val="20"/>
                <w:color w:val="auto"/>
              </w:rPr>
            </w:pPr>
            <w:r>
              <w:rPr>
                <w:rFonts w:ascii="Arial" w:cs="Arial" w:eastAsia="Arial" w:hAnsi="Arial"/>
                <w:sz w:val="14"/>
                <w:szCs w:val="14"/>
                <w:b w:val="1"/>
                <w:bCs w:val="1"/>
                <w:color w:val="auto"/>
              </w:rPr>
              <w:t>All Other Fees</w:t>
            </w:r>
          </w:p>
        </w:tc>
        <w:tc>
          <w:tcPr>
            <w:tcW w:w="1240" w:type="dxa"/>
            <w:vAlign w:val="bottom"/>
          </w:tcPr>
          <w:p>
            <w:pPr>
              <w:jc w:val="right"/>
              <w:ind w:right="688"/>
              <w:spacing w:after="0"/>
              <w:rPr>
                <w:sz w:val="20"/>
                <w:szCs w:val="20"/>
                <w:color w:val="auto"/>
              </w:rPr>
            </w:pPr>
            <w:r>
              <w:rPr>
                <w:rFonts w:ascii="Arial" w:cs="Arial" w:eastAsia="Arial" w:hAnsi="Arial"/>
                <w:sz w:val="14"/>
                <w:szCs w:val="14"/>
                <w:color w:val="auto"/>
              </w:rPr>
              <w:t>$4</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w:t>
            </w:r>
          </w:p>
        </w:tc>
      </w:tr>
      <w:tr>
        <w:trPr>
          <w:trHeight w:val="70"/>
        </w:trPr>
        <w:tc>
          <w:tcPr>
            <w:tcW w:w="66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95"/>
        </w:trPr>
        <w:tc>
          <w:tcPr>
            <w:tcW w:w="66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Total</w:t>
            </w:r>
          </w:p>
        </w:tc>
        <w:tc>
          <w:tcPr>
            <w:tcW w:w="1240" w:type="dxa"/>
            <w:vAlign w:val="bottom"/>
            <w:shd w:val="clear" w:color="auto" w:fill="F2F3F2"/>
          </w:tcPr>
          <w:p>
            <w:pPr>
              <w:jc w:val="right"/>
              <w:ind w:right="688"/>
              <w:spacing w:after="0"/>
              <w:rPr>
                <w:sz w:val="20"/>
                <w:szCs w:val="20"/>
                <w:color w:val="auto"/>
              </w:rPr>
            </w:pPr>
            <w:r>
              <w:rPr>
                <w:rFonts w:ascii="Arial" w:cs="Arial" w:eastAsia="Arial" w:hAnsi="Arial"/>
                <w:sz w:val="14"/>
                <w:szCs w:val="14"/>
                <w:b w:val="1"/>
                <w:bCs w:val="1"/>
                <w:color w:val="auto"/>
              </w:rPr>
              <w:t>$2,545</w:t>
            </w:r>
          </w:p>
        </w:tc>
        <w:tc>
          <w:tcPr>
            <w:tcW w:w="1160" w:type="dxa"/>
            <w:vAlign w:val="bottom"/>
            <w:shd w:val="clear" w:color="auto" w:fill="F2F3F2"/>
          </w:tcPr>
          <w:p>
            <w:pPr>
              <w:jc w:val="right"/>
              <w:ind w:right="108"/>
              <w:spacing w:after="0"/>
              <w:rPr>
                <w:sz w:val="20"/>
                <w:szCs w:val="20"/>
                <w:color w:val="auto"/>
              </w:rPr>
            </w:pPr>
            <w:r>
              <w:rPr>
                <w:rFonts w:ascii="Arial" w:cs="Arial" w:eastAsia="Arial" w:hAnsi="Arial"/>
                <w:sz w:val="14"/>
                <w:szCs w:val="14"/>
                <w:b w:val="1"/>
                <w:bCs w:val="1"/>
                <w:color w:val="auto"/>
              </w:rPr>
              <w:t>$2,269</w:t>
            </w:r>
          </w:p>
        </w:tc>
      </w:tr>
      <w:tr>
        <w:trPr>
          <w:trHeight w:val="69"/>
        </w:trPr>
        <w:tc>
          <w:tcPr>
            <w:tcW w:w="6680" w:type="dxa"/>
            <w:vAlign w:val="bottom"/>
            <w:tcBorders>
              <w:bottom w:val="single" w:sz="8" w:color="B2B3B6"/>
            </w:tcBorders>
            <w:shd w:val="clear" w:color="auto" w:fill="F2F3F2"/>
          </w:tcPr>
          <w:p>
            <w:pPr>
              <w:spacing w:after="0"/>
              <w:rPr>
                <w:sz w:val="6"/>
                <w:szCs w:val="6"/>
                <w:color w:val="auto"/>
              </w:rPr>
            </w:pPr>
          </w:p>
        </w:tc>
        <w:tc>
          <w:tcPr>
            <w:tcW w:w="1240" w:type="dxa"/>
            <w:vAlign w:val="bottom"/>
            <w:tcBorders>
              <w:bottom w:val="single" w:sz="8" w:color="B2B3B6"/>
            </w:tcBorders>
            <w:shd w:val="clear" w:color="auto" w:fill="F2F3F2"/>
          </w:tcPr>
          <w:p>
            <w:pPr>
              <w:spacing w:after="0"/>
              <w:rPr>
                <w:sz w:val="6"/>
                <w:szCs w:val="6"/>
                <w:color w:val="auto"/>
              </w:rPr>
            </w:pPr>
          </w:p>
        </w:tc>
        <w:tc>
          <w:tcPr>
            <w:tcW w:w="1160" w:type="dxa"/>
            <w:vAlign w:val="bottom"/>
            <w:tcBorders>
              <w:bottom w:val="single" w:sz="8" w:color="B2B3B6"/>
            </w:tcBorders>
            <w:shd w:val="clear" w:color="auto" w:fill="F2F3F2"/>
          </w:tcPr>
          <w:p>
            <w:pPr>
              <w:spacing w:after="0"/>
              <w:rPr>
                <w:sz w:val="6"/>
                <w:szCs w:val="6"/>
                <w:color w:val="auto"/>
              </w:rPr>
            </w:pPr>
          </w:p>
        </w:tc>
      </w:tr>
    </w:tbl>
    <w:p>
      <w:pPr>
        <w:spacing w:after="0" w:line="229" w:lineRule="exact"/>
        <w:rPr>
          <w:sz w:val="20"/>
          <w:szCs w:val="20"/>
          <w:color w:val="auto"/>
        </w:rPr>
      </w:pPr>
    </w:p>
    <w:p>
      <w:pPr>
        <w:jc w:val="both"/>
        <w:ind w:right="420"/>
        <w:spacing w:after="0" w:line="310"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necessary to perform an audit of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Huron; services in connection with statutory and regulatory filings or engagements, comfort letters, statutory audits, attest services and consents; and assistance with and review of documents filed with the SEC.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—attest services that are not required by statute or regulations.</w:t>
      </w:r>
    </w:p>
    <w:p>
      <w:pPr>
        <w:spacing w:after="0" w:line="18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tax planning; and other tax advice (assistance with tax audits and appeals, tax advice related to structural matters, and requests for rulings or technical advice from taxing authorities).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service that is not audit, audit-related or a tax service.</w:t>
      </w:r>
    </w:p>
    <w:p>
      <w:pPr>
        <w:spacing w:after="0" w:line="167"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years 2025 and 2024 were compatible.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69</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13449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10375"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6AAA37"/>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5" w:lineRule="exact"/>
        <w:rPr>
          <w:sz w:val="20"/>
          <w:szCs w:val="20"/>
          <w:color w:val="auto"/>
        </w:rPr>
      </w:pPr>
    </w:p>
    <w:p>
      <w:pPr>
        <w:ind w:right="1560"/>
        <w:spacing w:after="0" w:line="296" w:lineRule="auto"/>
        <w:rPr>
          <w:sz w:val="20"/>
          <w:szCs w:val="20"/>
          <w:color w:val="auto"/>
        </w:rPr>
      </w:pPr>
      <w:r>
        <w:rPr>
          <w:rFonts w:ascii="Arial" w:cs="Arial" w:eastAsia="Arial" w:hAnsi="Arial"/>
          <w:sz w:val="18"/>
          <w:szCs w:val="18"/>
          <w:b w:val="1"/>
          <w:bCs w:val="1"/>
          <w:color w:val="auto"/>
        </w:rPr>
        <w:t>Policy on Audit Committee Preapproval of Audit and Non-Audit Services of Independent Registered Public Accounting Firm</w:t>
      </w:r>
    </w:p>
    <w:p>
      <w:pPr>
        <w:sectPr>
          <w:pgSz w:w="11900" w:h="16883" w:orient="portrait"/>
          <w:cols w:equalWidth="0" w:num="1">
            <w:col w:w="9100"/>
          </w:cols>
          <w:pgMar w:left="1400" w:top="864" w:right="1399" w:bottom="0" w:gutter="0" w:footer="0" w:header="0"/>
        </w:sectPr>
      </w:pPr>
    </w:p>
    <w:p>
      <w:pPr>
        <w:spacing w:after="0" w:line="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w:t>
      </w:r>
    </w:p>
    <w:p>
      <w:pPr>
        <w:sectPr>
          <w:pgSz w:w="11900" w:h="16883" w:orient="portrait"/>
          <w:cols w:equalWidth="0" w:num="1">
            <w:col w:w="9100"/>
          </w:cols>
          <w:pgMar w:left="1400" w:top="864" w:right="1399" w:bottom="0" w:gutter="0" w:footer="0" w:header="0"/>
          <w:type w:val="continuous"/>
        </w:sectPr>
      </w:pPr>
    </w:p>
    <w:bookmarkStart w:id="69" w:name="page70"/>
    <w:bookmarkEnd w:id="69"/>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audit services provided by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7511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10375" cy="7511415"/>
                    </a:xfrm>
                    <a:prstGeom prst="rect">
                      <a:avLst/>
                    </a:prstGeom>
                    <a:noFill/>
                  </pic:spPr>
                </pic:pic>
              </a:graphicData>
            </a:graphic>
          </wp:anchor>
        </w:drawing>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Audit Committee. The Audit Committee must separately preapprove any services not receiving such general preapproval. Requests for such approval must be submitted by both the independent registered public accounting firm and the Company’s chief financial officer (the “CFO”) and must include a joint statement as to whether, in their view, the request is consistent with the SEC’s rules on auditor independence. As appropriate, the Audit Committee then preapproves the services and the related estimated fees.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The primary purpose of the Audit Committee is to assist the board in its general oversight of the Company’s financial reporting process. The Audit Committee conducted its oversight activities for Huron Consulting Group Inc. and subsidiaries in accordance with the duties and responsibilities outlined in the Audit Committee charter.</w:t>
      </w:r>
    </w:p>
    <w:p>
      <w:pPr>
        <w:spacing w:after="0" w:line="9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its consolidated financial statements, accounting and financial reporting principles, internal control over financial reporting, and disclosure controls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94"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The Audit Committee, with the assistance and support of Huron's management and its finance and accounting team, has fulfilled its objectives, duties and responsibilities as stipulated in the Audit Committee charter and has provided adequate and appropriate independent oversight and monitoring of Huron’s systems of internal control for the fiscal year ended December 31, 2025.</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These activities included, but were not limited to, the following for the fiscal year ended December 31, 2025:</w:t>
      </w:r>
    </w:p>
    <w:p>
      <w:pPr>
        <w:spacing w:after="0" w:line="181" w:lineRule="exact"/>
        <w:rPr>
          <w:sz w:val="20"/>
          <w:szCs w:val="20"/>
          <w:color w:val="auto"/>
        </w:rPr>
      </w:pPr>
    </w:p>
    <w:p>
      <w:pPr>
        <w:ind w:left="180" w:right="300" w:hanging="172"/>
        <w:spacing w:after="0" w:line="321" w:lineRule="auto"/>
        <w:tabs>
          <w:tab w:leader="none" w:pos="180" w:val="left"/>
        </w:tabs>
        <w:numPr>
          <w:ilvl w:val="0"/>
          <w:numId w:val="82"/>
        </w:numPr>
        <w:rPr>
          <w:rFonts w:ascii="Arial" w:cs="Arial" w:eastAsia="Arial" w:hAnsi="Arial"/>
          <w:sz w:val="16"/>
          <w:szCs w:val="16"/>
          <w:b w:val="1"/>
          <w:bCs w:val="1"/>
          <w:color w:val="6AAA37"/>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34" w:lineRule="exact"/>
        <w:rPr>
          <w:rFonts w:ascii="Arial" w:cs="Arial" w:eastAsia="Arial" w:hAnsi="Arial"/>
          <w:sz w:val="16"/>
          <w:szCs w:val="16"/>
          <w:b w:val="1"/>
          <w:bCs w:val="1"/>
          <w:color w:val="6AAA37"/>
        </w:rPr>
      </w:pPr>
    </w:p>
    <w:p>
      <w:pPr>
        <w:ind w:left="180" w:right="20" w:hanging="172"/>
        <w:spacing w:after="0" w:line="321" w:lineRule="auto"/>
        <w:tabs>
          <w:tab w:leader="none" w:pos="180" w:val="left"/>
        </w:tabs>
        <w:numPr>
          <w:ilvl w:val="0"/>
          <w:numId w:val="82"/>
        </w:numPr>
        <w:rPr>
          <w:rFonts w:ascii="Arial" w:cs="Arial" w:eastAsia="Arial" w:hAnsi="Arial"/>
          <w:sz w:val="16"/>
          <w:szCs w:val="16"/>
          <w:b w:val="1"/>
          <w:bCs w:val="1"/>
          <w:color w:val="6AAA37"/>
        </w:rPr>
      </w:pPr>
      <w:r>
        <w:rPr>
          <w:rFonts w:ascii="Arial" w:cs="Arial" w:eastAsia="Arial" w:hAnsi="Arial"/>
          <w:sz w:val="16"/>
          <w:szCs w:val="16"/>
          <w:color w:val="auto"/>
        </w:rPr>
        <w:t>Reviewed and discussed with management and PwC the audited financial statements and the quarterly financial statements for the year ended December 31, 2025. Management has the primary responsibility for such financial statements.</w:t>
      </w:r>
    </w:p>
    <w:p>
      <w:pPr>
        <w:spacing w:after="0" w:line="34" w:lineRule="exact"/>
        <w:rPr>
          <w:rFonts w:ascii="Arial" w:cs="Arial" w:eastAsia="Arial" w:hAnsi="Arial"/>
          <w:sz w:val="16"/>
          <w:szCs w:val="16"/>
          <w:b w:val="1"/>
          <w:bCs w:val="1"/>
          <w:color w:val="6AAA37"/>
        </w:rPr>
      </w:pPr>
    </w:p>
    <w:p>
      <w:pPr>
        <w:ind w:left="180" w:right="340" w:hanging="172"/>
        <w:spacing w:after="0" w:line="321" w:lineRule="auto"/>
        <w:tabs>
          <w:tab w:leader="none" w:pos="180" w:val="left"/>
        </w:tabs>
        <w:numPr>
          <w:ilvl w:val="0"/>
          <w:numId w:val="82"/>
        </w:numPr>
        <w:rPr>
          <w:rFonts w:ascii="Arial" w:cs="Arial" w:eastAsia="Arial" w:hAnsi="Arial"/>
          <w:sz w:val="16"/>
          <w:szCs w:val="16"/>
          <w:b w:val="1"/>
          <w:bCs w:val="1"/>
          <w:color w:val="6AAA37"/>
        </w:rPr>
      </w:pPr>
      <w:r>
        <w:rPr>
          <w:rFonts w:ascii="Arial" w:cs="Arial" w:eastAsia="Arial" w:hAnsi="Arial"/>
          <w:sz w:val="16"/>
          <w:szCs w:val="16"/>
          <w:color w:val="auto"/>
        </w:rPr>
        <w:t>Discussed with PwC the matters requiring discussion under applicable requirements of the Public Company Accounting Oversight Board and the Securities and Exchange Commission.</w:t>
      </w:r>
    </w:p>
    <w:p>
      <w:pPr>
        <w:spacing w:after="0" w:line="88" w:lineRule="exact"/>
        <w:rPr>
          <w:rFonts w:ascii="Arial" w:cs="Arial" w:eastAsia="Arial" w:hAnsi="Arial"/>
          <w:sz w:val="16"/>
          <w:szCs w:val="16"/>
          <w:b w:val="1"/>
          <w:bCs w:val="1"/>
          <w:color w:val="6AAA37"/>
        </w:rPr>
      </w:pPr>
    </w:p>
    <w:p>
      <w:pPr>
        <w:ind w:left="180" w:right="460" w:hanging="172"/>
        <w:spacing w:after="0" w:line="301" w:lineRule="auto"/>
        <w:tabs>
          <w:tab w:leader="none" w:pos="180" w:val="left"/>
        </w:tabs>
        <w:numPr>
          <w:ilvl w:val="0"/>
          <w:numId w:val="82"/>
        </w:numPr>
        <w:rPr>
          <w:rFonts w:ascii="Arial" w:cs="Arial" w:eastAsia="Arial" w:hAnsi="Arial"/>
          <w:sz w:val="16"/>
          <w:szCs w:val="16"/>
          <w:b w:val="1"/>
          <w:bCs w:val="1"/>
          <w:color w:val="6AAA37"/>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04"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In reliance on the Audit Committee’s review and discussions of the matters referred to above, the Audit Committee recommended to the board that the audited financial statements be included in Huron’s Annual Report on Form 10-K for the fiscal year ended December 31, 2025 for filing with the Securities and Exchange Commission.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Peter K. Markell, Chair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 Eugene Lockhart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John McCartney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Hugh E. Sawyer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70</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2922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10375"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Arial" w:cs="Arial" w:eastAsia="Arial" w:hAnsi="Arial"/>
                <w:sz w:val="13"/>
                <w:szCs w:val="13"/>
                <w:b w:val="1"/>
                <w:bCs w:val="1"/>
                <w:color w:val="B2B3B6"/>
              </w:rPr>
              <w:t>General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340" w:type="dxa"/>
            <w:vAlign w:val="bottom"/>
          </w:tcPr>
          <w:p>
            <w:pPr>
              <w:ind w:left="140"/>
              <w:spacing w:after="0"/>
              <w:rPr>
                <w:sz w:val="20"/>
                <w:szCs w:val="20"/>
                <w:color w:val="auto"/>
              </w:rPr>
            </w:pPr>
            <w:r>
              <w:rPr>
                <w:rFonts w:ascii="Arial" w:cs="Arial" w:eastAsia="Arial" w:hAnsi="Arial"/>
                <w:sz w:val="13"/>
                <w:szCs w:val="13"/>
                <w:b w:val="1"/>
                <w:bCs w:val="1"/>
                <w:color w:val="B2B3B6"/>
              </w:rPr>
              <w:t>Executive</w:t>
            </w:r>
          </w:p>
        </w:tc>
        <w:tc>
          <w:tcPr>
            <w:tcW w:w="560" w:type="dxa"/>
            <w:vAlign w:val="bottom"/>
            <w:tcBorders>
              <w:bottom w:val="single" w:sz="8" w:color="B2B3B6"/>
            </w:tcBorders>
          </w:tcPr>
          <w:p>
            <w:pPr>
              <w:spacing w:after="0"/>
              <w:rPr>
                <w:sz w:val="20"/>
                <w:szCs w:val="20"/>
                <w:color w:val="auto"/>
              </w:rPr>
            </w:pPr>
            <w:r>
              <w:rPr>
                <w:rFonts w:ascii="Arial" w:cs="Arial" w:eastAsia="Arial" w:hAnsi="Arial"/>
                <w:sz w:val="13"/>
                <w:szCs w:val="13"/>
                <w:b w:val="1"/>
                <w:bCs w:val="1"/>
                <w:color w:val="B2B3B6"/>
                <w:w w:val="96"/>
              </w:rPr>
              <w:t>Proposal</w:t>
            </w:r>
          </w:p>
        </w:tc>
        <w:tc>
          <w:tcPr>
            <w:tcW w:w="1140" w:type="dxa"/>
            <w:vAlign w:val="bottom"/>
          </w:tcPr>
          <w:p>
            <w:pPr>
              <w:ind w:left="260"/>
              <w:spacing w:after="0"/>
              <w:rPr>
                <w:sz w:val="20"/>
                <w:szCs w:val="20"/>
                <w:color w:val="auto"/>
              </w:rPr>
            </w:pPr>
            <w:r>
              <w:rPr>
                <w:rFonts w:ascii="Arial" w:cs="Arial" w:eastAsia="Arial" w:hAnsi="Arial"/>
                <w:sz w:val="13"/>
                <w:szCs w:val="13"/>
                <w:b w:val="1"/>
                <w:bCs w:val="1"/>
                <w:color w:val="6AAA37"/>
              </w:rPr>
              <w:t>Stockholder</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B2B3B6"/>
              </w:rPr>
              <w:t>Other</w:t>
            </w:r>
          </w:p>
        </w:tc>
      </w:tr>
      <w:tr>
        <w:trPr>
          <w:trHeight w:val="165"/>
        </w:trPr>
        <w:tc>
          <w:tcPr>
            <w:tcW w:w="86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340" w:type="dxa"/>
            <w:vAlign w:val="bottom"/>
          </w:tcPr>
          <w:p>
            <w:pPr>
              <w:ind w:left="140"/>
              <w:spacing w:after="0"/>
              <w:rPr>
                <w:sz w:val="20"/>
                <w:szCs w:val="20"/>
                <w:color w:val="auto"/>
              </w:rPr>
            </w:pPr>
            <w:r>
              <w:rPr>
                <w:rFonts w:ascii="Arial" w:cs="Arial" w:eastAsia="Arial" w:hAnsi="Arial"/>
                <w:sz w:val="13"/>
                <w:szCs w:val="13"/>
                <w:b w:val="1"/>
                <w:bCs w:val="1"/>
                <w:color w:val="B2B3B6"/>
              </w:rPr>
              <w:t>Compensation</w:t>
            </w:r>
          </w:p>
        </w:tc>
        <w:tc>
          <w:tcPr>
            <w:tcW w:w="560" w:type="dxa"/>
            <w:vAlign w:val="bottom"/>
          </w:tcPr>
          <w:p>
            <w:pPr>
              <w:spacing w:after="0"/>
              <w:rPr>
                <w:sz w:val="20"/>
                <w:szCs w:val="20"/>
                <w:color w:val="auto"/>
              </w:rPr>
            </w:pPr>
            <w:r>
              <w:rPr>
                <w:rFonts w:ascii="Arial" w:cs="Arial" w:eastAsia="Arial" w:hAnsi="Arial"/>
                <w:sz w:val="13"/>
                <w:szCs w:val="13"/>
                <w:b w:val="1"/>
                <w:bCs w:val="1"/>
                <w:color w:val="B2B3B6"/>
              </w:rPr>
              <w:t>Three</w:t>
            </w:r>
          </w:p>
        </w:tc>
        <w:tc>
          <w:tcPr>
            <w:tcW w:w="1140" w:type="dxa"/>
            <w:vAlign w:val="bottom"/>
          </w:tcPr>
          <w:p>
            <w:pPr>
              <w:ind w:left="260"/>
              <w:spacing w:after="0"/>
              <w:rPr>
                <w:sz w:val="20"/>
                <w:szCs w:val="20"/>
                <w:color w:val="auto"/>
              </w:rPr>
            </w:pPr>
            <w:r>
              <w:rPr>
                <w:rFonts w:ascii="Arial" w:cs="Arial" w:eastAsia="Arial" w:hAnsi="Arial"/>
                <w:sz w:val="13"/>
                <w:szCs w:val="13"/>
                <w:b w:val="1"/>
                <w:bCs w:val="1"/>
                <w:color w:val="6AAA37"/>
              </w:rPr>
              <w:t>Proposals</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B2B3B6"/>
                <w:w w:val="90"/>
              </w:rPr>
              <w:t>Matters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640"/>
        <w:spacing w:after="0" w:line="245" w:lineRule="auto"/>
        <w:rPr>
          <w:sz w:val="20"/>
          <w:szCs w:val="20"/>
          <w:color w:val="auto"/>
        </w:rPr>
      </w:pPr>
      <w:r>
        <w:rPr>
          <w:rFonts w:ascii="Arial" w:cs="Arial" w:eastAsia="Arial" w:hAnsi="Arial"/>
          <w:sz w:val="54"/>
          <w:szCs w:val="54"/>
          <w:color w:val="00558C"/>
        </w:rPr>
        <w:t>Submission of Stockholder Proposals</w:t>
      </w:r>
    </w:p>
    <w:p>
      <w:pPr>
        <w:sectPr>
          <w:pgSz w:w="11900" w:h="16881" w:orient="portrait"/>
          <w:cols w:equalWidth="0" w:num="1">
            <w:col w:w="9060"/>
          </w:cols>
          <w:pgMar w:left="1400" w:top="114" w:right="1439" w:bottom="0" w:gutter="0" w:footer="0" w:header="0"/>
        </w:sectPr>
      </w:pPr>
    </w:p>
    <w:p>
      <w:pPr>
        <w:spacing w:after="0" w:line="23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submitted pursuant to Rule 14a-8 under the 1934 Act must be received no later than November 20, 2026 by the Corporate Secretary at the Company’s principal executive offices. Pursuant to the Company’s bylaws, stockholders who intend to present an item for</w:t>
      </w:r>
    </w:p>
    <w:p>
      <w:pPr>
        <w:sectPr>
          <w:pgSz w:w="11900" w:h="16881" w:orient="portrait"/>
          <w:cols w:equalWidth="0" w:num="1">
            <w:col w:w="9060"/>
          </w:cols>
          <w:pgMar w:left="1400" w:top="114" w:right="1439" w:bottom="0" w:gutter="0" w:footer="0" w:header="0"/>
          <w:type w:val="continuous"/>
        </w:sectPr>
      </w:pPr>
    </w:p>
    <w:bookmarkStart w:id="70" w:name="page71"/>
    <w:bookmarkEnd w:id="70"/>
    <w:p>
      <w:pPr>
        <w:ind w:right="540"/>
        <w:spacing w:after="0" w:line="249" w:lineRule="auto"/>
        <w:rPr>
          <w:sz w:val="20"/>
          <w:szCs w:val="20"/>
          <w:color w:val="auto"/>
        </w:rPr>
      </w:pPr>
      <w:r>
        <w:rPr>
          <w:rFonts w:ascii="Arial" w:cs="Arial" w:eastAsia="Arial" w:hAnsi="Arial"/>
          <w:sz w:val="16"/>
          <w:szCs w:val="16"/>
          <w:color w:val="auto"/>
        </w:rPr>
        <w:t>business at the next annual meeting (other than a proposal submitted for inclusion in the Company’s proxy materials), including stockholders who intend to solicit proxies in support of director nominees other than the Company's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-225425</wp:posOffset>
            </wp:positionV>
            <wp:extent cx="6810375" cy="5934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10375" cy="5934075"/>
                    </a:xfrm>
                    <a:prstGeom prst="rect">
                      <a:avLst/>
                    </a:prstGeom>
                    <a:noFill/>
                  </pic:spPr>
                </pic:pic>
              </a:graphicData>
            </a:graphic>
          </wp:anchor>
        </w:drawing>
      </w:r>
    </w:p>
    <w:p>
      <w:pPr>
        <w:ind w:right="60"/>
        <w:spacing w:after="0" w:line="295" w:lineRule="auto"/>
        <w:rPr>
          <w:sz w:val="20"/>
          <w:szCs w:val="20"/>
          <w:color w:val="auto"/>
        </w:rPr>
      </w:pPr>
      <w:r>
        <w:rPr>
          <w:rFonts w:ascii="Arial" w:cs="Arial" w:eastAsia="Arial" w:hAnsi="Arial"/>
          <w:sz w:val="16"/>
          <w:szCs w:val="16"/>
          <w:color w:val="auto"/>
        </w:rPr>
        <w:t>pursuant to Rule 14a-19 under the 1934 Act, must provide notice to the Corporate Secretary no earlier than January 8, 2027 and no later than February 7, 2027. Notice of stockholder proposals must contain the information required by the Company’s bylaws. The inclusion of any such proposal in the Company’s proxy materials shall be subject to the requirements of the proxy rules adopted under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71</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4499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0375" cy="4499610"/>
                    </a:xfrm>
                    <a:prstGeom prst="rect">
                      <a:avLst/>
                    </a:prstGeom>
                    <a:noFill/>
                  </pic:spPr>
                </pic:pic>
              </a:graphicData>
            </a:graphic>
          </wp:anchor>
        </w:drawing>
      </w:r>
    </w:p>
    <w:p>
      <w:pPr>
        <w:sectPr>
          <w:pgSz w:w="11900" w:h="16838" w:orient="portrait"/>
          <w:cols w:equalWidth="0" w:num="1">
            <w:col w:w="9080"/>
          </w:cols>
          <w:pgMar w:left="1400" w:top="114" w:right="1419" w:bottom="7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 xml:space="preserve">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14" w:right="1419" w:bottom="7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54"/>
          <w:szCs w:val="54"/>
          <w:color w:val="00558C"/>
        </w:rPr>
        <w:t>Other Matters</w:t>
      </w:r>
    </w:p>
    <w:p>
      <w:pPr>
        <w:spacing w:after="0" w:line="34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Annual Meeting. Should any other matters requiring a vote of the stockholders arise, the persons named in the accompanying proxy intend to vote on those matters in accordance with their best judgment.</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will bear the cost of soliciting proxies.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ectPr>
          <w:pgSz w:w="11900" w:h="16838" w:orient="portrait"/>
          <w:cols w:equalWidth="0" w:num="1">
            <w:col w:w="9080"/>
          </w:cols>
          <w:pgMar w:left="1400" w:top="114" w:right="1419" w:bottom="735" w:gutter="0" w:footer="0" w:header="0"/>
          <w:type w:val="continuous"/>
        </w:sectPr>
      </w:pPr>
    </w:p>
    <w:bookmarkStart w:id="71" w:name="page72"/>
    <w:bookmarkEnd w:id="71"/>
    <w:p>
      <w:pPr>
        <w:ind w:left="5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356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10375" cy="4356735"/>
                    </a:xfrm>
                    <a:prstGeom prst="rect">
                      <a:avLst/>
                    </a:prstGeom>
                    <a:noFill/>
                  </pic:spPr>
                </pic:pic>
              </a:graphicData>
            </a:graphic>
          </wp:anchor>
        </w:drawing>
        <w:t>By Order of the Board of Directors</w:t>
      </w:r>
    </w:p>
    <w:p>
      <w:pPr>
        <w:spacing w:after="0" w:line="200" w:lineRule="exact"/>
        <w:rPr>
          <w:sz w:val="20"/>
          <w:szCs w:val="20"/>
          <w:color w:val="auto"/>
        </w:rPr>
      </w:pP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00558C"/>
        </w:rPr>
        <w:t>Hope Katz</w:t>
      </w:r>
    </w:p>
    <w:p>
      <w:pPr>
        <w:spacing w:after="0" w:line="115" w:lineRule="exact"/>
        <w:rPr>
          <w:sz w:val="20"/>
          <w:szCs w:val="20"/>
          <w:color w:val="auto"/>
        </w:rPr>
      </w:pPr>
    </w:p>
    <w:p>
      <w:pPr>
        <w:ind w:left="5480"/>
        <w:spacing w:after="0"/>
        <w:rPr>
          <w:sz w:val="20"/>
          <w:szCs w:val="20"/>
          <w:color w:val="auto"/>
        </w:rPr>
      </w:pPr>
      <w:r>
        <w:rPr>
          <w:rFonts w:ascii="Arial" w:cs="Arial" w:eastAsia="Arial" w:hAnsi="Arial"/>
          <w:sz w:val="16"/>
          <w:szCs w:val="16"/>
          <w:i w:val="1"/>
          <w:iCs w:val="1"/>
          <w:color w:val="auto"/>
        </w:rPr>
        <w:t>Executive Vice President, General Counsel and</w:t>
      </w:r>
    </w:p>
    <w:p>
      <w:pPr>
        <w:spacing w:after="0" w:line="32" w:lineRule="exact"/>
        <w:rPr>
          <w:sz w:val="20"/>
          <w:szCs w:val="20"/>
          <w:color w:val="auto"/>
        </w:rPr>
      </w:pPr>
    </w:p>
    <w:p>
      <w:pPr>
        <w:ind w:left="5480"/>
        <w:spacing w:after="0"/>
        <w:rPr>
          <w:sz w:val="20"/>
          <w:szCs w:val="20"/>
          <w:color w:val="auto"/>
        </w:rPr>
      </w:pPr>
      <w:r>
        <w:rPr>
          <w:rFonts w:ascii="Arial" w:cs="Arial" w:eastAsia="Arial" w:hAnsi="Arial"/>
          <w:sz w:val="16"/>
          <w:szCs w:val="16"/>
          <w:i w:val="1"/>
          <w:iCs w:val="1"/>
          <w:color w:val="auto"/>
        </w:rPr>
        <w:t>Corporate Secretary</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25"/>
          <w:szCs w:val="25"/>
          <w:b w:val="1"/>
          <w:bCs w:val="1"/>
          <w:color w:val="00558C"/>
          <w:vertAlign w:val="superscript"/>
        </w:rPr>
        <w:t>72</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332740</wp:posOffset>
            </wp:positionV>
            <wp:extent cx="6810375" cy="6076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10375" cy="6076950"/>
                    </a:xfrm>
                    <a:prstGeom prst="rect">
                      <a:avLst/>
                    </a:prstGeom>
                    <a:noFill/>
                  </pic:spPr>
                </pic:pic>
              </a:graphicData>
            </a:graphic>
          </wp:anchor>
        </w:drawing>
      </w:r>
    </w:p>
    <w:p>
      <w:pPr>
        <w:sectPr>
          <w:pgSz w:w="11900" w:h="16838" w:orient="portrait"/>
          <w:cols w:equalWidth="0" w:num="1">
            <w:col w:w="9080"/>
          </w:cols>
          <w:pgMar w:left="1400" w:top="179"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 xml:space="preserve">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79"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54"/>
          <w:szCs w:val="54"/>
          <w:color w:val="00558C"/>
        </w:rPr>
        <w:t>Appendix A</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NON-GAAP FINANCIAL MEASURES</w:t>
      </w:r>
    </w:p>
    <w:p>
      <w:pPr>
        <w:spacing w:after="0" w:line="200" w:lineRule="exact"/>
        <w:rPr>
          <w:sz w:val="20"/>
          <w:szCs w:val="20"/>
          <w:color w:val="auto"/>
        </w:rPr>
      </w:pPr>
    </w:p>
    <w:p>
      <w:pPr>
        <w:spacing w:after="0" w:line="2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assess our results of operations and calculate our executives’ annual and long-term incentive pay, in part, using the following non-GAAP financial measures: earnings before interest, taxes, depreciation and amortization (“EBITDA”), adjusted EBITDA, adjusted EBITDA as a percentage of revenues before reimbursable expenses, adjusted net income, adjusted diluted earnings per share, free cash flow and organic revenues.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 Additionally, the Compensation Committee uses these metrics, in part, to determine annual and long-term incentive pay under the executive compensation program.</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These non-GAAP financial measures include adjustments for the following items:</w:t>
      </w:r>
    </w:p>
    <w:p>
      <w:pPr>
        <w:spacing w:after="0" w:line="181" w:lineRule="exact"/>
        <w:rPr>
          <w:sz w:val="20"/>
          <w:szCs w:val="20"/>
          <w:color w:val="auto"/>
        </w:rPr>
      </w:pPr>
    </w:p>
    <w:p>
      <w:pPr>
        <w:spacing w:after="0" w:line="321"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We exclude the effect of amortization of intangible assets from the calculation of adjusted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it is inconsistent in its amount and frequency and is significantly affected by the timing and size of our acquisitions.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We have incurred charges due to restructuring various parts of our business. These restructuring</w:t>
      </w:r>
    </w:p>
    <w:p>
      <w:pPr>
        <w:sectPr>
          <w:pgSz w:w="11900" w:h="16838" w:orient="portrait"/>
          <w:cols w:equalWidth="0" w:num="1">
            <w:col w:w="9080"/>
          </w:cols>
          <w:pgMar w:left="1400" w:top="179" w:right="1419" w:bottom="0" w:gutter="0" w:footer="0" w:header="0"/>
          <w:type w:val="continuous"/>
        </w:sectPr>
      </w:pPr>
    </w:p>
    <w:bookmarkStart w:id="72" w:name="page73"/>
    <w:bookmarkEnd w:id="72"/>
    <w:p>
      <w:pPr>
        <w:spacing w:after="0" w:line="226" w:lineRule="auto"/>
        <w:rPr>
          <w:sz w:val="20"/>
          <w:szCs w:val="20"/>
          <w:color w:val="auto"/>
        </w:rPr>
      </w:pPr>
      <w:r>
        <w:rPr>
          <w:rFonts w:ascii="Arial" w:cs="Arial" w:eastAsia="Arial" w:hAnsi="Arial"/>
          <w:sz w:val="16"/>
          <w:szCs w:val="16"/>
          <w:color w:val="auto"/>
        </w:rPr>
        <w:t>charges have primarily consisted of costs associated with office space consolidations, including lease impairment charges and accelerated depreciation on lease-related property and equipment, and employee severance charges. We exclude the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-203200</wp:posOffset>
            </wp:positionV>
            <wp:extent cx="6810375" cy="27793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10375" cy="2779395"/>
                    </a:xfrm>
                    <a:prstGeom prst="rect">
                      <a:avLst/>
                    </a:prstGeom>
                    <a:noFill/>
                  </pic:spPr>
                </pic:pic>
              </a:graphicData>
            </a:graphic>
          </wp:anchor>
        </w:drawing>
      </w:r>
    </w:p>
    <w:p>
      <w:pPr>
        <w:ind w:right="140"/>
        <w:spacing w:after="0" w:line="321" w:lineRule="auto"/>
        <w:rPr>
          <w:sz w:val="20"/>
          <w:szCs w:val="20"/>
          <w:color w:val="auto"/>
        </w:rPr>
      </w:pPr>
      <w:r>
        <w:rPr>
          <w:rFonts w:ascii="Arial" w:cs="Arial" w:eastAsia="Arial" w:hAnsi="Arial"/>
          <w:sz w:val="16"/>
          <w:szCs w:val="16"/>
          <w:color w:val="auto"/>
        </w:rPr>
        <w:t>the restructuring charges from our non-GAAP measures to permit comparability with periods that were not impacted by these items. We do not include normal, recurring, cash operating expenses in our restructuring charges.</w:t>
      </w:r>
    </w:p>
    <w:p>
      <w:pPr>
        <w:spacing w:after="0" w:line="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2024 litigation settlement gain: </w:t>
      </w:r>
      <w:r>
        <w:rPr>
          <w:rFonts w:ascii="Arial" w:cs="Arial" w:eastAsia="Arial" w:hAnsi="Arial"/>
          <w:sz w:val="16"/>
          <w:szCs w:val="16"/>
          <w:color w:val="auto"/>
        </w:rPr>
        <w:t>In the second quarter of 2024, we settled a litigation matter in which Huron was the plaintiff for</w:t>
      </w:r>
      <w:r>
        <w:rPr>
          <w:rFonts w:ascii="Arial" w:cs="Arial" w:eastAsia="Arial" w:hAnsi="Arial"/>
          <w:sz w:val="16"/>
          <w:szCs w:val="16"/>
          <w:i w:val="1"/>
          <w:iCs w:val="1"/>
          <w:color w:val="auto"/>
        </w:rPr>
        <w:t xml:space="preserve"> </w:t>
      </w:r>
      <w:r>
        <w:rPr>
          <w:rFonts w:ascii="Arial" w:cs="Arial" w:eastAsia="Arial" w:hAnsi="Arial"/>
          <w:sz w:val="16"/>
          <w:szCs w:val="16"/>
          <w:color w:val="auto"/>
        </w:rPr>
        <w:t>$15.0 million, on a pre-tax basis. This $15.0 million settlement gain was recorded as a component of other gains, net on our consolidated statement of operations. We have excluded from our non-GAAP measures $11.7 million, which is the value of the settlement gain that exceeds the third-party legal costs of $3.3 million incurred during 2024 specific to this litigation matter, as this net gain is not indicative of the ongoing performance of our business. Third-party legal costs incurred for this litigation matter in 2023 were $4.0 million. Our third-party legal expenses are recorded as a component of selling, general and administrative expenses on our statement of operations.</w:t>
      </w:r>
    </w:p>
    <w:p>
      <w:pPr>
        <w:spacing w:after="0" w:line="112"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i w:val="1"/>
          <w:iCs w:val="1"/>
          <w:color w:val="auto"/>
        </w:rPr>
        <w:t xml:space="preserve">Other losses (gains), net: </w:t>
      </w:r>
      <w:r>
        <w:rPr>
          <w:rFonts w:ascii="Arial" w:cs="Arial" w:eastAsia="Arial" w:hAnsi="Arial"/>
          <w:sz w:val="16"/>
          <w:szCs w:val="16"/>
          <w:color w:val="auto"/>
        </w:rPr>
        <w:t>We exclude the effects of other losses and gains, which primarily relate to changes in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our liabilities for contingent consideration related to business acquisitions and litigation settlement losses and gains, excluding the 2024 litigation settlement gain presented separately, to permit comparability with periods that are not</w:t>
      </w: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442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342900</wp:posOffset>
            </wp:positionV>
            <wp:extent cx="6810375" cy="765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10375" cy="7654290"/>
                    </a:xfrm>
                    <a:prstGeom prst="rect">
                      <a:avLst/>
                    </a:prstGeom>
                    <a:noFill/>
                  </pic:spPr>
                </pic:pic>
              </a:graphicData>
            </a:graphic>
          </wp:anchor>
        </w:drawing>
      </w:r>
    </w:p>
    <w:p>
      <w:pPr>
        <w:sectPr>
          <w:pgSz w:w="11900" w:h="16838" w:orient="portrait"/>
          <w:cols w:equalWidth="0" w:num="1">
            <w:col w:w="9080"/>
          </w:cols>
          <w:pgMar w:left="1400" w:top="114" w:right="1419"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60"/>
        <w:spacing w:after="0" w:line="274" w:lineRule="auto"/>
        <w:rPr>
          <w:sz w:val="20"/>
          <w:szCs w:val="20"/>
          <w:color w:val="auto"/>
        </w:rPr>
      </w:pPr>
      <w:r>
        <w:rPr>
          <w:rFonts w:ascii="Arial" w:cs="Arial" w:eastAsia="Arial" w:hAnsi="Arial"/>
          <w:sz w:val="13"/>
          <w:szCs w:val="13"/>
          <w:b w:val="1"/>
          <w:bCs w:val="1"/>
          <w:color w:val="B2B3B6"/>
        </w:rPr>
        <w:t xml:space="preserve">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14" w:right="1419" w:bottom="77" w:gutter="0" w:footer="0" w:header="0"/>
          <w:type w:val="continuous"/>
        </w:sectPr>
      </w:pPr>
    </w:p>
    <w:p>
      <w:pPr>
        <w:spacing w:after="0" w:line="97"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impacted by these items. These items are recorded as a component of other losses (gains), net on our consolidated statement of operations.</w:t>
      </w:r>
    </w:p>
    <w:p>
      <w:pPr>
        <w:spacing w:after="0" w:line="88" w:lineRule="exact"/>
        <w:rPr>
          <w:sz w:val="20"/>
          <w:szCs w:val="20"/>
          <w:color w:val="auto"/>
        </w:rPr>
      </w:pPr>
    </w:p>
    <w:p>
      <w:pPr>
        <w:spacing w:after="0" w:line="295" w:lineRule="auto"/>
        <w:rPr>
          <w:sz w:val="20"/>
          <w:szCs w:val="20"/>
          <w:color w:val="auto"/>
        </w:rPr>
      </w:pPr>
      <w:r>
        <w:rPr>
          <w:rFonts w:ascii="Arial" w:cs="Arial" w:eastAsia="Arial" w:hAnsi="Arial"/>
          <w:sz w:val="16"/>
          <w:szCs w:val="16"/>
          <w:i w:val="1"/>
          <w:iCs w:val="1"/>
          <w:color w:val="auto"/>
        </w:rPr>
        <w:t xml:space="preserve">Transaction-related expenses: </w:t>
      </w:r>
      <w:r>
        <w:rPr>
          <w:rFonts w:ascii="Arial" w:cs="Arial" w:eastAsia="Arial" w:hAnsi="Arial"/>
          <w:sz w:val="16"/>
          <w:szCs w:val="16"/>
          <w:color w:val="auto"/>
        </w:rPr>
        <w:t>We exclude the impact of third-party advisory, legal, and accounting fees and other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directly related to the evaluation and/or consummation of business acquisitions to permit comparability with prior periods as these costs are inconsistent in their amount and frequency and are significantly affected by the timing and size of our acquisitions.</w:t>
      </w:r>
    </w:p>
    <w:p>
      <w:pPr>
        <w:spacing w:after="0" w:line="10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Unrealized losses (gains) on long-term investments, net: </w:t>
      </w:r>
      <w:r>
        <w:rPr>
          <w:rFonts w:ascii="Arial" w:cs="Arial" w:eastAsia="Arial" w:hAnsi="Arial"/>
          <w:sz w:val="16"/>
          <w:szCs w:val="16"/>
          <w:color w:val="auto"/>
        </w:rPr>
        <w:t>We exclude the effect of unrealized losses and gains related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investments, which include non-cash credit related impairment charges on our convertible debt investment in Shorelight Holdings, LLC and changes in the fair value of our equity investment in a hospital-at-home company arising from observable price changes or impairment charges. These unrealized losses and gains are included as a component of other income (expense), net on our consolidated statement of operations. We believe these unrealized losses and gains are not indicative of the ongoing performance of our business and their exclusion permits comparability with prior periods.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Losses (gains) on sales of businesses: </w:t>
      </w:r>
      <w:r>
        <w:rPr>
          <w:rFonts w:ascii="Arial" w:cs="Arial" w:eastAsia="Arial" w:hAnsi="Arial"/>
          <w:sz w:val="16"/>
          <w:szCs w:val="16"/>
          <w:color w:val="auto"/>
        </w:rPr>
        <w:t>We exclude the effect of non-operating losses and gains recognized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businesses as they are infrequent, management believes that these items are not indicative of the ongoing performance of our business, and their exclusion permits comparability with periods that were not impacted by such items. The 2024 gain relates to the divestiture of our Studer Education practice in the fourth quarter of 2024. The 2021 gain relates to the divestiture of our Life Sciences business in the fourth quarter of 2021.</w:t>
      </w:r>
    </w:p>
    <w:p>
      <w:pPr>
        <w:spacing w:after="0" w:line="10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i w:val="1"/>
          <w:iCs w:val="1"/>
          <w:color w:val="auto"/>
        </w:rPr>
        <w:t xml:space="preserve">Foreign currency transaction losses (gains), net: </w:t>
      </w:r>
      <w:r>
        <w:rPr>
          <w:rFonts w:ascii="Arial" w:cs="Arial" w:eastAsia="Arial" w:hAnsi="Arial"/>
          <w:sz w:val="16"/>
          <w:szCs w:val="16"/>
          <w:color w:val="auto"/>
        </w:rPr>
        <w:t>We exclude the effect of foreign currency transaction losses and gains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calculation of adjusted EBITDA because the amount of each loss or gain is significantly affected by changes in foreign exchange rates.</w:t>
      </w:r>
    </w:p>
    <w:p>
      <w:pPr>
        <w:spacing w:after="0" w:line="10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i w:val="1"/>
          <w:iCs w:val="1"/>
          <w:color w:val="auto"/>
        </w:rPr>
        <w:t xml:space="preserve">Tax effect of adjustments: </w:t>
      </w:r>
      <w:r>
        <w:rPr>
          <w:rFonts w:ascii="Arial" w:cs="Arial" w:eastAsia="Arial" w:hAnsi="Arial"/>
          <w:sz w:val="16"/>
          <w:szCs w:val="16"/>
          <w:color w:val="auto"/>
        </w:rPr>
        <w:t>The non-GAAP income tax adjustment reflects the incremental tax impact applicable to the non-GAAP adjustments.</w:t>
      </w:r>
    </w:p>
    <w:p>
      <w:pPr>
        <w:spacing w:after="0" w:line="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Income tax expense, interest expense, net of interest income, depreciation and amortization: </w:t>
      </w:r>
      <w:r>
        <w:rPr>
          <w:rFonts w:ascii="Arial" w:cs="Arial" w:eastAsia="Arial" w:hAnsi="Arial"/>
          <w:sz w:val="16"/>
          <w:szCs w:val="16"/>
          <w:color w:val="auto"/>
        </w:rPr>
        <w:t>We exclude the effects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enterprise resource planning (ERP) system and other related software, which is included within selling, general and administrative expenses in our consolidated statements of operations.</w:t>
      </w:r>
    </w:p>
    <w:p>
      <w:pPr>
        <w:spacing w:after="0" w:line="110" w:lineRule="exact"/>
        <w:rPr>
          <w:sz w:val="20"/>
          <w:szCs w:val="20"/>
          <w:color w:val="auto"/>
        </w:rPr>
      </w:pPr>
    </w:p>
    <w:p>
      <w:pPr>
        <w:jc w:val="both"/>
        <w:ind w:right="380"/>
        <w:spacing w:after="0" w:line="301" w:lineRule="auto"/>
        <w:rPr>
          <w:sz w:val="20"/>
          <w:szCs w:val="20"/>
          <w:color w:val="auto"/>
        </w:rPr>
      </w:pPr>
      <w:r>
        <w:rPr>
          <w:rFonts w:ascii="Arial" w:cs="Arial" w:eastAsia="Arial" w:hAnsi="Arial"/>
          <w:sz w:val="16"/>
          <w:szCs w:val="16"/>
          <w:i w:val="1"/>
          <w:iCs w:val="1"/>
          <w:color w:val="auto"/>
        </w:rPr>
        <w:t xml:space="preserve">Purchases of property and equipment and Capitalization of internally developed software costs: </w:t>
      </w:r>
      <w:r>
        <w:rPr>
          <w:rFonts w:ascii="Arial" w:cs="Arial" w:eastAsia="Arial" w:hAnsi="Arial"/>
          <w:sz w:val="16"/>
          <w:szCs w:val="16"/>
          <w:color w:val="auto"/>
        </w:rPr>
        <w:t>We subtract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equipment and capitalization of internally developed software costs from operating cash flows, as these are customary exclusions in the calculation of free cash flows.</w:t>
      </w:r>
    </w:p>
    <w:p>
      <w:pPr>
        <w:spacing w:after="0" w:line="104"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i w:val="1"/>
          <w:iCs w:val="1"/>
          <w:color w:val="auto"/>
        </w:rPr>
        <w:t xml:space="preserve">Reimbursable expenses: </w:t>
      </w:r>
      <w:r>
        <w:rPr>
          <w:rFonts w:ascii="Arial" w:cs="Arial" w:eastAsia="Arial" w:hAnsi="Arial"/>
          <w:sz w:val="16"/>
          <w:szCs w:val="16"/>
          <w:color w:val="auto"/>
        </w:rPr>
        <w:t>Reimbursable expenses that are billed to clients, primarily relating to travel and out-of-pocket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incurred in connection with client engagements, are excluded from the calculation of organic revenues. We manage our business on the basis of revenues before reimbursable expenses, which we believe is the most accurate reflection of our services because it eliminates the effect of reimbursable expenses that we bill to our clients at cost.</w:t>
      </w:r>
    </w:p>
    <w:p>
      <w:pPr>
        <w:spacing w:after="0" w:line="10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i w:val="1"/>
          <w:iCs w:val="1"/>
          <w:color w:val="auto"/>
        </w:rPr>
        <w:t xml:space="preserve">Revenues generated by acquired businesses: </w:t>
      </w:r>
      <w:r>
        <w:rPr>
          <w:rFonts w:ascii="Arial" w:cs="Arial" w:eastAsia="Arial" w:hAnsi="Arial"/>
          <w:sz w:val="16"/>
          <w:szCs w:val="16"/>
          <w:color w:val="auto"/>
        </w:rPr>
        <w:t>We exclude from the calculation of organic revenues the effect of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acquired businesses that are incremental to the acquisition revenues contemplated in the annual incentive goals approved by the Compensation Committee, to arrive at meaningful revenues generated from core operations over the performance period.</w:t>
      </w:r>
    </w:p>
    <w:p>
      <w:pPr>
        <w:spacing w:after="0" w:line="108"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The following tables reconcile these non-GAAP financial measures to the most comparable GAAP financial measure (in thousands, except per share and percentage amounts).</w:t>
      </w:r>
    </w:p>
    <w:p>
      <w:pPr>
        <w:sectPr>
          <w:pgSz w:w="11900" w:h="16838" w:orient="portrait"/>
          <w:cols w:equalWidth="0" w:num="1">
            <w:col w:w="9080"/>
          </w:cols>
          <w:pgMar w:left="1400" w:top="114" w:right="1419" w:bottom="77" w:gutter="0" w:footer="0" w:header="0"/>
          <w:type w:val="continuous"/>
        </w:sectPr>
      </w:pPr>
    </w:p>
    <w:bookmarkStart w:id="73" w:name="page74"/>
    <w:bookmarkEnd w:id="73"/>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2020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10375" cy="1202055"/>
                    </a:xfrm>
                    <a:prstGeom prst="rect">
                      <a:avLst/>
                    </a:prstGeom>
                    <a:noFill/>
                  </pic:spPr>
                </pic:pic>
              </a:graphicData>
            </a:graphic>
          </wp:anchor>
        </w:drawing>
      </w:r>
    </w:p>
    <w:p>
      <w:pPr>
        <w:ind w:left="60"/>
        <w:spacing w:after="0"/>
        <w:tabs>
          <w:tab w:leader="none" w:pos="442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342900</wp:posOffset>
            </wp:positionV>
            <wp:extent cx="6810375" cy="88677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76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9"/>
        </w:trPr>
        <w:tc>
          <w:tcPr>
            <w:tcW w:w="3520" w:type="dxa"/>
            <w:vAlign w:val="bottom"/>
            <w:tcBorders>
              <w:bottom w:val="single" w:sz="8" w:color="F2F3F2"/>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F2F3F2"/>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F2F3F2"/>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F2F3F2"/>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F2F3F2"/>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Revenues before reimbursable expenses</w:t>
            </w:r>
          </w:p>
        </w:tc>
        <w:tc>
          <w:tcPr>
            <w:tcW w:w="1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1,662,836</w:t>
            </w:r>
          </w:p>
        </w:tc>
        <w:tc>
          <w:tcPr>
            <w:tcW w:w="60" w:type="dxa"/>
            <w:vAlign w:val="bottom"/>
            <w:shd w:val="clear" w:color="auto" w:fill="F2F3F2"/>
          </w:tcPr>
          <w:p>
            <w:pPr>
              <w:spacing w:after="0"/>
              <w:rPr>
                <w:sz w:val="20"/>
                <w:szCs w:val="20"/>
                <w:color w:val="auto"/>
              </w:rPr>
            </w:pPr>
          </w:p>
        </w:tc>
        <w:tc>
          <w:tcPr>
            <w:tcW w:w="1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1,486,085</w:t>
            </w:r>
          </w:p>
        </w:tc>
        <w:tc>
          <w:tcPr>
            <w:tcW w:w="40" w:type="dxa"/>
            <w:vAlign w:val="bottom"/>
            <w:shd w:val="clear" w:color="auto" w:fill="F2F3F2"/>
          </w:tcPr>
          <w:p>
            <w:pPr>
              <w:spacing w:after="0"/>
              <w:rPr>
                <w:sz w:val="20"/>
                <w:szCs w:val="20"/>
                <w:color w:val="auto"/>
              </w:rPr>
            </w:pPr>
          </w:p>
        </w:tc>
        <w:tc>
          <w:tcPr>
            <w:tcW w:w="1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3F2"/>
          </w:tcPr>
          <w:p>
            <w:pPr>
              <w:jc w:val="right"/>
              <w:ind w:right="108"/>
              <w:spacing w:after="0"/>
              <w:rPr>
                <w:sz w:val="20"/>
                <w:szCs w:val="20"/>
                <w:color w:val="auto"/>
              </w:rPr>
            </w:pPr>
            <w:r>
              <w:rPr>
                <w:rFonts w:ascii="Arial" w:cs="Arial" w:eastAsia="Arial" w:hAnsi="Arial"/>
                <w:sz w:val="14"/>
                <w:szCs w:val="14"/>
                <w:color w:val="auto"/>
              </w:rPr>
              <w:t>1,362,060</w:t>
            </w:r>
          </w:p>
        </w:tc>
        <w:tc>
          <w:tcPr>
            <w:tcW w:w="60" w:type="dxa"/>
            <w:vAlign w:val="bottom"/>
            <w:shd w:val="clear" w:color="auto" w:fill="F2F3F2"/>
          </w:tcPr>
          <w:p>
            <w:pPr>
              <w:spacing w:after="0"/>
              <w:rPr>
                <w:sz w:val="20"/>
                <w:szCs w:val="20"/>
                <w:color w:val="auto"/>
              </w:rPr>
            </w:pPr>
          </w:p>
        </w:tc>
        <w:tc>
          <w:tcPr>
            <w:tcW w:w="1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1,132,455</w:t>
            </w:r>
          </w:p>
        </w:tc>
        <w:tc>
          <w:tcPr>
            <w:tcW w:w="60" w:type="dxa"/>
            <w:vAlign w:val="bottom"/>
            <w:shd w:val="clear" w:color="auto" w:fill="F2F3F2"/>
          </w:tcPr>
          <w:p>
            <w:pPr>
              <w:spacing w:after="0"/>
              <w:rPr>
                <w:sz w:val="20"/>
                <w:szCs w:val="20"/>
                <w:color w:val="auto"/>
              </w:rPr>
            </w:pPr>
          </w:p>
        </w:tc>
        <w:tc>
          <w:tcPr>
            <w:tcW w:w="260" w:type="dxa"/>
            <w:vAlign w:val="bottom"/>
            <w:shd w:val="clear" w:color="auto" w:fill="F2F3F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905,640</w:t>
            </w:r>
          </w:p>
        </w:tc>
        <w:tc>
          <w:tcPr>
            <w:tcW w:w="0" w:type="dxa"/>
            <w:vAlign w:val="bottom"/>
          </w:tcPr>
          <w:p>
            <w:pPr>
              <w:spacing w:after="0"/>
              <w:rPr>
                <w:sz w:val="1"/>
                <w:szCs w:val="1"/>
                <w:color w:val="auto"/>
              </w:rPr>
            </w:pPr>
          </w:p>
        </w:tc>
      </w:tr>
      <w:tr>
        <w:trPr>
          <w:trHeight w:val="257"/>
        </w:trPr>
        <w:tc>
          <w:tcPr>
            <w:tcW w:w="3520" w:type="dxa"/>
            <w:vAlign w:val="bottom"/>
            <w:tcBorders>
              <w:bottom w:val="single" w:sz="8" w:color="F2F3F2"/>
            </w:tcBorders>
          </w:tcPr>
          <w:p>
            <w:pPr>
              <w:ind w:left="140"/>
              <w:spacing w:after="0"/>
              <w:rPr>
                <w:sz w:val="20"/>
                <w:szCs w:val="20"/>
                <w:color w:val="auto"/>
              </w:rPr>
            </w:pPr>
            <w:r>
              <w:rPr>
                <w:rFonts w:ascii="Arial" w:cs="Arial" w:eastAsia="Arial" w:hAnsi="Arial"/>
                <w:sz w:val="14"/>
                <w:szCs w:val="14"/>
                <w:b w:val="1"/>
                <w:bCs w:val="1"/>
                <w:color w:val="auto"/>
              </w:rPr>
              <w:t>Reimbursable expenses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36,307</w:t>
            </w:r>
          </w:p>
        </w:tc>
        <w:tc>
          <w:tcPr>
            <w:tcW w:w="60" w:type="dxa"/>
            <w:vAlign w:val="bottom"/>
            <w:tcBorders>
              <w:bottom w:val="single" w:sz="8" w:color="F2F3F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35,720</w:t>
            </w:r>
          </w:p>
        </w:tc>
        <w:tc>
          <w:tcPr>
            <w:tcW w:w="40" w:type="dxa"/>
            <w:vAlign w:val="bottom"/>
            <w:tcBorders>
              <w:bottom w:val="single" w:sz="8" w:color="F2F3F2"/>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36,695</w:t>
            </w:r>
          </w:p>
        </w:tc>
        <w:tc>
          <w:tcPr>
            <w:tcW w:w="60" w:type="dxa"/>
            <w:vAlign w:val="bottom"/>
            <w:tcBorders>
              <w:bottom w:val="single" w:sz="8" w:color="F2F3F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26,506</w:t>
            </w:r>
          </w:p>
        </w:tc>
        <w:tc>
          <w:tcPr>
            <w:tcW w:w="60" w:type="dxa"/>
            <w:vAlign w:val="bottom"/>
            <w:tcBorders>
              <w:bottom w:val="single" w:sz="8" w:color="F2F3F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21,318</w:t>
            </w:r>
          </w:p>
        </w:tc>
        <w:tc>
          <w:tcPr>
            <w:tcW w:w="0" w:type="dxa"/>
            <w:vAlign w:val="bottom"/>
          </w:tcPr>
          <w:p>
            <w:pPr>
              <w:spacing w:after="0"/>
              <w:rPr>
                <w:sz w:val="1"/>
                <w:szCs w:val="1"/>
                <w:color w:val="auto"/>
              </w:rPr>
            </w:pPr>
          </w:p>
        </w:tc>
      </w:tr>
      <w:tr>
        <w:trPr>
          <w:trHeight w:val="234"/>
        </w:trPr>
        <w:tc>
          <w:tcPr>
            <w:tcW w:w="3520" w:type="dxa"/>
            <w:vAlign w:val="bottom"/>
            <w:tcBorders>
              <w:bottom w:val="single" w:sz="8" w:color="F2F3F2"/>
            </w:tcBorders>
            <w:shd w:val="clear" w:color="auto" w:fill="F2F3F2"/>
          </w:tcPr>
          <w:p>
            <w:pPr>
              <w:ind w:left="40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1,699,143</w:t>
            </w:r>
          </w:p>
        </w:tc>
        <w:tc>
          <w:tcPr>
            <w:tcW w:w="60" w:type="dxa"/>
            <w:vAlign w:val="bottom"/>
            <w:tcBorders>
              <w:bottom w:val="single" w:sz="8" w:color="F2F3F2"/>
            </w:tcBorders>
            <w:shd w:val="clear" w:color="auto" w:fill="F2F3F2"/>
          </w:tcPr>
          <w:p>
            <w:pPr>
              <w:spacing w:after="0"/>
              <w:rPr>
                <w:sz w:val="19"/>
                <w:szCs w:val="19"/>
                <w:color w:val="auto"/>
              </w:rPr>
            </w:pPr>
          </w:p>
        </w:tc>
        <w:tc>
          <w:tcPr>
            <w:tcW w:w="1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1,521,805</w:t>
            </w:r>
          </w:p>
        </w:tc>
        <w:tc>
          <w:tcPr>
            <w:tcW w:w="40" w:type="dxa"/>
            <w:vAlign w:val="bottom"/>
            <w:tcBorders>
              <w:bottom w:val="single" w:sz="8" w:color="F2F3F2"/>
            </w:tcBorders>
            <w:shd w:val="clear" w:color="auto" w:fill="F2F3F2"/>
          </w:tcPr>
          <w:p>
            <w:pPr>
              <w:spacing w:after="0"/>
              <w:rPr>
                <w:sz w:val="19"/>
                <w:szCs w:val="19"/>
                <w:color w:val="auto"/>
              </w:rPr>
            </w:pPr>
          </w:p>
        </w:tc>
        <w:tc>
          <w:tcPr>
            <w:tcW w:w="1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1,398,755</w:t>
            </w:r>
          </w:p>
        </w:tc>
        <w:tc>
          <w:tcPr>
            <w:tcW w:w="60" w:type="dxa"/>
            <w:vAlign w:val="bottom"/>
            <w:tcBorders>
              <w:bottom w:val="single" w:sz="8" w:color="F2F3F2"/>
            </w:tcBorders>
            <w:shd w:val="clear" w:color="auto" w:fill="F2F3F2"/>
          </w:tcPr>
          <w:p>
            <w:pPr>
              <w:spacing w:after="0"/>
              <w:rPr>
                <w:sz w:val="19"/>
                <w:szCs w:val="19"/>
                <w:color w:val="auto"/>
              </w:rPr>
            </w:pPr>
          </w:p>
        </w:tc>
        <w:tc>
          <w:tcPr>
            <w:tcW w:w="1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1,158,961</w:t>
            </w:r>
          </w:p>
        </w:tc>
        <w:tc>
          <w:tcPr>
            <w:tcW w:w="60" w:type="dxa"/>
            <w:vAlign w:val="bottom"/>
            <w:tcBorders>
              <w:bottom w:val="single" w:sz="8" w:color="F2F3F2"/>
            </w:tcBorders>
            <w:shd w:val="clear" w:color="auto" w:fill="F2F3F2"/>
          </w:tcPr>
          <w:p>
            <w:pPr>
              <w:spacing w:after="0"/>
              <w:rPr>
                <w:sz w:val="19"/>
                <w:szCs w:val="19"/>
                <w:color w:val="auto"/>
              </w:rPr>
            </w:pPr>
          </w:p>
        </w:tc>
        <w:tc>
          <w:tcPr>
            <w:tcW w:w="260" w:type="dxa"/>
            <w:vAlign w:val="bottom"/>
            <w:tcBorders>
              <w:bottom w:val="single" w:sz="8" w:color="auto"/>
            </w:tcBorders>
            <w:shd w:val="clear" w:color="auto" w:fill="F2F3F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926,958</w:t>
            </w:r>
          </w:p>
        </w:tc>
        <w:tc>
          <w:tcPr>
            <w:tcW w:w="0" w:type="dxa"/>
            <w:vAlign w:val="bottom"/>
          </w:tcPr>
          <w:p>
            <w:pPr>
              <w:spacing w:after="0"/>
              <w:rPr>
                <w:sz w:val="1"/>
                <w:szCs w:val="1"/>
                <w:color w:val="auto"/>
              </w:rPr>
            </w:pPr>
          </w:p>
        </w:tc>
      </w:tr>
      <w:tr>
        <w:trPr>
          <w:trHeight w:val="20"/>
        </w:trPr>
        <w:tc>
          <w:tcPr>
            <w:tcW w:w="352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40" w:type="dxa"/>
            <w:vAlign w:val="bottom"/>
            <w:tcBorders>
              <w:top w:val="single" w:sz="8" w:color="F2F3F2"/>
            </w:tcBorders>
          </w:tcPr>
          <w:p>
            <w:pPr>
              <w:spacing w:after="0" w:line="20" w:lineRule="exact"/>
              <w:rPr>
                <w:sz w:val="1"/>
                <w:szCs w:val="1"/>
                <w:color w:val="auto"/>
              </w:rPr>
            </w:pPr>
          </w:p>
        </w:tc>
        <w:tc>
          <w:tcPr>
            <w:tcW w:w="180" w:type="dxa"/>
            <w:vAlign w:val="bottom"/>
            <w:tcBorders>
              <w:top w:val="single" w:sz="8" w:color="F2F3F2"/>
              <w:bottom w:val="single" w:sz="8" w:color="auto"/>
            </w:tcBorders>
          </w:tcPr>
          <w:p>
            <w:pPr>
              <w:spacing w:after="0" w:line="20" w:lineRule="exact"/>
              <w:rPr>
                <w:sz w:val="1"/>
                <w:szCs w:val="1"/>
                <w:color w:val="auto"/>
              </w:rPr>
            </w:pPr>
          </w:p>
        </w:tc>
        <w:tc>
          <w:tcPr>
            <w:tcW w:w="86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60" w:type="dxa"/>
            <w:vAlign w:val="bottom"/>
            <w:tcBorders>
              <w:top w:val="single" w:sz="8" w:color="F2F3F2"/>
              <w:bottom w:val="single" w:sz="8" w:color="auto"/>
            </w:tcBorders>
          </w:tcPr>
          <w:p>
            <w:pPr>
              <w:spacing w:after="0" w:line="20" w:lineRule="exact"/>
              <w:rPr>
                <w:sz w:val="1"/>
                <w:szCs w:val="1"/>
                <w:color w:val="auto"/>
              </w:rPr>
            </w:pPr>
          </w:p>
        </w:tc>
        <w:tc>
          <w:tcPr>
            <w:tcW w:w="7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2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105,040</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116,626</w:t>
            </w:r>
          </w:p>
        </w:tc>
        <w:tc>
          <w:tcPr>
            <w:tcW w:w="40" w:type="dxa"/>
            <w:vAlign w:val="bottom"/>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62,479</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75,552</w:t>
            </w:r>
          </w:p>
        </w:tc>
        <w:tc>
          <w:tcPr>
            <w:tcW w:w="60" w:type="dxa"/>
            <w:vAlign w:val="bottom"/>
          </w:tcPr>
          <w:p>
            <w:pPr>
              <w:spacing w:after="0"/>
              <w:rPr>
                <w:sz w:val="15"/>
                <w:szCs w:val="15"/>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62,987</w:t>
            </w:r>
          </w:p>
        </w:tc>
        <w:tc>
          <w:tcPr>
            <w:tcW w:w="0" w:type="dxa"/>
            <w:vAlign w:val="bottom"/>
          </w:tcPr>
          <w:p>
            <w:pPr>
              <w:spacing w:after="0"/>
              <w:rPr>
                <w:sz w:val="1"/>
                <w:szCs w:val="1"/>
                <w:color w:val="auto"/>
              </w:rPr>
            </w:pPr>
          </w:p>
        </w:tc>
      </w:tr>
      <w:tr>
        <w:trPr>
          <w:trHeight w:val="20"/>
        </w:trPr>
        <w:tc>
          <w:tcPr>
            <w:tcW w:w="3520" w:type="dxa"/>
            <w:vAlign w:val="bottom"/>
            <w:tcBorders>
              <w:bottom w:val="single" w:sz="8" w:color="F2F3F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2F3F2"/>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Net income as a percentage of total revenues</w:t>
            </w:r>
          </w:p>
        </w:tc>
        <w:tc>
          <w:tcPr>
            <w:tcW w:w="160" w:type="dxa"/>
            <w:vAlign w:val="bottom"/>
            <w:tcBorders>
              <w:bottom w:val="single" w:sz="8" w:color="auto"/>
            </w:tcBorders>
            <w:shd w:val="clear" w:color="auto" w:fill="F2F3F2"/>
          </w:tcPr>
          <w:p>
            <w:pPr>
              <w:spacing w:after="0"/>
              <w:rPr>
                <w:sz w:val="18"/>
                <w:szCs w:val="18"/>
                <w:color w:val="auto"/>
              </w:rPr>
            </w:pPr>
          </w:p>
        </w:tc>
        <w:tc>
          <w:tcPr>
            <w:tcW w:w="8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6.2 %</w:t>
            </w:r>
          </w:p>
        </w:tc>
        <w:tc>
          <w:tcPr>
            <w:tcW w:w="60" w:type="dxa"/>
            <w:vAlign w:val="bottom"/>
            <w:tcBorders>
              <w:bottom w:val="single" w:sz="8" w:color="F2F3F2"/>
            </w:tcBorders>
            <w:shd w:val="clear" w:color="auto" w:fill="F2F3F2"/>
          </w:tcPr>
          <w:p>
            <w:pPr>
              <w:spacing w:after="0"/>
              <w:rPr>
                <w:sz w:val="18"/>
                <w:szCs w:val="18"/>
                <w:color w:val="auto"/>
              </w:rPr>
            </w:pPr>
          </w:p>
        </w:tc>
        <w:tc>
          <w:tcPr>
            <w:tcW w:w="160" w:type="dxa"/>
            <w:vAlign w:val="bottom"/>
            <w:tcBorders>
              <w:bottom w:val="single" w:sz="8" w:color="auto"/>
            </w:tcBorders>
            <w:shd w:val="clear" w:color="auto" w:fill="F2F3F2"/>
          </w:tcPr>
          <w:p>
            <w:pPr>
              <w:spacing w:after="0"/>
              <w:rPr>
                <w:sz w:val="18"/>
                <w:szCs w:val="18"/>
                <w:color w:val="auto"/>
              </w:rPr>
            </w:pPr>
          </w:p>
        </w:tc>
        <w:tc>
          <w:tcPr>
            <w:tcW w:w="8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7.7 %</w:t>
            </w:r>
          </w:p>
        </w:tc>
        <w:tc>
          <w:tcPr>
            <w:tcW w:w="40" w:type="dxa"/>
            <w:vAlign w:val="bottom"/>
            <w:tcBorders>
              <w:bottom w:val="single" w:sz="8" w:color="F2F3F2"/>
            </w:tcBorders>
            <w:shd w:val="clear" w:color="auto" w:fill="F2F3F2"/>
          </w:tcPr>
          <w:p>
            <w:pPr>
              <w:spacing w:after="0"/>
              <w:rPr>
                <w:sz w:val="18"/>
                <w:szCs w:val="18"/>
                <w:color w:val="auto"/>
              </w:rPr>
            </w:pPr>
          </w:p>
        </w:tc>
        <w:tc>
          <w:tcPr>
            <w:tcW w:w="180" w:type="dxa"/>
            <w:vAlign w:val="bottom"/>
            <w:tcBorders>
              <w:bottom w:val="single" w:sz="8" w:color="auto"/>
            </w:tcBorders>
            <w:shd w:val="clear" w:color="auto" w:fill="F2F3F2"/>
          </w:tcPr>
          <w:p>
            <w:pPr>
              <w:spacing w:after="0"/>
              <w:rPr>
                <w:sz w:val="18"/>
                <w:szCs w:val="18"/>
                <w:color w:val="auto"/>
              </w:rPr>
            </w:pPr>
          </w:p>
        </w:tc>
        <w:tc>
          <w:tcPr>
            <w:tcW w:w="8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4.5 %</w:t>
            </w:r>
          </w:p>
        </w:tc>
        <w:tc>
          <w:tcPr>
            <w:tcW w:w="60" w:type="dxa"/>
            <w:vAlign w:val="bottom"/>
            <w:tcBorders>
              <w:bottom w:val="single" w:sz="8" w:color="F2F3F2"/>
            </w:tcBorders>
            <w:shd w:val="clear" w:color="auto" w:fill="F2F3F2"/>
          </w:tcPr>
          <w:p>
            <w:pPr>
              <w:spacing w:after="0"/>
              <w:rPr>
                <w:sz w:val="18"/>
                <w:szCs w:val="18"/>
                <w:color w:val="auto"/>
              </w:rPr>
            </w:pPr>
          </w:p>
        </w:tc>
        <w:tc>
          <w:tcPr>
            <w:tcW w:w="160" w:type="dxa"/>
            <w:vAlign w:val="bottom"/>
            <w:tcBorders>
              <w:bottom w:val="single" w:sz="8" w:color="auto"/>
            </w:tcBorders>
            <w:shd w:val="clear" w:color="auto" w:fill="F2F3F2"/>
          </w:tcPr>
          <w:p>
            <w:pPr>
              <w:spacing w:after="0"/>
              <w:rPr>
                <w:sz w:val="18"/>
                <w:szCs w:val="18"/>
                <w:color w:val="auto"/>
              </w:rPr>
            </w:pPr>
          </w:p>
        </w:tc>
        <w:tc>
          <w:tcPr>
            <w:tcW w:w="8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6.5 %</w:t>
            </w:r>
          </w:p>
        </w:tc>
        <w:tc>
          <w:tcPr>
            <w:tcW w:w="60" w:type="dxa"/>
            <w:vAlign w:val="bottom"/>
            <w:tcBorders>
              <w:bottom w:val="single" w:sz="8" w:color="F2F3F2"/>
            </w:tcBorders>
            <w:shd w:val="clear" w:color="auto" w:fill="F2F3F2"/>
          </w:tcPr>
          <w:p>
            <w:pPr>
              <w:spacing w:after="0"/>
              <w:rPr>
                <w:sz w:val="18"/>
                <w:szCs w:val="18"/>
                <w:color w:val="auto"/>
              </w:rPr>
            </w:pPr>
          </w:p>
        </w:tc>
        <w:tc>
          <w:tcPr>
            <w:tcW w:w="260" w:type="dxa"/>
            <w:vAlign w:val="bottom"/>
            <w:tcBorders>
              <w:bottom w:val="single" w:sz="8" w:color="auto"/>
            </w:tcBorders>
            <w:shd w:val="clear" w:color="auto" w:fill="F2F3F2"/>
          </w:tcPr>
          <w:p>
            <w:pPr>
              <w:spacing w:after="0"/>
              <w:rPr>
                <w:sz w:val="18"/>
                <w:szCs w:val="18"/>
                <w:color w:val="auto"/>
              </w:rPr>
            </w:pPr>
          </w:p>
        </w:tc>
        <w:tc>
          <w:tcPr>
            <w:tcW w:w="7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0"/>
        </w:trPr>
        <w:tc>
          <w:tcPr>
            <w:tcW w:w="352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Add back:</w:t>
            </w: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40" w:type="dxa"/>
            <w:vAlign w:val="bottom"/>
            <w:tcBorders>
              <w:top w:val="single" w:sz="8" w:color="F2F3F2"/>
            </w:tcBorders>
          </w:tcPr>
          <w:p>
            <w:pPr>
              <w:spacing w:after="0" w:line="20" w:lineRule="exact"/>
              <w:rPr>
                <w:sz w:val="1"/>
                <w:szCs w:val="1"/>
                <w:color w:val="auto"/>
              </w:rPr>
            </w:pPr>
          </w:p>
        </w:tc>
        <w:tc>
          <w:tcPr>
            <w:tcW w:w="180" w:type="dxa"/>
            <w:vAlign w:val="bottom"/>
            <w:tcBorders>
              <w:top w:val="single" w:sz="8" w:color="F2F3F2"/>
              <w:bottom w:val="single" w:sz="8" w:color="auto"/>
            </w:tcBorders>
          </w:tcPr>
          <w:p>
            <w:pPr>
              <w:spacing w:after="0" w:line="20" w:lineRule="exact"/>
              <w:rPr>
                <w:sz w:val="1"/>
                <w:szCs w:val="1"/>
                <w:color w:val="auto"/>
              </w:rPr>
            </w:pPr>
          </w:p>
        </w:tc>
        <w:tc>
          <w:tcPr>
            <w:tcW w:w="86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60" w:type="dxa"/>
            <w:vAlign w:val="bottom"/>
            <w:tcBorders>
              <w:top w:val="single" w:sz="8" w:color="F2F3F2"/>
              <w:bottom w:val="single" w:sz="8" w:color="auto"/>
            </w:tcBorders>
          </w:tcPr>
          <w:p>
            <w:pPr>
              <w:spacing w:after="0" w:line="20" w:lineRule="exact"/>
              <w:rPr>
                <w:sz w:val="1"/>
                <w:szCs w:val="1"/>
                <w:color w:val="auto"/>
              </w:rPr>
            </w:pPr>
          </w:p>
        </w:tc>
        <w:tc>
          <w:tcPr>
            <w:tcW w:w="7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Income tax expense</w:t>
            </w: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30,040</w:t>
            </w:r>
          </w:p>
        </w:tc>
        <w:tc>
          <w:tcPr>
            <w:tcW w:w="60" w:type="dxa"/>
            <w:vAlign w:val="bottom"/>
            <w:shd w:val="clear" w:color="auto" w:fill="F2F3F2"/>
          </w:tcPr>
          <w:p>
            <w:pPr>
              <w:spacing w:after="0"/>
              <w:rPr>
                <w:sz w:val="22"/>
                <w:szCs w:val="22"/>
                <w:color w:val="auto"/>
              </w:rPr>
            </w:pP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37,390</w:t>
            </w:r>
          </w:p>
        </w:tc>
        <w:tc>
          <w:tcPr>
            <w:tcW w:w="40" w:type="dxa"/>
            <w:vAlign w:val="bottom"/>
            <w:shd w:val="clear" w:color="auto" w:fill="F2F3F2"/>
          </w:tcPr>
          <w:p>
            <w:pPr>
              <w:spacing w:after="0"/>
              <w:rPr>
                <w:sz w:val="22"/>
                <w:szCs w:val="22"/>
                <w:color w:val="auto"/>
              </w:rPr>
            </w:pPr>
          </w:p>
        </w:tc>
        <w:tc>
          <w:tcPr>
            <w:tcW w:w="180" w:type="dxa"/>
            <w:vAlign w:val="bottom"/>
            <w:shd w:val="clear" w:color="auto" w:fill="F2F3F2"/>
          </w:tcPr>
          <w:p>
            <w:pPr>
              <w:spacing w:after="0"/>
              <w:rPr>
                <w:sz w:val="22"/>
                <w:szCs w:val="22"/>
                <w:color w:val="auto"/>
              </w:rPr>
            </w:pPr>
          </w:p>
        </w:tc>
        <w:tc>
          <w:tcPr>
            <w:tcW w:w="860" w:type="dxa"/>
            <w:vAlign w:val="bottom"/>
            <w:shd w:val="clear" w:color="auto" w:fill="F2F3F2"/>
          </w:tcPr>
          <w:p>
            <w:pPr>
              <w:jc w:val="right"/>
              <w:ind w:right="108"/>
              <w:spacing w:after="0"/>
              <w:rPr>
                <w:sz w:val="20"/>
                <w:szCs w:val="20"/>
                <w:color w:val="auto"/>
              </w:rPr>
            </w:pPr>
            <w:r>
              <w:rPr>
                <w:rFonts w:ascii="Arial" w:cs="Arial" w:eastAsia="Arial" w:hAnsi="Arial"/>
                <w:sz w:val="14"/>
                <w:szCs w:val="14"/>
                <w:color w:val="auto"/>
              </w:rPr>
              <w:t>21,416</w:t>
            </w:r>
          </w:p>
        </w:tc>
        <w:tc>
          <w:tcPr>
            <w:tcW w:w="60" w:type="dxa"/>
            <w:vAlign w:val="bottom"/>
            <w:shd w:val="clear" w:color="auto" w:fill="F2F3F2"/>
          </w:tcPr>
          <w:p>
            <w:pPr>
              <w:spacing w:after="0"/>
              <w:rPr>
                <w:sz w:val="22"/>
                <w:szCs w:val="22"/>
                <w:color w:val="auto"/>
              </w:rPr>
            </w:pP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33,025</w:t>
            </w:r>
          </w:p>
        </w:tc>
        <w:tc>
          <w:tcPr>
            <w:tcW w:w="60" w:type="dxa"/>
            <w:vAlign w:val="bottom"/>
            <w:shd w:val="clear" w:color="auto" w:fill="F2F3F2"/>
          </w:tcPr>
          <w:p>
            <w:pPr>
              <w:spacing w:after="0"/>
              <w:rPr>
                <w:sz w:val="22"/>
                <w:szCs w:val="22"/>
                <w:color w:val="auto"/>
              </w:rPr>
            </w:pPr>
          </w:p>
        </w:tc>
        <w:tc>
          <w:tcPr>
            <w:tcW w:w="260" w:type="dxa"/>
            <w:vAlign w:val="bottom"/>
            <w:shd w:val="clear" w:color="auto" w:fill="F2F3F2"/>
          </w:tcPr>
          <w:p>
            <w:pPr>
              <w:spacing w:after="0"/>
              <w:rPr>
                <w:sz w:val="22"/>
                <w:szCs w:val="22"/>
                <w:color w:val="auto"/>
              </w:rPr>
            </w:pPr>
          </w:p>
        </w:tc>
        <w:tc>
          <w:tcPr>
            <w:tcW w:w="7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17,049</w:t>
            </w:r>
          </w:p>
        </w:tc>
        <w:tc>
          <w:tcPr>
            <w:tcW w:w="0" w:type="dxa"/>
            <w:vAlign w:val="bottom"/>
          </w:tcPr>
          <w:p>
            <w:pPr>
              <w:spacing w:after="0"/>
              <w:rPr>
                <w:sz w:val="1"/>
                <w:szCs w:val="1"/>
                <w:color w:val="auto"/>
              </w:rPr>
            </w:pPr>
          </w:p>
        </w:tc>
      </w:tr>
      <w:tr>
        <w:trPr>
          <w:trHeight w:val="257"/>
        </w:trPr>
        <w:tc>
          <w:tcPr>
            <w:tcW w:w="3520" w:type="dxa"/>
            <w:vAlign w:val="bottom"/>
          </w:tcPr>
          <w:p>
            <w:pPr>
              <w:ind w:left="400"/>
              <w:spacing w:after="0"/>
              <w:rPr>
                <w:sz w:val="20"/>
                <w:szCs w:val="20"/>
                <w:color w:val="auto"/>
              </w:rPr>
            </w:pPr>
            <w:r>
              <w:rPr>
                <w:rFonts w:ascii="Arial" w:cs="Arial" w:eastAsia="Arial" w:hAnsi="Arial"/>
                <w:sz w:val="14"/>
                <w:szCs w:val="14"/>
                <w:color w:val="auto"/>
              </w:rPr>
              <w:t>Interest expense, net of interest income</w:t>
            </w: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34,197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25,347</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19,573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11,883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8,150</w:t>
            </w:r>
          </w:p>
        </w:tc>
        <w:tc>
          <w:tcPr>
            <w:tcW w:w="0" w:type="dxa"/>
            <w:vAlign w:val="bottom"/>
          </w:tcPr>
          <w:p>
            <w:pPr>
              <w:spacing w:after="0"/>
              <w:rPr>
                <w:sz w:val="1"/>
                <w:szCs w:val="1"/>
                <w:color w:val="auto"/>
              </w:rPr>
            </w:pPr>
          </w:p>
        </w:tc>
      </w:tr>
      <w:tr>
        <w:trPr>
          <w:trHeight w:val="256"/>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F2F3F2"/>
          </w:tcPr>
          <w:p>
            <w:pPr>
              <w:spacing w:after="0"/>
              <w:rPr>
                <w:sz w:val="22"/>
                <w:szCs w:val="22"/>
                <w:color w:val="auto"/>
              </w:rPr>
            </w:pP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32,478</w:t>
            </w:r>
          </w:p>
        </w:tc>
        <w:tc>
          <w:tcPr>
            <w:tcW w:w="60" w:type="dxa"/>
            <w:vAlign w:val="bottom"/>
            <w:shd w:val="clear" w:color="auto" w:fill="F2F3F2"/>
          </w:tcPr>
          <w:p>
            <w:pPr>
              <w:spacing w:after="0"/>
              <w:rPr>
                <w:sz w:val="22"/>
                <w:szCs w:val="22"/>
                <w:color w:val="auto"/>
              </w:rPr>
            </w:pPr>
          </w:p>
        </w:tc>
        <w:tc>
          <w:tcPr>
            <w:tcW w:w="160" w:type="dxa"/>
            <w:vAlign w:val="bottom"/>
            <w:tcBorders>
              <w:bottom w:val="single" w:sz="8" w:color="auto"/>
            </w:tcBorders>
            <w:shd w:val="clear" w:color="auto" w:fill="F2F3F2"/>
          </w:tcPr>
          <w:p>
            <w:pPr>
              <w:spacing w:after="0"/>
              <w:rPr>
                <w:sz w:val="22"/>
                <w:szCs w:val="22"/>
                <w:color w:val="auto"/>
              </w:rPr>
            </w:pP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25,663</w:t>
            </w:r>
          </w:p>
        </w:tc>
        <w:tc>
          <w:tcPr>
            <w:tcW w:w="40" w:type="dxa"/>
            <w:vAlign w:val="bottom"/>
            <w:shd w:val="clear" w:color="auto" w:fill="F2F3F2"/>
          </w:tcPr>
          <w:p>
            <w:pPr>
              <w:spacing w:after="0"/>
              <w:rPr>
                <w:sz w:val="22"/>
                <w:szCs w:val="22"/>
                <w:color w:val="auto"/>
              </w:rPr>
            </w:pPr>
          </w:p>
        </w:tc>
        <w:tc>
          <w:tcPr>
            <w:tcW w:w="180" w:type="dxa"/>
            <w:vAlign w:val="bottom"/>
            <w:tcBorders>
              <w:bottom w:val="single" w:sz="8" w:color="auto"/>
            </w:tcBorders>
            <w:shd w:val="clear" w:color="auto" w:fill="F2F3F2"/>
          </w:tcPr>
          <w:p>
            <w:pPr>
              <w:spacing w:after="0"/>
              <w:rPr>
                <w:sz w:val="22"/>
                <w:szCs w:val="22"/>
                <w:color w:val="auto"/>
              </w:rPr>
            </w:pPr>
          </w:p>
        </w:tc>
        <w:tc>
          <w:tcPr>
            <w:tcW w:w="86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25,672</w:t>
            </w:r>
          </w:p>
        </w:tc>
        <w:tc>
          <w:tcPr>
            <w:tcW w:w="60" w:type="dxa"/>
            <w:vAlign w:val="bottom"/>
            <w:shd w:val="clear" w:color="auto" w:fill="F2F3F2"/>
          </w:tcPr>
          <w:p>
            <w:pPr>
              <w:spacing w:after="0"/>
              <w:rPr>
                <w:sz w:val="22"/>
                <w:szCs w:val="22"/>
                <w:color w:val="auto"/>
              </w:rPr>
            </w:pPr>
          </w:p>
        </w:tc>
        <w:tc>
          <w:tcPr>
            <w:tcW w:w="160" w:type="dxa"/>
            <w:vAlign w:val="bottom"/>
            <w:tcBorders>
              <w:bottom w:val="single" w:sz="8" w:color="auto"/>
            </w:tcBorders>
            <w:shd w:val="clear" w:color="auto" w:fill="F2F3F2"/>
          </w:tcPr>
          <w:p>
            <w:pPr>
              <w:spacing w:after="0"/>
              <w:rPr>
                <w:sz w:val="22"/>
                <w:szCs w:val="22"/>
                <w:color w:val="auto"/>
              </w:rPr>
            </w:pP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28,233</w:t>
            </w:r>
          </w:p>
        </w:tc>
        <w:tc>
          <w:tcPr>
            <w:tcW w:w="60" w:type="dxa"/>
            <w:vAlign w:val="bottom"/>
            <w:shd w:val="clear" w:color="auto" w:fill="F2F3F2"/>
          </w:tcPr>
          <w:p>
            <w:pPr>
              <w:spacing w:after="0"/>
              <w:rPr>
                <w:sz w:val="22"/>
                <w:szCs w:val="22"/>
                <w:color w:val="auto"/>
              </w:rPr>
            </w:pPr>
          </w:p>
        </w:tc>
        <w:tc>
          <w:tcPr>
            <w:tcW w:w="260" w:type="dxa"/>
            <w:vAlign w:val="bottom"/>
            <w:tcBorders>
              <w:bottom w:val="single" w:sz="8" w:color="auto"/>
            </w:tcBorders>
            <w:shd w:val="clear" w:color="auto" w:fill="F2F3F2"/>
          </w:tcPr>
          <w:p>
            <w:pPr>
              <w:spacing w:after="0"/>
              <w:rPr>
                <w:sz w:val="22"/>
                <w:szCs w:val="22"/>
                <w:color w:val="auto"/>
              </w:rPr>
            </w:pPr>
          </w:p>
        </w:tc>
        <w:tc>
          <w:tcPr>
            <w:tcW w:w="7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26,347</w:t>
            </w:r>
          </w:p>
        </w:tc>
        <w:tc>
          <w:tcPr>
            <w:tcW w:w="0" w:type="dxa"/>
            <w:vAlign w:val="bottom"/>
          </w:tcPr>
          <w:p>
            <w:pPr>
              <w:spacing w:after="0"/>
              <w:rPr>
                <w:sz w:val="1"/>
                <w:szCs w:val="1"/>
                <w:color w:val="auto"/>
              </w:rPr>
            </w:pPr>
          </w:p>
        </w:tc>
      </w:tr>
      <w:tr>
        <w:trPr>
          <w:trHeight w:val="237"/>
        </w:trPr>
        <w:tc>
          <w:tcPr>
            <w:tcW w:w="3520" w:type="dxa"/>
            <w:vAlign w:val="bottom"/>
          </w:tcPr>
          <w:p>
            <w:pPr>
              <w:ind w:left="140"/>
              <w:spacing w:after="0"/>
              <w:rPr>
                <w:sz w:val="20"/>
                <w:szCs w:val="20"/>
                <w:color w:val="auto"/>
              </w:rPr>
            </w:pPr>
            <w:r>
              <w:rPr>
                <w:rFonts w:ascii="Arial" w:cs="Arial" w:eastAsia="Arial" w:hAnsi="Arial"/>
                <w:sz w:val="14"/>
                <w:szCs w:val="14"/>
                <w:b w:val="1"/>
                <w:bCs w:val="1"/>
                <w:color w:val="auto"/>
              </w:rPr>
              <w:t>EBITDA</w:t>
            </w:r>
          </w:p>
        </w:tc>
        <w:tc>
          <w:tcPr>
            <w:tcW w:w="16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201,755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205,026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129,140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148,693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114,533</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color w:val="auto"/>
              </w:rPr>
              <w:t>Add back:</w:t>
            </w:r>
          </w:p>
        </w:tc>
        <w:tc>
          <w:tcPr>
            <w:tcW w:w="160" w:type="dxa"/>
            <w:vAlign w:val="bottom"/>
            <w:tcBorders>
              <w:bottom w:val="single" w:sz="8" w:color="F2F3F2"/>
            </w:tcBorders>
            <w:shd w:val="clear" w:color="auto" w:fill="F2F3F2"/>
          </w:tcPr>
          <w:p>
            <w:pPr>
              <w:spacing w:after="0"/>
              <w:rPr>
                <w:sz w:val="20"/>
                <w:szCs w:val="20"/>
                <w:color w:val="auto"/>
              </w:rPr>
            </w:pPr>
          </w:p>
        </w:tc>
        <w:tc>
          <w:tcPr>
            <w:tcW w:w="880" w:type="dxa"/>
            <w:vAlign w:val="bottom"/>
            <w:tcBorders>
              <w:bottom w:val="single" w:sz="8" w:color="F2F3F2"/>
            </w:tcBorders>
            <w:shd w:val="clear" w:color="auto" w:fill="F2F3F2"/>
          </w:tcPr>
          <w:p>
            <w:pPr>
              <w:spacing w:after="0"/>
              <w:rPr>
                <w:sz w:val="20"/>
                <w:szCs w:val="20"/>
                <w:color w:val="auto"/>
              </w:rPr>
            </w:pPr>
          </w:p>
        </w:tc>
        <w:tc>
          <w:tcPr>
            <w:tcW w:w="60" w:type="dxa"/>
            <w:vAlign w:val="bottom"/>
            <w:tcBorders>
              <w:bottom w:val="single" w:sz="8" w:color="F2F3F2"/>
            </w:tcBorders>
            <w:shd w:val="clear" w:color="auto" w:fill="F2F3F2"/>
          </w:tcPr>
          <w:p>
            <w:pPr>
              <w:spacing w:after="0"/>
              <w:rPr>
                <w:sz w:val="20"/>
                <w:szCs w:val="20"/>
                <w:color w:val="auto"/>
              </w:rPr>
            </w:pPr>
          </w:p>
        </w:tc>
        <w:tc>
          <w:tcPr>
            <w:tcW w:w="160" w:type="dxa"/>
            <w:vAlign w:val="bottom"/>
            <w:tcBorders>
              <w:bottom w:val="single" w:sz="8" w:color="F2F3F2"/>
            </w:tcBorders>
            <w:shd w:val="clear" w:color="auto" w:fill="F2F3F2"/>
          </w:tcPr>
          <w:p>
            <w:pPr>
              <w:spacing w:after="0"/>
              <w:rPr>
                <w:sz w:val="20"/>
                <w:szCs w:val="20"/>
                <w:color w:val="auto"/>
              </w:rPr>
            </w:pPr>
          </w:p>
        </w:tc>
        <w:tc>
          <w:tcPr>
            <w:tcW w:w="880" w:type="dxa"/>
            <w:vAlign w:val="bottom"/>
            <w:tcBorders>
              <w:bottom w:val="single" w:sz="8" w:color="F2F3F2"/>
            </w:tcBorders>
            <w:shd w:val="clear" w:color="auto" w:fill="F2F3F2"/>
          </w:tcPr>
          <w:p>
            <w:pPr>
              <w:spacing w:after="0"/>
              <w:rPr>
                <w:sz w:val="20"/>
                <w:szCs w:val="20"/>
                <w:color w:val="auto"/>
              </w:rPr>
            </w:pPr>
          </w:p>
        </w:tc>
        <w:tc>
          <w:tcPr>
            <w:tcW w:w="40" w:type="dxa"/>
            <w:vAlign w:val="bottom"/>
            <w:tcBorders>
              <w:bottom w:val="single" w:sz="8" w:color="F2F3F2"/>
            </w:tcBorders>
            <w:shd w:val="clear" w:color="auto" w:fill="F2F3F2"/>
          </w:tcPr>
          <w:p>
            <w:pPr>
              <w:spacing w:after="0"/>
              <w:rPr>
                <w:sz w:val="20"/>
                <w:szCs w:val="20"/>
                <w:color w:val="auto"/>
              </w:rPr>
            </w:pPr>
          </w:p>
        </w:tc>
        <w:tc>
          <w:tcPr>
            <w:tcW w:w="180" w:type="dxa"/>
            <w:vAlign w:val="bottom"/>
            <w:tcBorders>
              <w:bottom w:val="single" w:sz="8" w:color="F2F3F2"/>
            </w:tcBorders>
            <w:shd w:val="clear" w:color="auto" w:fill="F2F3F2"/>
          </w:tcPr>
          <w:p>
            <w:pPr>
              <w:spacing w:after="0"/>
              <w:rPr>
                <w:sz w:val="20"/>
                <w:szCs w:val="20"/>
                <w:color w:val="auto"/>
              </w:rPr>
            </w:pPr>
          </w:p>
        </w:tc>
        <w:tc>
          <w:tcPr>
            <w:tcW w:w="860" w:type="dxa"/>
            <w:vAlign w:val="bottom"/>
            <w:tcBorders>
              <w:bottom w:val="single" w:sz="8" w:color="F2F3F2"/>
            </w:tcBorders>
            <w:shd w:val="clear" w:color="auto" w:fill="F2F3F2"/>
          </w:tcPr>
          <w:p>
            <w:pPr>
              <w:spacing w:after="0"/>
              <w:rPr>
                <w:sz w:val="20"/>
                <w:szCs w:val="20"/>
                <w:color w:val="auto"/>
              </w:rPr>
            </w:pPr>
          </w:p>
        </w:tc>
        <w:tc>
          <w:tcPr>
            <w:tcW w:w="60" w:type="dxa"/>
            <w:vAlign w:val="bottom"/>
            <w:tcBorders>
              <w:bottom w:val="single" w:sz="8" w:color="F2F3F2"/>
            </w:tcBorders>
            <w:shd w:val="clear" w:color="auto" w:fill="F2F3F2"/>
          </w:tcPr>
          <w:p>
            <w:pPr>
              <w:spacing w:after="0"/>
              <w:rPr>
                <w:sz w:val="20"/>
                <w:szCs w:val="20"/>
                <w:color w:val="auto"/>
              </w:rPr>
            </w:pPr>
          </w:p>
        </w:tc>
        <w:tc>
          <w:tcPr>
            <w:tcW w:w="160" w:type="dxa"/>
            <w:vAlign w:val="bottom"/>
            <w:tcBorders>
              <w:bottom w:val="single" w:sz="8" w:color="F2F3F2"/>
            </w:tcBorders>
            <w:shd w:val="clear" w:color="auto" w:fill="F2F3F2"/>
          </w:tcPr>
          <w:p>
            <w:pPr>
              <w:spacing w:after="0"/>
              <w:rPr>
                <w:sz w:val="20"/>
                <w:szCs w:val="20"/>
                <w:color w:val="auto"/>
              </w:rPr>
            </w:pPr>
          </w:p>
        </w:tc>
        <w:tc>
          <w:tcPr>
            <w:tcW w:w="880" w:type="dxa"/>
            <w:vAlign w:val="bottom"/>
            <w:tcBorders>
              <w:bottom w:val="single" w:sz="8" w:color="F2F3F2"/>
            </w:tcBorders>
            <w:shd w:val="clear" w:color="auto" w:fill="F2F3F2"/>
          </w:tcPr>
          <w:p>
            <w:pPr>
              <w:spacing w:after="0"/>
              <w:rPr>
                <w:sz w:val="20"/>
                <w:szCs w:val="20"/>
                <w:color w:val="auto"/>
              </w:rPr>
            </w:pPr>
          </w:p>
        </w:tc>
        <w:tc>
          <w:tcPr>
            <w:tcW w:w="60" w:type="dxa"/>
            <w:vAlign w:val="bottom"/>
            <w:tcBorders>
              <w:bottom w:val="single" w:sz="8" w:color="F2F3F2"/>
            </w:tcBorders>
            <w:shd w:val="clear" w:color="auto" w:fill="F2F3F2"/>
          </w:tcPr>
          <w:p>
            <w:pPr>
              <w:spacing w:after="0"/>
              <w:rPr>
                <w:sz w:val="20"/>
                <w:szCs w:val="20"/>
                <w:color w:val="auto"/>
              </w:rPr>
            </w:pPr>
          </w:p>
        </w:tc>
        <w:tc>
          <w:tcPr>
            <w:tcW w:w="260" w:type="dxa"/>
            <w:vAlign w:val="bottom"/>
            <w:tcBorders>
              <w:bottom w:val="single" w:sz="8" w:color="F2F3F2"/>
            </w:tcBorders>
            <w:shd w:val="clear" w:color="auto" w:fill="F2F3F2"/>
          </w:tcPr>
          <w:p>
            <w:pPr>
              <w:spacing w:after="0"/>
              <w:rPr>
                <w:sz w:val="20"/>
                <w:szCs w:val="20"/>
                <w:color w:val="auto"/>
              </w:rPr>
            </w:pPr>
          </w:p>
        </w:tc>
        <w:tc>
          <w:tcPr>
            <w:tcW w:w="780" w:type="dxa"/>
            <w:vAlign w:val="bottom"/>
            <w:tcBorders>
              <w:bottom w:val="single" w:sz="8" w:color="F2F3F2"/>
            </w:tcBorders>
            <w:shd w:val="clear" w:color="auto" w:fill="F2F3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9,136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9,913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11,550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9,909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256"/>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2024 litigation settlement gain</w:t>
            </w:r>
          </w:p>
        </w:tc>
        <w:tc>
          <w:tcPr>
            <w:tcW w:w="160" w:type="dxa"/>
            <w:vAlign w:val="bottom"/>
            <w:shd w:val="clear" w:color="auto" w:fill="F2F3F2"/>
          </w:tcPr>
          <w:p>
            <w:pPr>
              <w:spacing w:after="0"/>
              <w:rPr>
                <w:sz w:val="22"/>
                <w:szCs w:val="22"/>
                <w:color w:val="auto"/>
              </w:rPr>
            </w:pPr>
          </w:p>
        </w:tc>
        <w:tc>
          <w:tcPr>
            <w:tcW w:w="940" w:type="dxa"/>
            <w:vAlign w:val="bottom"/>
            <w:gridSpan w:val="2"/>
            <w:shd w:val="clear" w:color="auto" w:fill="F2F3F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(11,701)</w:t>
            </w:r>
          </w:p>
        </w:tc>
        <w:tc>
          <w:tcPr>
            <w:tcW w:w="40" w:type="dxa"/>
            <w:vAlign w:val="bottom"/>
            <w:shd w:val="clear" w:color="auto" w:fill="F2F3F2"/>
          </w:tcPr>
          <w:p>
            <w:pPr>
              <w:spacing w:after="0"/>
              <w:rPr>
                <w:sz w:val="22"/>
                <w:szCs w:val="22"/>
                <w:color w:val="auto"/>
              </w:rPr>
            </w:pPr>
          </w:p>
        </w:tc>
        <w:tc>
          <w:tcPr>
            <w:tcW w:w="180" w:type="dxa"/>
            <w:vAlign w:val="bottom"/>
            <w:shd w:val="clear" w:color="auto" w:fill="F2F3F2"/>
          </w:tcPr>
          <w:p>
            <w:pPr>
              <w:spacing w:after="0"/>
              <w:rPr>
                <w:sz w:val="22"/>
                <w:szCs w:val="22"/>
                <w:color w:val="auto"/>
              </w:rPr>
            </w:pPr>
          </w:p>
        </w:tc>
        <w:tc>
          <w:tcPr>
            <w:tcW w:w="920" w:type="dxa"/>
            <w:vAlign w:val="bottom"/>
            <w:gridSpan w:val="2"/>
            <w:shd w:val="clear" w:color="auto" w:fill="F2F3F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3F2"/>
          </w:tcPr>
          <w:p>
            <w:pPr>
              <w:spacing w:after="0"/>
              <w:rPr>
                <w:sz w:val="22"/>
                <w:szCs w:val="22"/>
                <w:color w:val="auto"/>
              </w:rPr>
            </w:pPr>
          </w:p>
        </w:tc>
        <w:tc>
          <w:tcPr>
            <w:tcW w:w="940" w:type="dxa"/>
            <w:vAlign w:val="bottom"/>
            <w:gridSpan w:val="2"/>
            <w:shd w:val="clear" w:color="auto" w:fill="F2F3F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F2F3F2"/>
          </w:tcPr>
          <w:p>
            <w:pPr>
              <w:spacing w:after="0"/>
              <w:rPr>
                <w:sz w:val="22"/>
                <w:szCs w:val="22"/>
                <w:color w:val="auto"/>
              </w:rPr>
            </w:pPr>
          </w:p>
        </w:tc>
        <w:tc>
          <w:tcPr>
            <w:tcW w:w="7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520" w:type="dxa"/>
            <w:vAlign w:val="bottom"/>
          </w:tcPr>
          <w:p>
            <w:pPr>
              <w:ind w:left="400"/>
              <w:spacing w:after="0"/>
              <w:rPr>
                <w:sz w:val="20"/>
                <w:szCs w:val="20"/>
                <w:color w:val="auto"/>
              </w:rPr>
            </w:pPr>
            <w:r>
              <w:rPr>
                <w:rFonts w:ascii="Arial" w:cs="Arial" w:eastAsia="Arial" w:hAnsi="Arial"/>
                <w:sz w:val="14"/>
                <w:szCs w:val="14"/>
                <w:color w:val="auto"/>
              </w:rPr>
              <w:t>Other losses (gains), net</w:t>
            </w: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3,072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804</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56"/>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Transaction-related expenses</w:t>
            </w: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8,521</w:t>
            </w:r>
          </w:p>
        </w:tc>
        <w:tc>
          <w:tcPr>
            <w:tcW w:w="60" w:type="dxa"/>
            <w:vAlign w:val="bottom"/>
            <w:shd w:val="clear" w:color="auto" w:fill="F2F3F2"/>
          </w:tcPr>
          <w:p>
            <w:pPr>
              <w:spacing w:after="0"/>
              <w:rPr>
                <w:sz w:val="22"/>
                <w:szCs w:val="22"/>
                <w:color w:val="auto"/>
              </w:rPr>
            </w:pP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2,861</w:t>
            </w:r>
          </w:p>
        </w:tc>
        <w:tc>
          <w:tcPr>
            <w:tcW w:w="40" w:type="dxa"/>
            <w:vAlign w:val="bottom"/>
            <w:shd w:val="clear" w:color="auto" w:fill="F2F3F2"/>
          </w:tcPr>
          <w:p>
            <w:pPr>
              <w:spacing w:after="0"/>
              <w:rPr>
                <w:sz w:val="22"/>
                <w:szCs w:val="22"/>
                <w:color w:val="auto"/>
              </w:rPr>
            </w:pPr>
          </w:p>
        </w:tc>
        <w:tc>
          <w:tcPr>
            <w:tcW w:w="180" w:type="dxa"/>
            <w:vAlign w:val="bottom"/>
            <w:shd w:val="clear" w:color="auto" w:fill="F2F3F2"/>
          </w:tcPr>
          <w:p>
            <w:pPr>
              <w:spacing w:after="0"/>
              <w:rPr>
                <w:sz w:val="22"/>
                <w:szCs w:val="22"/>
                <w:color w:val="auto"/>
              </w:rPr>
            </w:pPr>
          </w:p>
        </w:tc>
        <w:tc>
          <w:tcPr>
            <w:tcW w:w="860" w:type="dxa"/>
            <w:vAlign w:val="bottom"/>
            <w:shd w:val="clear" w:color="auto" w:fill="F2F3F2"/>
          </w:tcPr>
          <w:p>
            <w:pPr>
              <w:jc w:val="right"/>
              <w:ind w:right="108"/>
              <w:spacing w:after="0"/>
              <w:rPr>
                <w:sz w:val="20"/>
                <w:szCs w:val="20"/>
                <w:color w:val="auto"/>
              </w:rPr>
            </w:pPr>
            <w:r>
              <w:rPr>
                <w:rFonts w:ascii="Arial" w:cs="Arial" w:eastAsia="Arial" w:hAnsi="Arial"/>
                <w:sz w:val="14"/>
                <w:szCs w:val="14"/>
                <w:color w:val="auto"/>
              </w:rPr>
              <w:t>357</w:t>
            </w:r>
          </w:p>
        </w:tc>
        <w:tc>
          <w:tcPr>
            <w:tcW w:w="60" w:type="dxa"/>
            <w:vAlign w:val="bottom"/>
            <w:shd w:val="clear" w:color="auto" w:fill="F2F3F2"/>
          </w:tcPr>
          <w:p>
            <w:pPr>
              <w:spacing w:after="0"/>
              <w:rPr>
                <w:sz w:val="22"/>
                <w:szCs w:val="22"/>
                <w:color w:val="auto"/>
              </w:rPr>
            </w:pP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50</w:t>
            </w:r>
          </w:p>
        </w:tc>
        <w:tc>
          <w:tcPr>
            <w:tcW w:w="60" w:type="dxa"/>
            <w:vAlign w:val="bottom"/>
            <w:shd w:val="clear" w:color="auto" w:fill="F2F3F2"/>
          </w:tcPr>
          <w:p>
            <w:pPr>
              <w:spacing w:after="0"/>
              <w:rPr>
                <w:sz w:val="22"/>
                <w:szCs w:val="22"/>
                <w:color w:val="auto"/>
              </w:rPr>
            </w:pPr>
          </w:p>
        </w:tc>
        <w:tc>
          <w:tcPr>
            <w:tcW w:w="260" w:type="dxa"/>
            <w:vAlign w:val="bottom"/>
            <w:shd w:val="clear" w:color="auto" w:fill="F2F3F2"/>
          </w:tcPr>
          <w:p>
            <w:pPr>
              <w:spacing w:after="0"/>
              <w:rPr>
                <w:sz w:val="22"/>
                <w:szCs w:val="22"/>
                <w:color w:val="auto"/>
              </w:rPr>
            </w:pPr>
          </w:p>
        </w:tc>
        <w:tc>
          <w:tcPr>
            <w:tcW w:w="78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80"/>
        </w:trPr>
        <w:tc>
          <w:tcPr>
            <w:tcW w:w="3520" w:type="dxa"/>
            <w:vAlign w:val="bottom"/>
          </w:tcPr>
          <w:p>
            <w:pPr>
              <w:ind w:left="400"/>
              <w:spacing w:after="0"/>
              <w:rPr>
                <w:sz w:val="20"/>
                <w:szCs w:val="20"/>
                <w:color w:val="auto"/>
              </w:rPr>
            </w:pPr>
            <w:r>
              <w:rPr>
                <w:rFonts w:ascii="Arial" w:cs="Arial" w:eastAsia="Arial" w:hAnsi="Arial"/>
                <w:sz w:val="14"/>
                <w:szCs w:val="14"/>
                <w:color w:val="auto"/>
              </w:rPr>
              <w:t>Unrealized losses (gains) on long-term</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400"/>
              <w:spacing w:after="0"/>
              <w:rPr>
                <w:sz w:val="20"/>
                <w:szCs w:val="20"/>
                <w:color w:val="auto"/>
              </w:rPr>
            </w:pPr>
            <w:r>
              <w:rPr>
                <w:rFonts w:ascii="Arial" w:cs="Arial" w:eastAsia="Arial" w:hAnsi="Arial"/>
                <w:sz w:val="14"/>
                <w:szCs w:val="14"/>
                <w:color w:val="auto"/>
              </w:rPr>
              <w:t>investments, net</w:t>
            </w:r>
          </w:p>
        </w:tc>
        <w:tc>
          <w:tcPr>
            <w:tcW w:w="16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15,396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26,262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(26,964)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Gains on sales of businesses</w:t>
            </w:r>
          </w:p>
        </w:tc>
        <w:tc>
          <w:tcPr>
            <w:tcW w:w="160" w:type="dxa"/>
            <w:vAlign w:val="bottom"/>
            <w:shd w:val="clear" w:color="auto" w:fill="F2F3F2"/>
          </w:tcPr>
          <w:p>
            <w:pPr>
              <w:spacing w:after="0"/>
              <w:rPr>
                <w:sz w:val="22"/>
                <w:szCs w:val="22"/>
                <w:color w:val="auto"/>
              </w:rPr>
            </w:pPr>
          </w:p>
        </w:tc>
        <w:tc>
          <w:tcPr>
            <w:tcW w:w="940" w:type="dxa"/>
            <w:vAlign w:val="bottom"/>
            <w:gridSpan w:val="2"/>
            <w:shd w:val="clear" w:color="auto" w:fill="F2F3F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(3,597)</w:t>
            </w:r>
          </w:p>
        </w:tc>
        <w:tc>
          <w:tcPr>
            <w:tcW w:w="40" w:type="dxa"/>
            <w:vAlign w:val="bottom"/>
            <w:shd w:val="clear" w:color="auto" w:fill="F2F3F2"/>
          </w:tcPr>
          <w:p>
            <w:pPr>
              <w:spacing w:after="0"/>
              <w:rPr>
                <w:sz w:val="22"/>
                <w:szCs w:val="22"/>
                <w:color w:val="auto"/>
              </w:rPr>
            </w:pPr>
          </w:p>
        </w:tc>
        <w:tc>
          <w:tcPr>
            <w:tcW w:w="180" w:type="dxa"/>
            <w:vAlign w:val="bottom"/>
            <w:shd w:val="clear" w:color="auto" w:fill="F2F3F2"/>
          </w:tcPr>
          <w:p>
            <w:pPr>
              <w:spacing w:after="0"/>
              <w:rPr>
                <w:sz w:val="22"/>
                <w:szCs w:val="22"/>
                <w:color w:val="auto"/>
              </w:rPr>
            </w:pPr>
          </w:p>
        </w:tc>
        <w:tc>
          <w:tcPr>
            <w:tcW w:w="920" w:type="dxa"/>
            <w:vAlign w:val="bottom"/>
            <w:gridSpan w:val="2"/>
            <w:shd w:val="clear" w:color="auto" w:fill="F2F3F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3F2"/>
          </w:tcPr>
          <w:p>
            <w:pPr>
              <w:spacing w:after="0"/>
              <w:rPr>
                <w:sz w:val="22"/>
                <w:szCs w:val="22"/>
                <w:color w:val="auto"/>
              </w:rPr>
            </w:pPr>
          </w:p>
        </w:tc>
        <w:tc>
          <w:tcPr>
            <w:tcW w:w="940" w:type="dxa"/>
            <w:vAlign w:val="bottom"/>
            <w:gridSpan w:val="2"/>
            <w:shd w:val="clear" w:color="auto" w:fill="F2F3F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F2F3F2"/>
          </w:tcPr>
          <w:p>
            <w:pPr>
              <w:spacing w:after="0"/>
              <w:rPr>
                <w:sz w:val="22"/>
                <w:szCs w:val="22"/>
                <w:color w:val="auto"/>
              </w:rPr>
            </w:pPr>
          </w:p>
        </w:tc>
        <w:tc>
          <w:tcPr>
            <w:tcW w:w="780" w:type="dxa"/>
            <w:vAlign w:val="bottom"/>
            <w:shd w:val="clear" w:color="auto" w:fill="F2F3F2"/>
          </w:tcPr>
          <w:p>
            <w:pPr>
              <w:jc w:val="right"/>
              <w:ind w:right="68"/>
              <w:spacing w:after="0"/>
              <w:rPr>
                <w:sz w:val="20"/>
                <w:szCs w:val="20"/>
                <w:color w:val="auto"/>
              </w:rPr>
            </w:pPr>
            <w:r>
              <w:rPr>
                <w:rFonts w:ascii="Arial" w:cs="Arial" w:eastAsia="Arial" w:hAnsi="Arial"/>
                <w:sz w:val="14"/>
                <w:szCs w:val="14"/>
                <w:color w:val="auto"/>
              </w:rPr>
              <w:t>(31,510)</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F2F3F2"/>
            </w:tcBorders>
          </w:tcPr>
          <w:p>
            <w:pPr>
              <w:ind w:left="400"/>
              <w:spacing w:after="0"/>
              <w:rPr>
                <w:sz w:val="20"/>
                <w:szCs w:val="20"/>
                <w:color w:val="auto"/>
              </w:rPr>
            </w:pPr>
            <w:r>
              <w:rPr>
                <w:rFonts w:ascii="Arial" w:cs="Arial" w:eastAsia="Arial" w:hAnsi="Arial"/>
                <w:sz w:val="14"/>
                <w:szCs w:val="14"/>
                <w:color w:val="auto"/>
              </w:rPr>
              <w:t>Foreign currency transaction losses (gains), net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(363)</w:t>
            </w:r>
          </w:p>
        </w:tc>
        <w:tc>
          <w:tcPr>
            <w:tcW w:w="60" w:type="dxa"/>
            <w:vAlign w:val="bottom"/>
            <w:tcBorders>
              <w:bottom w:val="single" w:sz="8" w:color="F2F3F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(2,138)</w:t>
            </w:r>
          </w:p>
        </w:tc>
        <w:tc>
          <w:tcPr>
            <w:tcW w:w="40" w:type="dxa"/>
            <w:vAlign w:val="bottom"/>
            <w:tcBorders>
              <w:bottom w:val="single" w:sz="8" w:color="F2F3F2"/>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476</w:t>
            </w:r>
          </w:p>
        </w:tc>
        <w:tc>
          <w:tcPr>
            <w:tcW w:w="60" w:type="dxa"/>
            <w:vAlign w:val="bottom"/>
            <w:tcBorders>
              <w:bottom w:val="single" w:sz="8" w:color="F2F3F2"/>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w:t>
            </w:r>
          </w:p>
        </w:tc>
        <w:tc>
          <w:tcPr>
            <w:tcW w:w="60" w:type="dxa"/>
            <w:vAlign w:val="bottom"/>
            <w:tcBorders>
              <w:bottom w:val="single" w:sz="8" w:color="F2F3F2"/>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35"/>
        </w:trPr>
        <w:tc>
          <w:tcPr>
            <w:tcW w:w="35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Adjusted EBITDA</w:t>
            </w:r>
          </w:p>
        </w:tc>
        <w:tc>
          <w:tcPr>
            <w:tcW w:w="1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237,517</w:t>
            </w:r>
          </w:p>
        </w:tc>
        <w:tc>
          <w:tcPr>
            <w:tcW w:w="60" w:type="dxa"/>
            <w:vAlign w:val="bottom"/>
            <w:tcBorders>
              <w:bottom w:val="single" w:sz="8" w:color="F2F3F2"/>
            </w:tcBorders>
            <w:shd w:val="clear" w:color="auto" w:fill="F2F3F2"/>
          </w:tcPr>
          <w:p>
            <w:pPr>
              <w:spacing w:after="0"/>
              <w:rPr>
                <w:sz w:val="19"/>
                <w:szCs w:val="19"/>
                <w:color w:val="auto"/>
              </w:rPr>
            </w:pPr>
          </w:p>
        </w:tc>
        <w:tc>
          <w:tcPr>
            <w:tcW w:w="1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201,168</w:t>
            </w:r>
          </w:p>
        </w:tc>
        <w:tc>
          <w:tcPr>
            <w:tcW w:w="40" w:type="dxa"/>
            <w:vAlign w:val="bottom"/>
            <w:tcBorders>
              <w:bottom w:val="single" w:sz="8" w:color="F2F3F2"/>
            </w:tcBorders>
            <w:shd w:val="clear" w:color="auto" w:fill="F2F3F2"/>
          </w:tcPr>
          <w:p>
            <w:pPr>
              <w:spacing w:after="0"/>
              <w:rPr>
                <w:sz w:val="19"/>
                <w:szCs w:val="19"/>
                <w:color w:val="auto"/>
              </w:rPr>
            </w:pPr>
          </w:p>
        </w:tc>
        <w:tc>
          <w:tcPr>
            <w:tcW w:w="1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167,341</w:t>
            </w:r>
          </w:p>
        </w:tc>
        <w:tc>
          <w:tcPr>
            <w:tcW w:w="60" w:type="dxa"/>
            <w:vAlign w:val="bottom"/>
            <w:tcBorders>
              <w:bottom w:val="single" w:sz="8" w:color="F2F3F2"/>
            </w:tcBorders>
            <w:shd w:val="clear" w:color="auto" w:fill="F2F3F2"/>
          </w:tcPr>
          <w:p>
            <w:pPr>
              <w:spacing w:after="0"/>
              <w:rPr>
                <w:sz w:val="19"/>
                <w:szCs w:val="19"/>
                <w:color w:val="auto"/>
              </w:rPr>
            </w:pPr>
          </w:p>
        </w:tc>
        <w:tc>
          <w:tcPr>
            <w:tcW w:w="1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130,840</w:t>
            </w:r>
          </w:p>
        </w:tc>
        <w:tc>
          <w:tcPr>
            <w:tcW w:w="60" w:type="dxa"/>
            <w:vAlign w:val="bottom"/>
            <w:tcBorders>
              <w:bottom w:val="single" w:sz="8" w:color="F2F3F2"/>
            </w:tcBorders>
            <w:shd w:val="clear" w:color="auto" w:fill="F2F3F2"/>
          </w:tcPr>
          <w:p>
            <w:pPr>
              <w:spacing w:after="0"/>
              <w:rPr>
                <w:sz w:val="19"/>
                <w:szCs w:val="19"/>
                <w:color w:val="auto"/>
              </w:rPr>
            </w:pPr>
          </w:p>
        </w:tc>
        <w:tc>
          <w:tcPr>
            <w:tcW w:w="260" w:type="dxa"/>
            <w:vAlign w:val="bottom"/>
            <w:tcBorders>
              <w:bottom w:val="single" w:sz="8" w:color="auto"/>
            </w:tcBorders>
            <w:shd w:val="clear" w:color="auto" w:fill="F2F3F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F2F3F2"/>
          </w:tcPr>
          <w:p>
            <w:pPr>
              <w:jc w:val="right"/>
              <w:ind w:right="128"/>
              <w:spacing w:after="0"/>
              <w:rPr>
                <w:sz w:val="20"/>
                <w:szCs w:val="20"/>
                <w:color w:val="auto"/>
              </w:rPr>
            </w:pPr>
            <w:r>
              <w:rPr>
                <w:rFonts w:ascii="Arial" w:cs="Arial" w:eastAsia="Arial" w:hAnsi="Arial"/>
                <w:sz w:val="14"/>
                <w:szCs w:val="14"/>
                <w:color w:val="auto"/>
              </w:rPr>
              <w:t>97,823</w:t>
            </w:r>
          </w:p>
        </w:tc>
        <w:tc>
          <w:tcPr>
            <w:tcW w:w="0" w:type="dxa"/>
            <w:vAlign w:val="bottom"/>
          </w:tcPr>
          <w:p>
            <w:pPr>
              <w:spacing w:after="0"/>
              <w:rPr>
                <w:sz w:val="1"/>
                <w:szCs w:val="1"/>
                <w:color w:val="auto"/>
              </w:rPr>
            </w:pPr>
          </w:p>
        </w:tc>
      </w:tr>
      <w:tr>
        <w:trPr>
          <w:trHeight w:val="20"/>
        </w:trPr>
        <w:tc>
          <w:tcPr>
            <w:tcW w:w="352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b w:val="1"/>
                <w:bCs w:val="1"/>
                <w:color w:val="auto"/>
              </w:rPr>
              <w:t>Adjusted EBITDA as a percentage of revenues</w:t>
            </w: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40" w:type="dxa"/>
            <w:vAlign w:val="bottom"/>
            <w:tcBorders>
              <w:top w:val="single" w:sz="8" w:color="F2F3F2"/>
            </w:tcBorders>
          </w:tcPr>
          <w:p>
            <w:pPr>
              <w:spacing w:after="0" w:line="20" w:lineRule="exact"/>
              <w:rPr>
                <w:sz w:val="1"/>
                <w:szCs w:val="1"/>
                <w:color w:val="auto"/>
              </w:rPr>
            </w:pPr>
          </w:p>
        </w:tc>
        <w:tc>
          <w:tcPr>
            <w:tcW w:w="180" w:type="dxa"/>
            <w:vAlign w:val="bottom"/>
            <w:tcBorders>
              <w:top w:val="single" w:sz="8" w:color="F2F3F2"/>
              <w:bottom w:val="single" w:sz="8" w:color="auto"/>
            </w:tcBorders>
          </w:tcPr>
          <w:p>
            <w:pPr>
              <w:spacing w:after="0" w:line="20" w:lineRule="exact"/>
              <w:rPr>
                <w:sz w:val="1"/>
                <w:szCs w:val="1"/>
                <w:color w:val="auto"/>
              </w:rPr>
            </w:pPr>
          </w:p>
        </w:tc>
        <w:tc>
          <w:tcPr>
            <w:tcW w:w="86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160" w:type="dxa"/>
            <w:vAlign w:val="bottom"/>
            <w:tcBorders>
              <w:top w:val="single" w:sz="8" w:color="F2F3F2"/>
              <w:bottom w:val="single" w:sz="8" w:color="auto"/>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60" w:type="dxa"/>
            <w:vAlign w:val="bottom"/>
            <w:tcBorders>
              <w:top w:val="single" w:sz="8" w:color="F2F3F2"/>
              <w:bottom w:val="single" w:sz="8" w:color="auto"/>
            </w:tcBorders>
          </w:tcPr>
          <w:p>
            <w:pPr>
              <w:spacing w:after="0" w:line="20" w:lineRule="exact"/>
              <w:rPr>
                <w:sz w:val="1"/>
                <w:szCs w:val="1"/>
                <w:color w:val="auto"/>
              </w:rPr>
            </w:pPr>
          </w:p>
        </w:tc>
        <w:tc>
          <w:tcPr>
            <w:tcW w:w="7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52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before reimbursable expenses</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14.3 %</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13.5 %</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12.3 %</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11.6 %</w:t>
            </w: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160" w:type="dxa"/>
            <w:vAlign w:val="bottom"/>
            <w:gridSpan w:val="14"/>
          </w:tcPr>
          <w:p>
            <w:pPr>
              <w:spacing w:after="0"/>
              <w:rPr>
                <w:sz w:val="20"/>
                <w:szCs w:val="20"/>
                <w:color w:val="auto"/>
              </w:rPr>
            </w:pPr>
            <w:r>
              <w:rPr>
                <w:rFonts w:ascii="Arial" w:cs="Arial" w:eastAsia="Arial" w:hAnsi="Arial"/>
                <w:sz w:val="18"/>
                <w:szCs w:val="18"/>
                <w:b w:val="1"/>
                <w:bCs w:val="1"/>
                <w:color w:val="auto"/>
              </w:rPr>
              <w:t>Reconciliation of Net Income to Adjusted Net Income and Adjusted Diluted Earnings per Share</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9"/>
        </w:trPr>
        <w:tc>
          <w:tcPr>
            <w:tcW w:w="3520" w:type="dxa"/>
            <w:vAlign w:val="bottom"/>
            <w:tcBorders>
              <w:bottom w:val="single" w:sz="8" w:color="F2F3F2"/>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F2F3F2"/>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F2F3F2"/>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F2F3F2"/>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F2F3F2"/>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F2F3F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105,040</w:t>
            </w:r>
          </w:p>
        </w:tc>
        <w:tc>
          <w:tcPr>
            <w:tcW w:w="60" w:type="dxa"/>
            <w:vAlign w:val="bottom"/>
            <w:tcBorders>
              <w:bottom w:val="single" w:sz="8" w:color="F2F3F2"/>
            </w:tcBorders>
            <w:shd w:val="clear" w:color="auto" w:fill="F2F3F2"/>
          </w:tcPr>
          <w:p>
            <w:pPr>
              <w:spacing w:after="0"/>
              <w:rPr>
                <w:sz w:val="19"/>
                <w:szCs w:val="19"/>
                <w:color w:val="auto"/>
              </w:rPr>
            </w:pPr>
          </w:p>
        </w:tc>
        <w:tc>
          <w:tcPr>
            <w:tcW w:w="220" w:type="dxa"/>
            <w:vAlign w:val="bottom"/>
            <w:tcBorders>
              <w:bottom w:val="single" w:sz="8" w:color="auto"/>
            </w:tcBorders>
            <w:shd w:val="clear" w:color="auto" w:fill="F2F3F2"/>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2F3F2"/>
          </w:tcPr>
          <w:p>
            <w:pPr>
              <w:jc w:val="right"/>
              <w:ind w:right="8"/>
              <w:spacing w:after="0"/>
              <w:rPr>
                <w:sz w:val="20"/>
                <w:szCs w:val="20"/>
                <w:color w:val="auto"/>
              </w:rPr>
            </w:pPr>
            <w:r>
              <w:rPr>
                <w:rFonts w:ascii="Arial" w:cs="Arial" w:eastAsia="Arial" w:hAnsi="Arial"/>
                <w:sz w:val="14"/>
                <w:szCs w:val="14"/>
                <w:color w:val="auto"/>
              </w:rPr>
              <w:t>116,626</w:t>
            </w:r>
          </w:p>
        </w:tc>
        <w:tc>
          <w:tcPr>
            <w:tcW w:w="40" w:type="dxa"/>
            <w:vAlign w:val="bottom"/>
            <w:tcBorders>
              <w:bottom w:val="single" w:sz="8" w:color="F2F3F2"/>
            </w:tcBorders>
            <w:shd w:val="clear" w:color="auto" w:fill="F2F3F2"/>
          </w:tcPr>
          <w:p>
            <w:pPr>
              <w:spacing w:after="0"/>
              <w:rPr>
                <w:sz w:val="19"/>
                <w:szCs w:val="19"/>
                <w:color w:val="auto"/>
              </w:rPr>
            </w:pPr>
          </w:p>
        </w:tc>
        <w:tc>
          <w:tcPr>
            <w:tcW w:w="240" w:type="dxa"/>
            <w:vAlign w:val="bottom"/>
            <w:tcBorders>
              <w:bottom w:val="single" w:sz="8" w:color="auto"/>
            </w:tcBorders>
            <w:shd w:val="clear" w:color="auto" w:fill="F2F3F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62,479</w:t>
            </w:r>
          </w:p>
        </w:tc>
        <w:tc>
          <w:tcPr>
            <w:tcW w:w="60" w:type="dxa"/>
            <w:vAlign w:val="bottom"/>
            <w:tcBorders>
              <w:bottom w:val="single" w:sz="8" w:color="F2F3F2"/>
            </w:tcBorders>
            <w:shd w:val="clear" w:color="auto" w:fill="F2F3F2"/>
          </w:tcPr>
          <w:p>
            <w:pPr>
              <w:spacing w:after="0"/>
              <w:rPr>
                <w:sz w:val="19"/>
                <w:szCs w:val="19"/>
                <w:color w:val="auto"/>
              </w:rPr>
            </w:pPr>
          </w:p>
        </w:tc>
        <w:tc>
          <w:tcPr>
            <w:tcW w:w="280" w:type="dxa"/>
            <w:vAlign w:val="bottom"/>
            <w:tcBorders>
              <w:bottom w:val="single" w:sz="8" w:color="auto"/>
            </w:tcBorders>
            <w:shd w:val="clear" w:color="auto" w:fill="F2F3F2"/>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75,552</w:t>
            </w:r>
          </w:p>
        </w:tc>
        <w:tc>
          <w:tcPr>
            <w:tcW w:w="60" w:type="dxa"/>
            <w:vAlign w:val="bottom"/>
            <w:tcBorders>
              <w:bottom w:val="single" w:sz="8" w:color="F2F3F2"/>
            </w:tcBorders>
            <w:shd w:val="clear" w:color="auto" w:fill="F2F3F2"/>
          </w:tcPr>
          <w:p>
            <w:pPr>
              <w:spacing w:after="0"/>
              <w:rPr>
                <w:sz w:val="19"/>
                <w:szCs w:val="19"/>
                <w:color w:val="auto"/>
              </w:rPr>
            </w:pPr>
          </w:p>
        </w:tc>
        <w:tc>
          <w:tcPr>
            <w:tcW w:w="240" w:type="dxa"/>
            <w:vAlign w:val="bottom"/>
            <w:tcBorders>
              <w:bottom w:val="single" w:sz="8" w:color="auto"/>
            </w:tcBorders>
            <w:shd w:val="clear" w:color="auto" w:fill="F2F3F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62,987</w:t>
            </w:r>
          </w:p>
        </w:tc>
        <w:tc>
          <w:tcPr>
            <w:tcW w:w="0" w:type="dxa"/>
            <w:vAlign w:val="bottom"/>
          </w:tcPr>
          <w:p>
            <w:pPr>
              <w:spacing w:after="0"/>
              <w:rPr>
                <w:sz w:val="1"/>
                <w:szCs w:val="1"/>
                <w:color w:val="auto"/>
              </w:rPr>
            </w:pPr>
          </w:p>
        </w:tc>
      </w:tr>
      <w:tr>
        <w:trPr>
          <w:trHeight w:val="20"/>
        </w:trPr>
        <w:tc>
          <w:tcPr>
            <w:tcW w:w="352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b w:val="1"/>
                <w:bCs w:val="1"/>
                <w:color w:val="auto"/>
              </w:rPr>
              <w:t>Weighted average shares - diluted</w:t>
            </w:r>
          </w:p>
        </w:tc>
        <w:tc>
          <w:tcPr>
            <w:tcW w:w="240" w:type="dxa"/>
            <w:vAlign w:val="bottom"/>
            <w:tcBorders>
              <w:top w:val="single" w:sz="8" w:color="F2F3F2"/>
              <w:bottom w:val="single" w:sz="8" w:color="auto"/>
            </w:tcBorders>
          </w:tcPr>
          <w:p>
            <w:pPr>
              <w:spacing w:after="0" w:line="20" w:lineRule="exact"/>
              <w:rPr>
                <w:sz w:val="1"/>
                <w:szCs w:val="1"/>
                <w:color w:val="auto"/>
              </w:rPr>
            </w:pPr>
          </w:p>
        </w:tc>
        <w:tc>
          <w:tcPr>
            <w:tcW w:w="80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20" w:type="dxa"/>
            <w:vAlign w:val="bottom"/>
            <w:tcBorders>
              <w:top w:val="single" w:sz="8" w:color="F2F3F2"/>
              <w:bottom w:val="single" w:sz="8" w:color="auto"/>
            </w:tcBorders>
          </w:tcPr>
          <w:p>
            <w:pPr>
              <w:spacing w:after="0" w:line="20" w:lineRule="exact"/>
              <w:rPr>
                <w:sz w:val="1"/>
                <w:szCs w:val="1"/>
                <w:color w:val="auto"/>
              </w:rPr>
            </w:pPr>
          </w:p>
        </w:tc>
        <w:tc>
          <w:tcPr>
            <w:tcW w:w="820" w:type="dxa"/>
            <w:vAlign w:val="bottom"/>
            <w:tcBorders>
              <w:top w:val="single" w:sz="8" w:color="F2F3F2"/>
              <w:bottom w:val="single" w:sz="8" w:color="auto"/>
            </w:tcBorders>
          </w:tcPr>
          <w:p>
            <w:pPr>
              <w:spacing w:after="0" w:line="20" w:lineRule="exact"/>
              <w:rPr>
                <w:sz w:val="1"/>
                <w:szCs w:val="1"/>
                <w:color w:val="auto"/>
              </w:rPr>
            </w:pPr>
          </w:p>
        </w:tc>
        <w:tc>
          <w:tcPr>
            <w:tcW w:w="40" w:type="dxa"/>
            <w:vAlign w:val="bottom"/>
            <w:tcBorders>
              <w:top w:val="single" w:sz="8" w:color="F2F3F2"/>
            </w:tcBorders>
          </w:tcPr>
          <w:p>
            <w:pPr>
              <w:spacing w:after="0" w:line="20" w:lineRule="exact"/>
              <w:rPr>
                <w:sz w:val="1"/>
                <w:szCs w:val="1"/>
                <w:color w:val="auto"/>
              </w:rPr>
            </w:pPr>
          </w:p>
        </w:tc>
        <w:tc>
          <w:tcPr>
            <w:tcW w:w="240" w:type="dxa"/>
            <w:vAlign w:val="bottom"/>
            <w:tcBorders>
              <w:top w:val="single" w:sz="8" w:color="F2F3F2"/>
              <w:bottom w:val="single" w:sz="8" w:color="auto"/>
            </w:tcBorders>
          </w:tcPr>
          <w:p>
            <w:pPr>
              <w:spacing w:after="0" w:line="20" w:lineRule="exact"/>
              <w:rPr>
                <w:sz w:val="1"/>
                <w:szCs w:val="1"/>
                <w:color w:val="auto"/>
              </w:rPr>
            </w:pPr>
          </w:p>
        </w:tc>
        <w:tc>
          <w:tcPr>
            <w:tcW w:w="80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80" w:type="dxa"/>
            <w:vAlign w:val="bottom"/>
            <w:tcBorders>
              <w:top w:val="single" w:sz="8" w:color="F2F3F2"/>
              <w:bottom w:val="single" w:sz="8" w:color="auto"/>
            </w:tcBorders>
          </w:tcPr>
          <w:p>
            <w:pPr>
              <w:spacing w:after="0" w:line="20" w:lineRule="exact"/>
              <w:rPr>
                <w:sz w:val="1"/>
                <w:szCs w:val="1"/>
                <w:color w:val="auto"/>
              </w:rPr>
            </w:pPr>
          </w:p>
        </w:tc>
        <w:tc>
          <w:tcPr>
            <w:tcW w:w="76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40" w:type="dxa"/>
            <w:vAlign w:val="bottom"/>
            <w:tcBorders>
              <w:top w:val="single" w:sz="8" w:color="F2F3F2"/>
              <w:bottom w:val="single" w:sz="8" w:color="auto"/>
            </w:tcBorders>
          </w:tcPr>
          <w:p>
            <w:pPr>
              <w:spacing w:after="0" w:line="20" w:lineRule="exact"/>
              <w:rPr>
                <w:sz w:val="1"/>
                <w:szCs w:val="1"/>
                <w:color w:val="auto"/>
              </w:rPr>
            </w:pPr>
          </w:p>
        </w:tc>
        <w:tc>
          <w:tcPr>
            <w:tcW w:w="80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17,991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18,613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19,601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20,746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21,809</w:t>
            </w:r>
          </w:p>
        </w:tc>
        <w:tc>
          <w:tcPr>
            <w:tcW w:w="0" w:type="dxa"/>
            <w:vAlign w:val="bottom"/>
          </w:tcPr>
          <w:p>
            <w:pPr>
              <w:spacing w:after="0"/>
              <w:rPr>
                <w:sz w:val="1"/>
                <w:szCs w:val="1"/>
                <w:color w:val="auto"/>
              </w:rPr>
            </w:pPr>
          </w:p>
        </w:tc>
      </w:tr>
      <w:tr>
        <w:trPr>
          <w:trHeight w:val="255"/>
        </w:trPr>
        <w:tc>
          <w:tcPr>
            <w:tcW w:w="35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Diluted earnings per share</w:t>
            </w:r>
          </w:p>
        </w:tc>
        <w:tc>
          <w:tcPr>
            <w:tcW w:w="240" w:type="dxa"/>
            <w:vAlign w:val="bottom"/>
            <w:tcBorders>
              <w:bottom w:val="single" w:sz="8" w:color="auto"/>
            </w:tcBorders>
            <w:shd w:val="clear" w:color="auto" w:fill="F2F3F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5.84</w:t>
            </w:r>
          </w:p>
        </w:tc>
        <w:tc>
          <w:tcPr>
            <w:tcW w:w="60" w:type="dxa"/>
            <w:vAlign w:val="bottom"/>
            <w:tcBorders>
              <w:bottom w:val="single" w:sz="8" w:color="F2F3F2"/>
            </w:tcBorders>
            <w:shd w:val="clear" w:color="auto" w:fill="F2F3F2"/>
          </w:tcPr>
          <w:p>
            <w:pPr>
              <w:spacing w:after="0"/>
              <w:rPr>
                <w:sz w:val="21"/>
                <w:szCs w:val="21"/>
                <w:color w:val="auto"/>
              </w:rPr>
            </w:pPr>
          </w:p>
        </w:tc>
        <w:tc>
          <w:tcPr>
            <w:tcW w:w="220" w:type="dxa"/>
            <w:vAlign w:val="bottom"/>
            <w:tcBorders>
              <w:bottom w:val="single" w:sz="8" w:color="auto"/>
            </w:tcBorders>
            <w:shd w:val="clear" w:color="auto" w:fill="F2F3F2"/>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2F3F2"/>
          </w:tcPr>
          <w:p>
            <w:pPr>
              <w:jc w:val="right"/>
              <w:ind w:right="8"/>
              <w:spacing w:after="0"/>
              <w:rPr>
                <w:sz w:val="20"/>
                <w:szCs w:val="20"/>
                <w:color w:val="auto"/>
              </w:rPr>
            </w:pPr>
            <w:r>
              <w:rPr>
                <w:rFonts w:ascii="Arial" w:cs="Arial" w:eastAsia="Arial" w:hAnsi="Arial"/>
                <w:sz w:val="14"/>
                <w:szCs w:val="14"/>
                <w:color w:val="auto"/>
              </w:rPr>
              <w:t>6.27</w:t>
            </w:r>
          </w:p>
        </w:tc>
        <w:tc>
          <w:tcPr>
            <w:tcW w:w="40" w:type="dxa"/>
            <w:vAlign w:val="bottom"/>
            <w:tcBorders>
              <w:bottom w:val="single" w:sz="8" w:color="F2F3F2"/>
            </w:tcBorders>
            <w:shd w:val="clear" w:color="auto" w:fill="F2F3F2"/>
          </w:tcPr>
          <w:p>
            <w:pPr>
              <w:spacing w:after="0"/>
              <w:rPr>
                <w:sz w:val="21"/>
                <w:szCs w:val="21"/>
                <w:color w:val="auto"/>
              </w:rPr>
            </w:pPr>
          </w:p>
        </w:tc>
        <w:tc>
          <w:tcPr>
            <w:tcW w:w="240" w:type="dxa"/>
            <w:vAlign w:val="bottom"/>
            <w:tcBorders>
              <w:bottom w:val="single" w:sz="8" w:color="auto"/>
            </w:tcBorders>
            <w:shd w:val="clear" w:color="auto" w:fill="F2F3F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3.19</w:t>
            </w:r>
          </w:p>
        </w:tc>
        <w:tc>
          <w:tcPr>
            <w:tcW w:w="60" w:type="dxa"/>
            <w:vAlign w:val="bottom"/>
            <w:tcBorders>
              <w:bottom w:val="single" w:sz="8" w:color="F2F3F2"/>
            </w:tcBorders>
            <w:shd w:val="clear" w:color="auto" w:fill="F2F3F2"/>
          </w:tcPr>
          <w:p>
            <w:pPr>
              <w:spacing w:after="0"/>
              <w:rPr>
                <w:sz w:val="21"/>
                <w:szCs w:val="21"/>
                <w:color w:val="auto"/>
              </w:rPr>
            </w:pPr>
          </w:p>
        </w:tc>
        <w:tc>
          <w:tcPr>
            <w:tcW w:w="280" w:type="dxa"/>
            <w:vAlign w:val="bottom"/>
            <w:tcBorders>
              <w:bottom w:val="single" w:sz="8" w:color="auto"/>
            </w:tcBorders>
            <w:shd w:val="clear" w:color="auto" w:fill="F2F3F2"/>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3.64</w:t>
            </w:r>
          </w:p>
        </w:tc>
        <w:tc>
          <w:tcPr>
            <w:tcW w:w="60" w:type="dxa"/>
            <w:vAlign w:val="bottom"/>
            <w:tcBorders>
              <w:bottom w:val="single" w:sz="8" w:color="F2F3F2"/>
            </w:tcBorders>
            <w:shd w:val="clear" w:color="auto" w:fill="F2F3F2"/>
          </w:tcPr>
          <w:p>
            <w:pPr>
              <w:spacing w:after="0"/>
              <w:rPr>
                <w:sz w:val="21"/>
                <w:szCs w:val="21"/>
                <w:color w:val="auto"/>
              </w:rPr>
            </w:pPr>
          </w:p>
        </w:tc>
        <w:tc>
          <w:tcPr>
            <w:tcW w:w="240" w:type="dxa"/>
            <w:vAlign w:val="bottom"/>
            <w:tcBorders>
              <w:bottom w:val="single" w:sz="8" w:color="auto"/>
            </w:tcBorders>
            <w:shd w:val="clear" w:color="auto" w:fill="F2F3F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
        </w:trPr>
        <w:tc>
          <w:tcPr>
            <w:tcW w:w="352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Add back:</w:t>
            </w:r>
          </w:p>
        </w:tc>
        <w:tc>
          <w:tcPr>
            <w:tcW w:w="240" w:type="dxa"/>
            <w:vAlign w:val="bottom"/>
            <w:tcBorders>
              <w:top w:val="single" w:sz="8" w:color="F2F3F2"/>
              <w:bottom w:val="single" w:sz="8" w:color="auto"/>
            </w:tcBorders>
          </w:tcPr>
          <w:p>
            <w:pPr>
              <w:spacing w:after="0" w:line="20" w:lineRule="exact"/>
              <w:rPr>
                <w:sz w:val="1"/>
                <w:szCs w:val="1"/>
                <w:color w:val="auto"/>
              </w:rPr>
            </w:pPr>
          </w:p>
        </w:tc>
        <w:tc>
          <w:tcPr>
            <w:tcW w:w="80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20" w:type="dxa"/>
            <w:vAlign w:val="bottom"/>
            <w:tcBorders>
              <w:top w:val="single" w:sz="8" w:color="F2F3F2"/>
              <w:bottom w:val="single" w:sz="8" w:color="auto"/>
            </w:tcBorders>
          </w:tcPr>
          <w:p>
            <w:pPr>
              <w:spacing w:after="0" w:line="20" w:lineRule="exact"/>
              <w:rPr>
                <w:sz w:val="1"/>
                <w:szCs w:val="1"/>
                <w:color w:val="auto"/>
              </w:rPr>
            </w:pPr>
          </w:p>
        </w:tc>
        <w:tc>
          <w:tcPr>
            <w:tcW w:w="820" w:type="dxa"/>
            <w:vAlign w:val="bottom"/>
            <w:tcBorders>
              <w:top w:val="single" w:sz="8" w:color="F2F3F2"/>
              <w:bottom w:val="single" w:sz="8" w:color="auto"/>
            </w:tcBorders>
          </w:tcPr>
          <w:p>
            <w:pPr>
              <w:spacing w:after="0" w:line="20" w:lineRule="exact"/>
              <w:rPr>
                <w:sz w:val="1"/>
                <w:szCs w:val="1"/>
                <w:color w:val="auto"/>
              </w:rPr>
            </w:pPr>
          </w:p>
        </w:tc>
        <w:tc>
          <w:tcPr>
            <w:tcW w:w="40" w:type="dxa"/>
            <w:vAlign w:val="bottom"/>
            <w:tcBorders>
              <w:top w:val="single" w:sz="8" w:color="F2F3F2"/>
            </w:tcBorders>
          </w:tcPr>
          <w:p>
            <w:pPr>
              <w:spacing w:after="0" w:line="20" w:lineRule="exact"/>
              <w:rPr>
                <w:sz w:val="1"/>
                <w:szCs w:val="1"/>
                <w:color w:val="auto"/>
              </w:rPr>
            </w:pPr>
          </w:p>
        </w:tc>
        <w:tc>
          <w:tcPr>
            <w:tcW w:w="240" w:type="dxa"/>
            <w:vAlign w:val="bottom"/>
            <w:tcBorders>
              <w:top w:val="single" w:sz="8" w:color="F2F3F2"/>
              <w:bottom w:val="single" w:sz="8" w:color="auto"/>
            </w:tcBorders>
          </w:tcPr>
          <w:p>
            <w:pPr>
              <w:spacing w:after="0" w:line="20" w:lineRule="exact"/>
              <w:rPr>
                <w:sz w:val="1"/>
                <w:szCs w:val="1"/>
                <w:color w:val="auto"/>
              </w:rPr>
            </w:pPr>
          </w:p>
        </w:tc>
        <w:tc>
          <w:tcPr>
            <w:tcW w:w="80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80" w:type="dxa"/>
            <w:vAlign w:val="bottom"/>
            <w:tcBorders>
              <w:top w:val="single" w:sz="8" w:color="F2F3F2"/>
              <w:bottom w:val="single" w:sz="8" w:color="auto"/>
            </w:tcBorders>
          </w:tcPr>
          <w:p>
            <w:pPr>
              <w:spacing w:after="0" w:line="20" w:lineRule="exact"/>
              <w:rPr>
                <w:sz w:val="1"/>
                <w:szCs w:val="1"/>
                <w:color w:val="auto"/>
              </w:rPr>
            </w:pPr>
          </w:p>
        </w:tc>
        <w:tc>
          <w:tcPr>
            <w:tcW w:w="76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240" w:type="dxa"/>
            <w:vAlign w:val="bottom"/>
            <w:tcBorders>
              <w:top w:val="single" w:sz="8" w:color="F2F3F2"/>
              <w:bottom w:val="single" w:sz="8" w:color="auto"/>
            </w:tcBorders>
          </w:tcPr>
          <w:p>
            <w:pPr>
              <w:spacing w:after="0" w:line="20" w:lineRule="exact"/>
              <w:rPr>
                <w:sz w:val="1"/>
                <w:szCs w:val="1"/>
                <w:color w:val="auto"/>
              </w:rPr>
            </w:pPr>
          </w:p>
        </w:tc>
        <w:tc>
          <w:tcPr>
            <w:tcW w:w="80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ind w:right="8"/>
              <w:spacing w:after="0"/>
              <w:rPr>
                <w:sz w:val="20"/>
                <w:szCs w:val="20"/>
                <w:color w:val="auto"/>
              </w:rPr>
            </w:pPr>
            <w:r>
              <w:rPr>
                <w:rFonts w:ascii="Arial" w:cs="Arial" w:eastAsia="Arial" w:hAnsi="Arial"/>
                <w:sz w:val="14"/>
                <w:szCs w:val="14"/>
                <w:color w:val="auto"/>
              </w:rPr>
              <w:t>11,334</w:t>
            </w:r>
          </w:p>
        </w:tc>
        <w:tc>
          <w:tcPr>
            <w:tcW w:w="60" w:type="dxa"/>
            <w:vAlign w:val="bottom"/>
            <w:shd w:val="clear" w:color="auto" w:fill="F2F3F2"/>
          </w:tcPr>
          <w:p>
            <w:pPr>
              <w:spacing w:after="0"/>
              <w:rPr>
                <w:sz w:val="22"/>
                <w:szCs w:val="22"/>
                <w:color w:val="auto"/>
              </w:rPr>
            </w:pPr>
          </w:p>
        </w:tc>
        <w:tc>
          <w:tcPr>
            <w:tcW w:w="220" w:type="dxa"/>
            <w:vAlign w:val="bottom"/>
            <w:shd w:val="clear" w:color="auto" w:fill="F2F3F2"/>
          </w:tcPr>
          <w:p>
            <w:pPr>
              <w:spacing w:after="0"/>
              <w:rPr>
                <w:sz w:val="22"/>
                <w:szCs w:val="22"/>
                <w:color w:val="auto"/>
              </w:rPr>
            </w:pP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6,517</w:t>
            </w:r>
          </w:p>
        </w:tc>
        <w:tc>
          <w:tcPr>
            <w:tcW w:w="40" w:type="dxa"/>
            <w:vAlign w:val="bottom"/>
            <w:shd w:val="clear" w:color="auto" w:fill="F2F3F2"/>
          </w:tcPr>
          <w:p>
            <w:pPr>
              <w:spacing w:after="0"/>
              <w:rPr>
                <w:sz w:val="22"/>
                <w:szCs w:val="22"/>
                <w:color w:val="auto"/>
              </w:rPr>
            </w:pP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8,219</w:t>
            </w:r>
          </w:p>
        </w:tc>
        <w:tc>
          <w:tcPr>
            <w:tcW w:w="60" w:type="dxa"/>
            <w:vAlign w:val="bottom"/>
            <w:shd w:val="clear" w:color="auto" w:fill="F2F3F2"/>
          </w:tcPr>
          <w:p>
            <w:pPr>
              <w:spacing w:after="0"/>
              <w:rPr>
                <w:sz w:val="22"/>
                <w:szCs w:val="22"/>
                <w:color w:val="auto"/>
              </w:rPr>
            </w:pPr>
          </w:p>
        </w:tc>
        <w:tc>
          <w:tcPr>
            <w:tcW w:w="280" w:type="dxa"/>
            <w:vAlign w:val="bottom"/>
            <w:shd w:val="clear" w:color="auto" w:fill="F2F3F2"/>
          </w:tcPr>
          <w:p>
            <w:pPr>
              <w:spacing w:after="0"/>
              <w:rPr>
                <w:sz w:val="22"/>
                <w:szCs w:val="22"/>
                <w:color w:val="auto"/>
              </w:rPr>
            </w:pPr>
          </w:p>
        </w:tc>
        <w:tc>
          <w:tcPr>
            <w:tcW w:w="760" w:type="dxa"/>
            <w:vAlign w:val="bottom"/>
            <w:shd w:val="clear" w:color="auto" w:fill="F2F3F2"/>
          </w:tcPr>
          <w:p>
            <w:pPr>
              <w:jc w:val="right"/>
              <w:ind w:right="8"/>
              <w:spacing w:after="0"/>
              <w:rPr>
                <w:sz w:val="20"/>
                <w:szCs w:val="20"/>
                <w:color w:val="auto"/>
              </w:rPr>
            </w:pPr>
            <w:r>
              <w:rPr>
                <w:rFonts w:ascii="Arial" w:cs="Arial" w:eastAsia="Arial" w:hAnsi="Arial"/>
                <w:sz w:val="14"/>
                <w:szCs w:val="14"/>
                <w:color w:val="auto"/>
              </w:rPr>
              <w:t>11,198</w:t>
            </w:r>
          </w:p>
        </w:tc>
        <w:tc>
          <w:tcPr>
            <w:tcW w:w="60" w:type="dxa"/>
            <w:vAlign w:val="bottom"/>
            <w:shd w:val="clear" w:color="auto" w:fill="F2F3F2"/>
          </w:tcPr>
          <w:p>
            <w:pPr>
              <w:spacing w:after="0"/>
              <w:rPr>
                <w:sz w:val="22"/>
                <w:szCs w:val="22"/>
                <w:color w:val="auto"/>
              </w:rPr>
            </w:pP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9,251</w:t>
            </w:r>
          </w:p>
        </w:tc>
        <w:tc>
          <w:tcPr>
            <w:tcW w:w="0" w:type="dxa"/>
            <w:vAlign w:val="bottom"/>
          </w:tcPr>
          <w:p>
            <w:pPr>
              <w:spacing w:after="0"/>
              <w:rPr>
                <w:sz w:val="1"/>
                <w:szCs w:val="1"/>
                <w:color w:val="auto"/>
              </w:rPr>
            </w:pPr>
          </w:p>
        </w:tc>
      </w:tr>
      <w:tr>
        <w:trPr>
          <w:trHeight w:val="256"/>
        </w:trPr>
        <w:tc>
          <w:tcPr>
            <w:tcW w:w="35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9,136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9,913</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9,909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256"/>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2024 litigation settlement gain</w:t>
            </w:r>
          </w:p>
        </w:tc>
        <w:tc>
          <w:tcPr>
            <w:tcW w:w="240" w:type="dxa"/>
            <w:vAlign w:val="bottom"/>
            <w:shd w:val="clear" w:color="auto" w:fill="F2F3F2"/>
          </w:tcPr>
          <w:p>
            <w:pPr>
              <w:spacing w:after="0"/>
              <w:rPr>
                <w:sz w:val="22"/>
                <w:szCs w:val="22"/>
                <w:color w:val="auto"/>
              </w:rPr>
            </w:pPr>
          </w:p>
        </w:tc>
        <w:tc>
          <w:tcPr>
            <w:tcW w:w="860" w:type="dxa"/>
            <w:vAlign w:val="bottom"/>
            <w:gridSpan w:val="2"/>
            <w:shd w:val="clear" w:color="auto" w:fill="F2F3F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F2F3F2"/>
          </w:tcPr>
          <w:p>
            <w:pPr>
              <w:spacing w:after="0"/>
              <w:rPr>
                <w:sz w:val="22"/>
                <w:szCs w:val="22"/>
                <w:color w:val="auto"/>
              </w:rPr>
            </w:pP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(11,701)</w:t>
            </w:r>
          </w:p>
        </w:tc>
        <w:tc>
          <w:tcPr>
            <w:tcW w:w="40" w:type="dxa"/>
            <w:vAlign w:val="bottom"/>
            <w:shd w:val="clear" w:color="auto" w:fill="F2F3F2"/>
          </w:tcPr>
          <w:p>
            <w:pPr>
              <w:spacing w:after="0"/>
              <w:rPr>
                <w:sz w:val="22"/>
                <w:szCs w:val="22"/>
                <w:color w:val="auto"/>
              </w:rPr>
            </w:pPr>
          </w:p>
        </w:tc>
        <w:tc>
          <w:tcPr>
            <w:tcW w:w="240" w:type="dxa"/>
            <w:vAlign w:val="bottom"/>
            <w:shd w:val="clear" w:color="auto" w:fill="F2F3F2"/>
          </w:tcPr>
          <w:p>
            <w:pPr>
              <w:spacing w:after="0"/>
              <w:rPr>
                <w:sz w:val="22"/>
                <w:szCs w:val="22"/>
                <w:color w:val="auto"/>
              </w:rPr>
            </w:pPr>
          </w:p>
        </w:tc>
        <w:tc>
          <w:tcPr>
            <w:tcW w:w="860" w:type="dxa"/>
            <w:vAlign w:val="bottom"/>
            <w:gridSpan w:val="2"/>
            <w:shd w:val="clear" w:color="auto" w:fill="F2F3F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3F2"/>
          </w:tcPr>
          <w:p>
            <w:pPr>
              <w:spacing w:after="0"/>
              <w:rPr>
                <w:sz w:val="22"/>
                <w:szCs w:val="22"/>
                <w:color w:val="auto"/>
              </w:rPr>
            </w:pPr>
          </w:p>
        </w:tc>
        <w:tc>
          <w:tcPr>
            <w:tcW w:w="820" w:type="dxa"/>
            <w:vAlign w:val="bottom"/>
            <w:gridSpan w:val="2"/>
            <w:shd w:val="clear" w:color="auto" w:fill="F2F3F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3520" w:type="dxa"/>
            <w:vAlign w:val="bottom"/>
          </w:tcPr>
          <w:p>
            <w:pPr>
              <w:ind w:left="400"/>
              <w:spacing w:after="0"/>
              <w:rPr>
                <w:sz w:val="20"/>
                <w:szCs w:val="20"/>
                <w:color w:val="auto"/>
              </w:rPr>
            </w:pPr>
            <w:r>
              <w:rPr>
                <w:rFonts w:ascii="Arial" w:cs="Arial" w:eastAsia="Arial" w:hAnsi="Arial"/>
                <w:sz w:val="14"/>
                <w:szCs w:val="14"/>
                <w:color w:val="auto"/>
              </w:rPr>
              <w:t>Other losses (gains), net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804</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56"/>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Transaction-related expenses</w:t>
            </w: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8,521</w:t>
            </w:r>
          </w:p>
        </w:tc>
        <w:tc>
          <w:tcPr>
            <w:tcW w:w="60" w:type="dxa"/>
            <w:vAlign w:val="bottom"/>
            <w:shd w:val="clear" w:color="auto" w:fill="F2F3F2"/>
          </w:tcPr>
          <w:p>
            <w:pPr>
              <w:spacing w:after="0"/>
              <w:rPr>
                <w:sz w:val="22"/>
                <w:szCs w:val="22"/>
                <w:color w:val="auto"/>
              </w:rPr>
            </w:pPr>
          </w:p>
        </w:tc>
        <w:tc>
          <w:tcPr>
            <w:tcW w:w="220" w:type="dxa"/>
            <w:vAlign w:val="bottom"/>
            <w:shd w:val="clear" w:color="auto" w:fill="F2F3F2"/>
          </w:tcPr>
          <w:p>
            <w:pPr>
              <w:spacing w:after="0"/>
              <w:rPr>
                <w:sz w:val="22"/>
                <w:szCs w:val="22"/>
                <w:color w:val="auto"/>
              </w:rPr>
            </w:pP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2,861</w:t>
            </w:r>
          </w:p>
        </w:tc>
        <w:tc>
          <w:tcPr>
            <w:tcW w:w="40" w:type="dxa"/>
            <w:vAlign w:val="bottom"/>
            <w:shd w:val="clear" w:color="auto" w:fill="F2F3F2"/>
          </w:tcPr>
          <w:p>
            <w:pPr>
              <w:spacing w:after="0"/>
              <w:rPr>
                <w:sz w:val="22"/>
                <w:szCs w:val="22"/>
                <w:color w:val="auto"/>
              </w:rPr>
            </w:pP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357</w:t>
            </w:r>
          </w:p>
        </w:tc>
        <w:tc>
          <w:tcPr>
            <w:tcW w:w="60" w:type="dxa"/>
            <w:vAlign w:val="bottom"/>
            <w:shd w:val="clear" w:color="auto" w:fill="F2F3F2"/>
          </w:tcPr>
          <w:p>
            <w:pPr>
              <w:spacing w:after="0"/>
              <w:rPr>
                <w:sz w:val="22"/>
                <w:szCs w:val="22"/>
                <w:color w:val="auto"/>
              </w:rPr>
            </w:pPr>
          </w:p>
        </w:tc>
        <w:tc>
          <w:tcPr>
            <w:tcW w:w="280" w:type="dxa"/>
            <w:vAlign w:val="bottom"/>
            <w:shd w:val="clear" w:color="auto" w:fill="F2F3F2"/>
          </w:tcPr>
          <w:p>
            <w:pPr>
              <w:spacing w:after="0"/>
              <w:rPr>
                <w:sz w:val="22"/>
                <w:szCs w:val="22"/>
                <w:color w:val="auto"/>
              </w:rPr>
            </w:pPr>
          </w:p>
        </w:tc>
        <w:tc>
          <w:tcPr>
            <w:tcW w:w="7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50</w:t>
            </w:r>
          </w:p>
        </w:tc>
        <w:tc>
          <w:tcPr>
            <w:tcW w:w="60" w:type="dxa"/>
            <w:vAlign w:val="bottom"/>
            <w:shd w:val="clear" w:color="auto" w:fill="F2F3F2"/>
          </w:tcPr>
          <w:p>
            <w:pPr>
              <w:spacing w:after="0"/>
              <w:rPr>
                <w:sz w:val="22"/>
                <w:szCs w:val="22"/>
                <w:color w:val="auto"/>
              </w:rPr>
            </w:pP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93"/>
        </w:trPr>
        <w:tc>
          <w:tcPr>
            <w:tcW w:w="3520" w:type="dxa"/>
            <w:vAlign w:val="bottom"/>
          </w:tcPr>
          <w:p>
            <w:pPr>
              <w:ind w:left="400"/>
              <w:spacing w:after="0"/>
              <w:rPr>
                <w:sz w:val="20"/>
                <w:szCs w:val="20"/>
                <w:color w:val="auto"/>
              </w:rPr>
            </w:pPr>
            <w:r>
              <w:rPr>
                <w:rFonts w:ascii="Arial" w:cs="Arial" w:eastAsia="Arial" w:hAnsi="Arial"/>
                <w:sz w:val="14"/>
                <w:szCs w:val="14"/>
                <w:color w:val="auto"/>
              </w:rPr>
              <w:t>Unrealized losses (gains) on long-term</w:t>
            </w: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15,396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26,262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(26,964)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520" w:type="dxa"/>
            <w:vAlign w:val="bottom"/>
          </w:tcPr>
          <w:p>
            <w:pPr>
              <w:ind w:left="400"/>
              <w:spacing w:after="0"/>
              <w:rPr>
                <w:sz w:val="20"/>
                <w:szCs w:val="20"/>
                <w:color w:val="auto"/>
              </w:rPr>
            </w:pPr>
            <w:r>
              <w:rPr>
                <w:rFonts w:ascii="Arial" w:cs="Arial" w:eastAsia="Arial" w:hAnsi="Arial"/>
                <w:sz w:val="14"/>
                <w:szCs w:val="14"/>
                <w:color w:val="auto"/>
              </w:rPr>
              <w:t>investments, net</w:t>
            </w: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520" w:type="dxa"/>
            <w:vAlign w:val="bottom"/>
            <w:shd w:val="clear" w:color="auto" w:fill="F2F3F2"/>
          </w:tcPr>
          <w:p>
            <w:pPr>
              <w:ind w:left="400"/>
              <w:spacing w:after="0"/>
              <w:rPr>
                <w:sz w:val="20"/>
                <w:szCs w:val="20"/>
                <w:color w:val="auto"/>
              </w:rPr>
            </w:pPr>
            <w:r>
              <w:rPr>
                <w:rFonts w:ascii="Arial" w:cs="Arial" w:eastAsia="Arial" w:hAnsi="Arial"/>
                <w:sz w:val="14"/>
                <w:szCs w:val="14"/>
                <w:color w:val="auto"/>
              </w:rPr>
              <w:t>Gains on sales of businesses</w:t>
            </w:r>
          </w:p>
        </w:tc>
        <w:tc>
          <w:tcPr>
            <w:tcW w:w="240" w:type="dxa"/>
            <w:vAlign w:val="bottom"/>
            <w:shd w:val="clear" w:color="auto" w:fill="F2F3F2"/>
          </w:tcPr>
          <w:p>
            <w:pPr>
              <w:spacing w:after="0"/>
              <w:rPr>
                <w:sz w:val="22"/>
                <w:szCs w:val="22"/>
                <w:color w:val="auto"/>
              </w:rPr>
            </w:pPr>
          </w:p>
        </w:tc>
        <w:tc>
          <w:tcPr>
            <w:tcW w:w="860" w:type="dxa"/>
            <w:vAlign w:val="bottom"/>
            <w:gridSpan w:val="2"/>
            <w:shd w:val="clear" w:color="auto" w:fill="F2F3F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F2F3F2"/>
          </w:tcPr>
          <w:p>
            <w:pPr>
              <w:spacing w:after="0"/>
              <w:rPr>
                <w:sz w:val="22"/>
                <w:szCs w:val="22"/>
                <w:color w:val="auto"/>
              </w:rPr>
            </w:pP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(3,597)</w:t>
            </w:r>
          </w:p>
        </w:tc>
        <w:tc>
          <w:tcPr>
            <w:tcW w:w="40" w:type="dxa"/>
            <w:vAlign w:val="bottom"/>
            <w:shd w:val="clear" w:color="auto" w:fill="F2F3F2"/>
          </w:tcPr>
          <w:p>
            <w:pPr>
              <w:spacing w:after="0"/>
              <w:rPr>
                <w:sz w:val="22"/>
                <w:szCs w:val="22"/>
                <w:color w:val="auto"/>
              </w:rPr>
            </w:pPr>
          </w:p>
        </w:tc>
        <w:tc>
          <w:tcPr>
            <w:tcW w:w="240" w:type="dxa"/>
            <w:vAlign w:val="bottom"/>
            <w:shd w:val="clear" w:color="auto" w:fill="F2F3F2"/>
          </w:tcPr>
          <w:p>
            <w:pPr>
              <w:spacing w:after="0"/>
              <w:rPr>
                <w:sz w:val="22"/>
                <w:szCs w:val="22"/>
                <w:color w:val="auto"/>
              </w:rPr>
            </w:pPr>
          </w:p>
        </w:tc>
        <w:tc>
          <w:tcPr>
            <w:tcW w:w="860" w:type="dxa"/>
            <w:vAlign w:val="bottom"/>
            <w:gridSpan w:val="2"/>
            <w:shd w:val="clear" w:color="auto" w:fill="F2F3F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3F2"/>
          </w:tcPr>
          <w:p>
            <w:pPr>
              <w:spacing w:after="0"/>
              <w:rPr>
                <w:sz w:val="22"/>
                <w:szCs w:val="22"/>
                <w:color w:val="auto"/>
              </w:rPr>
            </w:pPr>
          </w:p>
        </w:tc>
        <w:tc>
          <w:tcPr>
            <w:tcW w:w="820" w:type="dxa"/>
            <w:vAlign w:val="bottom"/>
            <w:gridSpan w:val="2"/>
            <w:shd w:val="clear" w:color="auto" w:fill="F2F3F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F2F3F2"/>
          </w:tcPr>
          <w:p>
            <w:pPr>
              <w:spacing w:after="0"/>
              <w:rPr>
                <w:sz w:val="22"/>
                <w:szCs w:val="22"/>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(31,510)</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F2F3F2"/>
            </w:tcBorders>
          </w:tcPr>
          <w:p>
            <w:pPr>
              <w:ind w:left="400"/>
              <w:spacing w:after="0"/>
              <w:rPr>
                <w:sz w:val="20"/>
                <w:szCs w:val="20"/>
                <w:color w:val="auto"/>
              </w:rPr>
            </w:pPr>
            <w:r>
              <w:rPr>
                <w:rFonts w:ascii="Arial" w:cs="Arial" w:eastAsia="Arial" w:hAnsi="Arial"/>
                <w:sz w:val="14"/>
                <w:szCs w:val="14"/>
                <w:color w:val="auto"/>
              </w:rPr>
              <w:t>Tax effect of adjustments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(11,654)</w:t>
            </w:r>
          </w:p>
        </w:tc>
        <w:tc>
          <w:tcPr>
            <w:tcW w:w="60" w:type="dxa"/>
            <w:vAlign w:val="bottom"/>
            <w:tcBorders>
              <w:bottom w:val="single" w:sz="8" w:color="F2F3F2"/>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40" w:type="dxa"/>
            <w:vAlign w:val="bottom"/>
            <w:tcBorders>
              <w:bottom w:val="single" w:sz="8" w:color="F2F3F2"/>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(12,175)</w:t>
            </w:r>
          </w:p>
        </w:tc>
        <w:tc>
          <w:tcPr>
            <w:tcW w:w="60" w:type="dxa"/>
            <w:vAlign w:val="bottom"/>
            <w:tcBorders>
              <w:bottom w:val="single" w:sz="8" w:color="F2F3F2"/>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60" w:type="dxa"/>
            <w:vAlign w:val="bottom"/>
            <w:tcBorders>
              <w:bottom w:val="single" w:sz="8" w:color="F2F3F2"/>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236"/>
        </w:trPr>
        <w:tc>
          <w:tcPr>
            <w:tcW w:w="3520" w:type="dxa"/>
            <w:vAlign w:val="bottom"/>
            <w:shd w:val="clear" w:color="auto" w:fill="F2F3F2"/>
          </w:tcPr>
          <w:p>
            <w:pPr>
              <w:ind w:left="720"/>
              <w:spacing w:after="0"/>
              <w:rPr>
                <w:sz w:val="20"/>
                <w:szCs w:val="20"/>
                <w:color w:val="auto"/>
              </w:rPr>
            </w:pPr>
            <w:r>
              <w:rPr>
                <w:rFonts w:ascii="Arial" w:cs="Arial" w:eastAsia="Arial" w:hAnsi="Arial"/>
                <w:sz w:val="14"/>
                <w:szCs w:val="14"/>
                <w:color w:val="auto"/>
              </w:rPr>
              <w:t>Total adjustments, net of tax</w:t>
            </w:r>
          </w:p>
        </w:tc>
        <w:tc>
          <w:tcPr>
            <w:tcW w:w="240" w:type="dxa"/>
            <w:vAlign w:val="bottom"/>
            <w:tcBorders>
              <w:bottom w:val="single" w:sz="8" w:color="auto"/>
            </w:tcBorders>
            <w:shd w:val="clear" w:color="auto" w:fill="F2F3F2"/>
          </w:tcPr>
          <w:p>
            <w:pPr>
              <w:spacing w:after="0"/>
              <w:rPr>
                <w:sz w:val="20"/>
                <w:szCs w:val="20"/>
                <w:color w:val="auto"/>
              </w:rPr>
            </w:pP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35,805</w:t>
            </w:r>
          </w:p>
        </w:tc>
        <w:tc>
          <w:tcPr>
            <w:tcW w:w="60" w:type="dxa"/>
            <w:vAlign w:val="bottom"/>
            <w:shd w:val="clear" w:color="auto" w:fill="F2F3F2"/>
          </w:tcPr>
          <w:p>
            <w:pPr>
              <w:spacing w:after="0"/>
              <w:rPr>
                <w:sz w:val="20"/>
                <w:szCs w:val="20"/>
                <w:color w:val="auto"/>
              </w:rPr>
            </w:pPr>
          </w:p>
        </w:tc>
        <w:tc>
          <w:tcPr>
            <w:tcW w:w="220" w:type="dxa"/>
            <w:vAlign w:val="bottom"/>
            <w:tcBorders>
              <w:bottom w:val="single" w:sz="8" w:color="auto"/>
            </w:tcBorders>
            <w:shd w:val="clear" w:color="auto" w:fill="F2F3F2"/>
          </w:tcPr>
          <w:p>
            <w:pPr>
              <w:spacing w:after="0"/>
              <w:rPr>
                <w:sz w:val="20"/>
                <w:szCs w:val="20"/>
                <w:color w:val="auto"/>
              </w:rPr>
            </w:pPr>
          </w:p>
        </w:tc>
        <w:tc>
          <w:tcPr>
            <w:tcW w:w="82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3,820</w:t>
            </w:r>
          </w:p>
        </w:tc>
        <w:tc>
          <w:tcPr>
            <w:tcW w:w="40" w:type="dxa"/>
            <w:vAlign w:val="bottom"/>
            <w:shd w:val="clear" w:color="auto" w:fill="F2F3F2"/>
          </w:tcPr>
          <w:p>
            <w:pPr>
              <w:spacing w:after="0"/>
              <w:rPr>
                <w:sz w:val="20"/>
                <w:szCs w:val="20"/>
                <w:color w:val="auto"/>
              </w:rPr>
            </w:pPr>
          </w:p>
        </w:tc>
        <w:tc>
          <w:tcPr>
            <w:tcW w:w="240" w:type="dxa"/>
            <w:vAlign w:val="bottom"/>
            <w:tcBorders>
              <w:bottom w:val="single" w:sz="8" w:color="auto"/>
            </w:tcBorders>
            <w:shd w:val="clear" w:color="auto" w:fill="F2F3F2"/>
          </w:tcPr>
          <w:p>
            <w:pPr>
              <w:spacing w:after="0"/>
              <w:rPr>
                <w:sz w:val="20"/>
                <w:szCs w:val="20"/>
                <w:color w:val="auto"/>
              </w:rPr>
            </w:pP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33,769</w:t>
            </w:r>
          </w:p>
        </w:tc>
        <w:tc>
          <w:tcPr>
            <w:tcW w:w="60" w:type="dxa"/>
            <w:vAlign w:val="bottom"/>
            <w:shd w:val="clear" w:color="auto" w:fill="F2F3F2"/>
          </w:tcPr>
          <w:p>
            <w:pPr>
              <w:spacing w:after="0"/>
              <w:rPr>
                <w:sz w:val="20"/>
                <w:szCs w:val="20"/>
                <w:color w:val="auto"/>
              </w:rPr>
            </w:pPr>
          </w:p>
        </w:tc>
        <w:tc>
          <w:tcPr>
            <w:tcW w:w="280" w:type="dxa"/>
            <w:vAlign w:val="bottom"/>
            <w:tcBorders>
              <w:bottom w:val="single" w:sz="8" w:color="auto"/>
            </w:tcBorders>
            <w:shd w:val="clear" w:color="auto" w:fill="F2F3F2"/>
          </w:tcPr>
          <w:p>
            <w:pPr>
              <w:spacing w:after="0"/>
              <w:rPr>
                <w:sz w:val="20"/>
                <w:szCs w:val="20"/>
                <w:color w:val="auto"/>
              </w:rPr>
            </w:pPr>
          </w:p>
        </w:tc>
        <w:tc>
          <w:tcPr>
            <w:tcW w:w="7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(4,410)</w:t>
            </w:r>
          </w:p>
        </w:tc>
        <w:tc>
          <w:tcPr>
            <w:tcW w:w="60" w:type="dxa"/>
            <w:vAlign w:val="bottom"/>
            <w:shd w:val="clear" w:color="auto" w:fill="F2F3F2"/>
          </w:tcPr>
          <w:p>
            <w:pPr>
              <w:spacing w:after="0"/>
              <w:rPr>
                <w:sz w:val="20"/>
                <w:szCs w:val="20"/>
                <w:color w:val="auto"/>
              </w:rPr>
            </w:pPr>
          </w:p>
        </w:tc>
        <w:tc>
          <w:tcPr>
            <w:tcW w:w="240" w:type="dxa"/>
            <w:vAlign w:val="bottom"/>
            <w:tcBorders>
              <w:bottom w:val="single" w:sz="8" w:color="auto"/>
            </w:tcBorders>
            <w:shd w:val="clear" w:color="auto" w:fill="F2F3F2"/>
          </w:tcPr>
          <w:p>
            <w:pPr>
              <w:spacing w:after="0"/>
              <w:rPr>
                <w:sz w:val="20"/>
                <w:szCs w:val="20"/>
                <w:color w:val="auto"/>
              </w:rPr>
            </w:pPr>
          </w:p>
        </w:tc>
        <w:tc>
          <w:tcPr>
            <w:tcW w:w="8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(6,136)</w:t>
            </w:r>
          </w:p>
        </w:tc>
        <w:tc>
          <w:tcPr>
            <w:tcW w:w="0" w:type="dxa"/>
            <w:vAlign w:val="bottom"/>
          </w:tcPr>
          <w:p>
            <w:pPr>
              <w:spacing w:after="0"/>
              <w:rPr>
                <w:sz w:val="1"/>
                <w:szCs w:val="1"/>
                <w:color w:val="auto"/>
              </w:rPr>
            </w:pPr>
          </w:p>
        </w:tc>
      </w:tr>
      <w:tr>
        <w:trPr>
          <w:trHeight w:val="210"/>
        </w:trPr>
        <w:tc>
          <w:tcPr>
            <w:tcW w:w="3520" w:type="dxa"/>
            <w:vAlign w:val="bottom"/>
          </w:tcPr>
          <w:p>
            <w:pPr>
              <w:ind w:left="140"/>
              <w:spacing w:after="0"/>
              <w:rPr>
                <w:sz w:val="20"/>
                <w:szCs w:val="20"/>
                <w:color w:val="auto"/>
              </w:rPr>
            </w:pPr>
            <w:r>
              <w:rPr>
                <w:rFonts w:ascii="Arial" w:cs="Arial" w:eastAsia="Arial" w:hAnsi="Arial"/>
                <w:sz w:val="14"/>
                <w:szCs w:val="14"/>
                <w:b w:val="1"/>
                <w:bCs w:val="1"/>
                <w:color w:val="auto"/>
              </w:rPr>
              <w:t>Adjusted net income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140,845</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120,446</w:t>
            </w: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96,248</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71,142</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56,851</w:t>
            </w:r>
          </w:p>
        </w:tc>
        <w:tc>
          <w:tcPr>
            <w:tcW w:w="0" w:type="dxa"/>
            <w:vAlign w:val="bottom"/>
          </w:tcPr>
          <w:p>
            <w:pPr>
              <w:spacing w:after="0"/>
              <w:rPr>
                <w:sz w:val="1"/>
                <w:szCs w:val="1"/>
                <w:color w:val="auto"/>
              </w:rPr>
            </w:pPr>
          </w:p>
        </w:tc>
      </w:tr>
      <w:tr>
        <w:trPr>
          <w:trHeight w:val="20"/>
        </w:trPr>
        <w:tc>
          <w:tcPr>
            <w:tcW w:w="3520" w:type="dxa"/>
            <w:vAlign w:val="bottom"/>
            <w:tcBorders>
              <w:bottom w:val="single" w:sz="8" w:color="F2F3F2"/>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2F3F2"/>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Adjusted weighted average shares - diluted</w:t>
            </w:r>
          </w:p>
        </w:tc>
        <w:tc>
          <w:tcPr>
            <w:tcW w:w="240" w:type="dxa"/>
            <w:vAlign w:val="bottom"/>
            <w:shd w:val="clear" w:color="auto" w:fill="F2F3F2"/>
          </w:tcPr>
          <w:p>
            <w:pPr>
              <w:spacing w:after="0"/>
              <w:rPr>
                <w:sz w:val="19"/>
                <w:szCs w:val="19"/>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17,991</w:t>
            </w:r>
          </w:p>
        </w:tc>
        <w:tc>
          <w:tcPr>
            <w:tcW w:w="60" w:type="dxa"/>
            <w:vAlign w:val="bottom"/>
            <w:shd w:val="clear" w:color="auto" w:fill="F2F3F2"/>
          </w:tcPr>
          <w:p>
            <w:pPr>
              <w:spacing w:after="0"/>
              <w:rPr>
                <w:sz w:val="19"/>
                <w:szCs w:val="19"/>
                <w:color w:val="auto"/>
              </w:rPr>
            </w:pPr>
          </w:p>
        </w:tc>
        <w:tc>
          <w:tcPr>
            <w:tcW w:w="220" w:type="dxa"/>
            <w:vAlign w:val="bottom"/>
            <w:shd w:val="clear" w:color="auto" w:fill="F2F3F2"/>
          </w:tcPr>
          <w:p>
            <w:pPr>
              <w:spacing w:after="0"/>
              <w:rPr>
                <w:sz w:val="19"/>
                <w:szCs w:val="19"/>
                <w:color w:val="auto"/>
              </w:rPr>
            </w:pP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18,613</w:t>
            </w:r>
          </w:p>
        </w:tc>
        <w:tc>
          <w:tcPr>
            <w:tcW w:w="40" w:type="dxa"/>
            <w:vAlign w:val="bottom"/>
            <w:shd w:val="clear" w:color="auto" w:fill="F2F3F2"/>
          </w:tcPr>
          <w:p>
            <w:pPr>
              <w:spacing w:after="0"/>
              <w:rPr>
                <w:sz w:val="19"/>
                <w:szCs w:val="19"/>
                <w:color w:val="auto"/>
              </w:rPr>
            </w:pPr>
          </w:p>
        </w:tc>
        <w:tc>
          <w:tcPr>
            <w:tcW w:w="240" w:type="dxa"/>
            <w:vAlign w:val="bottom"/>
            <w:shd w:val="clear" w:color="auto" w:fill="F2F3F2"/>
          </w:tcPr>
          <w:p>
            <w:pPr>
              <w:spacing w:after="0"/>
              <w:rPr>
                <w:sz w:val="19"/>
                <w:szCs w:val="19"/>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19,601</w:t>
            </w:r>
          </w:p>
        </w:tc>
        <w:tc>
          <w:tcPr>
            <w:tcW w:w="60" w:type="dxa"/>
            <w:vAlign w:val="bottom"/>
            <w:shd w:val="clear" w:color="auto" w:fill="F2F3F2"/>
          </w:tcPr>
          <w:p>
            <w:pPr>
              <w:spacing w:after="0"/>
              <w:rPr>
                <w:sz w:val="19"/>
                <w:szCs w:val="19"/>
                <w:color w:val="auto"/>
              </w:rPr>
            </w:pPr>
          </w:p>
        </w:tc>
        <w:tc>
          <w:tcPr>
            <w:tcW w:w="280" w:type="dxa"/>
            <w:vAlign w:val="bottom"/>
            <w:shd w:val="clear" w:color="auto" w:fill="F2F3F2"/>
          </w:tcPr>
          <w:p>
            <w:pPr>
              <w:spacing w:after="0"/>
              <w:rPr>
                <w:sz w:val="19"/>
                <w:szCs w:val="19"/>
                <w:color w:val="auto"/>
              </w:rPr>
            </w:pPr>
          </w:p>
        </w:tc>
        <w:tc>
          <w:tcPr>
            <w:tcW w:w="7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20,746</w:t>
            </w:r>
          </w:p>
        </w:tc>
        <w:tc>
          <w:tcPr>
            <w:tcW w:w="60" w:type="dxa"/>
            <w:vAlign w:val="bottom"/>
            <w:shd w:val="clear" w:color="auto" w:fill="F2F3F2"/>
          </w:tcPr>
          <w:p>
            <w:pPr>
              <w:spacing w:after="0"/>
              <w:rPr>
                <w:sz w:val="19"/>
                <w:szCs w:val="19"/>
                <w:color w:val="auto"/>
              </w:rPr>
            </w:pPr>
          </w:p>
        </w:tc>
        <w:tc>
          <w:tcPr>
            <w:tcW w:w="240" w:type="dxa"/>
            <w:vAlign w:val="bottom"/>
            <w:shd w:val="clear" w:color="auto" w:fill="F2F3F2"/>
          </w:tcPr>
          <w:p>
            <w:pPr>
              <w:spacing w:after="0"/>
              <w:rPr>
                <w:sz w:val="19"/>
                <w:szCs w:val="19"/>
                <w:color w:val="auto"/>
              </w:rPr>
            </w:pPr>
          </w:p>
        </w:tc>
        <w:tc>
          <w:tcPr>
            <w:tcW w:w="8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21,809</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4"/>
                <w:szCs w:val="14"/>
                <w:b w:val="1"/>
                <w:bCs w:val="1"/>
                <w:color w:val="auto"/>
              </w:rPr>
              <w:t>Adjusted diluted earnings per share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6.47</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59"/>
          </w:cols>
          <w:pgMar w:left="1400" w:top="1440" w:right="1440" w:bottom="558" w:gutter="0" w:footer="0" w:header="0"/>
        </w:sectPr>
      </w:pPr>
    </w:p>
    <w:p>
      <w:pPr>
        <w:spacing w:after="0" w:line="200" w:lineRule="exact"/>
        <w:rPr>
          <w:sz w:val="20"/>
          <w:szCs w:val="20"/>
          <w:color w:val="auto"/>
        </w:rPr>
      </w:pPr>
    </w:p>
    <w:p>
      <w:pPr>
        <w:spacing w:after="0" w:line="244" w:lineRule="exact"/>
        <w:rPr>
          <w:sz w:val="20"/>
          <w:szCs w:val="20"/>
          <w:color w:val="auto"/>
        </w:rPr>
      </w:pPr>
    </w:p>
    <w:p>
      <w:pPr>
        <w:ind w:left="60"/>
        <w:spacing w:after="0"/>
        <w:tabs>
          <w:tab w:leader="none" w:pos="442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342900</wp:posOffset>
            </wp:positionV>
            <wp:extent cx="6810375" cy="281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10375" cy="281940"/>
                    </a:xfrm>
                    <a:prstGeom prst="rect">
                      <a:avLst/>
                    </a:prstGeom>
                    <a:noFill/>
                  </pic:spPr>
                </pic:pic>
              </a:graphicData>
            </a:graphic>
          </wp:anchor>
        </w:drawing>
      </w:r>
    </w:p>
    <w:p>
      <w:pPr>
        <w:sectPr>
          <w:pgSz w:w="11900" w:h="16838" w:orient="portrait"/>
          <w:cols w:equalWidth="0" w:num="1">
            <w:col w:w="9059"/>
          </w:cols>
          <w:pgMar w:left="1400" w:top="1440" w:right="1440" w:bottom="558" w:gutter="0" w:footer="0" w:header="0"/>
          <w:type w:val="continuous"/>
        </w:sectPr>
      </w:pPr>
    </w:p>
    <w:bookmarkStart w:id="74" w:name="page75"/>
    <w:bookmarkEnd w:id="74"/>
    <w:tbl>
      <w:tblPr>
        <w:tblLayout w:type="fixed"/>
        <w:tblInd w:w="6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Arial" w:cs="Arial" w:eastAsia="Arial" w:hAnsi="Arial"/>
                <w:sz w:val="13"/>
                <w:szCs w:val="13"/>
                <w:b w:val="1"/>
                <w:bCs w:val="1"/>
                <w:color w:val="B2B3B6"/>
              </w:rPr>
              <w:t>General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180" w:type="dxa"/>
            <w:vAlign w:val="bottom"/>
          </w:tcPr>
          <w:p>
            <w:pPr>
              <w:ind w:left="140"/>
              <w:spacing w:after="0"/>
              <w:rPr>
                <w:sz w:val="20"/>
                <w:szCs w:val="20"/>
                <w:color w:val="auto"/>
              </w:rPr>
            </w:pPr>
            <w:r>
              <w:rPr>
                <w:rFonts w:ascii="Arial" w:cs="Arial" w:eastAsia="Arial" w:hAnsi="Arial"/>
                <w:sz w:val="13"/>
                <w:szCs w:val="13"/>
                <w:b w:val="1"/>
                <w:bCs w:val="1"/>
                <w:color w:val="B2B3B6"/>
              </w:rPr>
              <w:t>Executive</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114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700" w:type="dxa"/>
            <w:vAlign w:val="bottom"/>
          </w:tcPr>
          <w:p>
            <w:pPr>
              <w:ind w:left="40"/>
              <w:spacing w:after="0"/>
              <w:rPr>
                <w:sz w:val="20"/>
                <w:szCs w:val="20"/>
                <w:color w:val="auto"/>
              </w:rPr>
            </w:pPr>
            <w:r>
              <w:rPr>
                <w:rFonts w:ascii="Arial" w:cs="Arial" w:eastAsia="Arial" w:hAnsi="Arial"/>
                <w:sz w:val="13"/>
                <w:szCs w:val="13"/>
                <w:b w:val="1"/>
                <w:bCs w:val="1"/>
                <w:color w:val="6AAA37"/>
              </w:rPr>
              <w:t>Other</w:t>
            </w:r>
          </w:p>
        </w:tc>
      </w:tr>
      <w:tr>
        <w:trPr>
          <w:trHeight w:val="172"/>
        </w:trPr>
        <w:tc>
          <w:tcPr>
            <w:tcW w:w="86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80" w:type="dxa"/>
            <w:vAlign w:val="bottom"/>
          </w:tcPr>
          <w:p>
            <w:pPr>
              <w:ind w:left="140"/>
              <w:spacing w:after="0"/>
              <w:rPr>
                <w:sz w:val="20"/>
                <w:szCs w:val="20"/>
                <w:color w:val="auto"/>
              </w:rPr>
            </w:pPr>
            <w:r>
              <w:rPr>
                <w:rFonts w:ascii="Arial" w:cs="Arial" w:eastAsia="Arial" w:hAnsi="Arial"/>
                <w:sz w:val="13"/>
                <w:szCs w:val="13"/>
                <w:b w:val="1"/>
                <w:bCs w:val="1"/>
                <w:color w:val="B2B3B6"/>
              </w:rPr>
              <w:t>Compensation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Three</w:t>
            </w:r>
          </w:p>
        </w:tc>
        <w:tc>
          <w:tcPr>
            <w:tcW w:w="114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700" w:type="dxa"/>
            <w:vAlign w:val="bottom"/>
          </w:tcPr>
          <w:p>
            <w:pPr>
              <w:ind w:left="40"/>
              <w:spacing w:after="0"/>
              <w:rPr>
                <w:sz w:val="20"/>
                <w:szCs w:val="20"/>
                <w:color w:val="auto"/>
              </w:rPr>
            </w:pPr>
            <w:r>
              <w:rPr>
                <w:rFonts w:ascii="Arial" w:cs="Arial" w:eastAsia="Arial" w:hAnsi="Arial"/>
                <w:sz w:val="13"/>
                <w:szCs w:val="13"/>
                <w:b w:val="1"/>
                <w:bCs w:val="1"/>
                <w:color w:val="6AAA37"/>
              </w:rPr>
              <w:t>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-200025</wp:posOffset>
            </wp:positionV>
            <wp:extent cx="6810375" cy="85744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0375" cy="857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tcPr>
          <w:p>
            <w:pPr>
              <w:jc w:val="right"/>
              <w:ind w:right="9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9"/>
        </w:trPr>
        <w:tc>
          <w:tcPr>
            <w:tcW w:w="4280" w:type="dxa"/>
            <w:vAlign w:val="bottom"/>
            <w:tcBorders>
              <w:bottom w:val="single" w:sz="8" w:color="F2F3F2"/>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F2F3F2"/>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1380" w:type="dxa"/>
            <w:vAlign w:val="bottom"/>
            <w:tcBorders>
              <w:bottom w:val="single" w:sz="8" w:color="auto"/>
            </w:tcBorders>
            <w:shd w:val="clear" w:color="auto" w:fill="F2F3F2"/>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193,394</w:t>
            </w:r>
          </w:p>
        </w:tc>
        <w:tc>
          <w:tcPr>
            <w:tcW w:w="60" w:type="dxa"/>
            <w:vAlign w:val="bottom"/>
            <w:tcBorders>
              <w:bottom w:val="single" w:sz="8" w:color="F2F3F2"/>
            </w:tcBorders>
            <w:shd w:val="clear" w:color="auto" w:fill="F2F3F2"/>
          </w:tcPr>
          <w:p>
            <w:pPr>
              <w:spacing w:after="0"/>
              <w:rPr>
                <w:sz w:val="21"/>
                <w:szCs w:val="21"/>
                <w:color w:val="auto"/>
              </w:rPr>
            </w:pPr>
          </w:p>
        </w:tc>
        <w:tc>
          <w:tcPr>
            <w:tcW w:w="900" w:type="dxa"/>
            <w:vAlign w:val="bottom"/>
            <w:tcBorders>
              <w:bottom w:val="single" w:sz="8" w:color="auto"/>
            </w:tcBorders>
            <w:shd w:val="clear" w:color="auto" w:fill="F2F3F2"/>
          </w:tcPr>
          <w:p>
            <w:pPr>
              <w:jc w:val="right"/>
              <w:ind w:right="6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201,319</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Less:</w:t>
            </w:r>
          </w:p>
        </w:tc>
        <w:tc>
          <w:tcPr>
            <w:tcW w:w="1380" w:type="dxa"/>
            <w:vAlign w:val="bottom"/>
            <w:tcBorders>
              <w:top w:val="single" w:sz="8" w:color="F2F3F2"/>
              <w:bottom w:val="single" w:sz="8" w:color="auto"/>
            </w:tcBorders>
          </w:tcPr>
          <w:p>
            <w:pPr>
              <w:spacing w:after="0" w:line="20" w:lineRule="exact"/>
              <w:rPr>
                <w:sz w:val="1"/>
                <w:szCs w:val="1"/>
                <w:color w:val="auto"/>
              </w:rPr>
            </w:pPr>
          </w:p>
        </w:tc>
        <w:tc>
          <w:tcPr>
            <w:tcW w:w="9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900" w:type="dxa"/>
            <w:vAlign w:val="bottom"/>
            <w:tcBorders>
              <w:top w:val="single" w:sz="8" w:color="F2F3F2"/>
              <w:bottom w:val="single" w:sz="8" w:color="auto"/>
            </w:tcBorders>
          </w:tcPr>
          <w:p>
            <w:pPr>
              <w:spacing w:after="0" w:line="20" w:lineRule="exact"/>
              <w:rPr>
                <w:sz w:val="1"/>
                <w:szCs w:val="1"/>
                <w:color w:val="auto"/>
              </w:rPr>
            </w:pPr>
          </w:p>
        </w:tc>
        <w:tc>
          <w:tcPr>
            <w:tcW w:w="14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F2F3F2"/>
          </w:tcPr>
          <w:p>
            <w:pPr>
              <w:ind w:left="400"/>
              <w:spacing w:after="0"/>
              <w:rPr>
                <w:sz w:val="20"/>
                <w:szCs w:val="20"/>
                <w:color w:val="auto"/>
              </w:rPr>
            </w:pPr>
            <w:r>
              <w:rPr>
                <w:rFonts w:ascii="Arial" w:cs="Arial" w:eastAsia="Arial" w:hAnsi="Arial"/>
                <w:sz w:val="14"/>
                <w:szCs w:val="14"/>
                <w:color w:val="auto"/>
              </w:rPr>
              <w:t>Purchases of property and equipment</w:t>
            </w:r>
          </w:p>
        </w:tc>
        <w:tc>
          <w:tcPr>
            <w:tcW w:w="1380" w:type="dxa"/>
            <w:vAlign w:val="bottom"/>
            <w:shd w:val="clear" w:color="auto" w:fill="F2F3F2"/>
          </w:tcPr>
          <w:p>
            <w:pPr>
              <w:spacing w:after="0"/>
              <w:rPr>
                <w:sz w:val="23"/>
                <w:szCs w:val="23"/>
                <w:color w:val="auto"/>
              </w:rPr>
            </w:pPr>
          </w:p>
        </w:tc>
        <w:tc>
          <w:tcPr>
            <w:tcW w:w="9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10,437</w:t>
            </w:r>
          </w:p>
        </w:tc>
        <w:tc>
          <w:tcPr>
            <w:tcW w:w="60" w:type="dxa"/>
            <w:vAlign w:val="bottom"/>
            <w:shd w:val="clear" w:color="auto" w:fill="F2F3F2"/>
          </w:tcPr>
          <w:p>
            <w:pPr>
              <w:spacing w:after="0"/>
              <w:rPr>
                <w:sz w:val="23"/>
                <w:szCs w:val="23"/>
                <w:color w:val="auto"/>
              </w:rPr>
            </w:pPr>
          </w:p>
        </w:tc>
        <w:tc>
          <w:tcPr>
            <w:tcW w:w="900" w:type="dxa"/>
            <w:vAlign w:val="bottom"/>
            <w:shd w:val="clear" w:color="auto" w:fill="F2F3F2"/>
          </w:tcPr>
          <w:p>
            <w:pPr>
              <w:spacing w:after="0"/>
              <w:rPr>
                <w:sz w:val="23"/>
                <w:szCs w:val="23"/>
                <w:color w:val="auto"/>
              </w:rPr>
            </w:pPr>
          </w:p>
        </w:tc>
        <w:tc>
          <w:tcPr>
            <w:tcW w:w="14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8,651</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F2F3F2"/>
            </w:tcBorders>
          </w:tcPr>
          <w:p>
            <w:pPr>
              <w:ind w:left="400"/>
              <w:spacing w:after="0"/>
              <w:rPr>
                <w:sz w:val="20"/>
                <w:szCs w:val="20"/>
                <w:color w:val="auto"/>
              </w:rPr>
            </w:pPr>
            <w:r>
              <w:rPr>
                <w:rFonts w:ascii="Arial" w:cs="Arial" w:eastAsia="Arial" w:hAnsi="Arial"/>
                <w:sz w:val="14"/>
                <w:szCs w:val="14"/>
                <w:color w:val="auto"/>
              </w:rPr>
              <w:t>Capitalization of internally developed software costs</w:t>
            </w:r>
          </w:p>
        </w:tc>
        <w:tc>
          <w:tcPr>
            <w:tcW w:w="1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20,647</w:t>
            </w:r>
          </w:p>
        </w:tc>
        <w:tc>
          <w:tcPr>
            <w:tcW w:w="60" w:type="dxa"/>
            <w:vAlign w:val="bottom"/>
            <w:tcBorders>
              <w:bottom w:val="single" w:sz="8" w:color="F2F3F2"/>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23,932</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Free cash flow</w:t>
            </w:r>
          </w:p>
        </w:tc>
        <w:tc>
          <w:tcPr>
            <w:tcW w:w="1380" w:type="dxa"/>
            <w:vAlign w:val="bottom"/>
            <w:tcBorders>
              <w:bottom w:val="single" w:sz="8" w:color="auto"/>
            </w:tcBorders>
            <w:shd w:val="clear" w:color="auto" w:fill="F2F3F2"/>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162,310</w:t>
            </w:r>
          </w:p>
        </w:tc>
        <w:tc>
          <w:tcPr>
            <w:tcW w:w="60" w:type="dxa"/>
            <w:vAlign w:val="bottom"/>
            <w:tcBorders>
              <w:bottom w:val="single" w:sz="8" w:color="F2F3F2"/>
            </w:tcBorders>
            <w:shd w:val="clear" w:color="auto" w:fill="F2F3F2"/>
          </w:tcPr>
          <w:p>
            <w:pPr>
              <w:spacing w:after="0"/>
              <w:rPr>
                <w:sz w:val="21"/>
                <w:szCs w:val="21"/>
                <w:color w:val="auto"/>
              </w:rPr>
            </w:pPr>
          </w:p>
        </w:tc>
        <w:tc>
          <w:tcPr>
            <w:tcW w:w="900" w:type="dxa"/>
            <w:vAlign w:val="bottom"/>
            <w:tcBorders>
              <w:bottom w:val="single" w:sz="8" w:color="auto"/>
            </w:tcBorders>
            <w:shd w:val="clear" w:color="auto" w:fill="F2F3F2"/>
          </w:tcPr>
          <w:p>
            <w:pPr>
              <w:jc w:val="right"/>
              <w:ind w:right="6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168,736</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tcBorders>
          </w:tcPr>
          <w:p>
            <w:pPr>
              <w:spacing w:after="0" w:line="20" w:lineRule="exact"/>
              <w:rPr>
                <w:sz w:val="1"/>
                <w:szCs w:val="1"/>
                <w:color w:val="auto"/>
              </w:rPr>
            </w:pPr>
          </w:p>
        </w:tc>
        <w:tc>
          <w:tcPr>
            <w:tcW w:w="1380" w:type="dxa"/>
            <w:vAlign w:val="bottom"/>
            <w:tcBorders>
              <w:top w:val="single" w:sz="8" w:color="F2F3F2"/>
              <w:bottom w:val="single" w:sz="8" w:color="auto"/>
            </w:tcBorders>
          </w:tcPr>
          <w:p>
            <w:pPr>
              <w:spacing w:after="0" w:line="20" w:lineRule="exact"/>
              <w:rPr>
                <w:sz w:val="1"/>
                <w:szCs w:val="1"/>
                <w:color w:val="auto"/>
              </w:rPr>
            </w:pPr>
          </w:p>
        </w:tc>
        <w:tc>
          <w:tcPr>
            <w:tcW w:w="9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900" w:type="dxa"/>
            <w:vAlign w:val="bottom"/>
            <w:tcBorders>
              <w:top w:val="single" w:sz="8" w:color="F2F3F2"/>
              <w:bottom w:val="single" w:sz="8" w:color="auto"/>
            </w:tcBorders>
          </w:tcPr>
          <w:p>
            <w:pPr>
              <w:spacing w:after="0" w:line="20" w:lineRule="exact"/>
              <w:rPr>
                <w:sz w:val="1"/>
                <w:szCs w:val="1"/>
                <w:color w:val="auto"/>
              </w:rPr>
            </w:pPr>
          </w:p>
        </w:tc>
        <w:tc>
          <w:tcPr>
            <w:tcW w:w="14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Total Revenues to Organic Revenues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jc w:val="right"/>
              <w:ind w:right="76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5"/>
        </w:trPr>
        <w:tc>
          <w:tcPr>
            <w:tcW w:w="6700" w:type="dxa"/>
            <w:vAlign w:val="bottom"/>
            <w:tcBorders>
              <w:bottom w:val="single" w:sz="8" w:color="F2F3F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54"/>
        </w:trPr>
        <w:tc>
          <w:tcPr>
            <w:tcW w:w="670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1,699,143</w:t>
            </w:r>
          </w:p>
        </w:tc>
        <w:tc>
          <w:tcPr>
            <w:tcW w:w="0" w:type="dxa"/>
            <w:vAlign w:val="bottom"/>
          </w:tcPr>
          <w:p>
            <w:pPr>
              <w:spacing w:after="0"/>
              <w:rPr>
                <w:sz w:val="1"/>
                <w:szCs w:val="1"/>
                <w:color w:val="auto"/>
              </w:rPr>
            </w:pPr>
          </w:p>
        </w:tc>
      </w:tr>
      <w:tr>
        <w:trPr>
          <w:trHeight w:val="20"/>
        </w:trPr>
        <w:tc>
          <w:tcPr>
            <w:tcW w:w="670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Less:</w:t>
            </w:r>
          </w:p>
        </w:tc>
        <w:tc>
          <w:tcPr>
            <w:tcW w:w="320" w:type="dxa"/>
            <w:vAlign w:val="bottom"/>
            <w:tcBorders>
              <w:top w:val="single" w:sz="8" w:color="F2F3F2"/>
              <w:bottom w:val="single" w:sz="8" w:color="auto"/>
            </w:tcBorders>
          </w:tcPr>
          <w:p>
            <w:pPr>
              <w:spacing w:after="0" w:line="20" w:lineRule="exact"/>
              <w:rPr>
                <w:sz w:val="1"/>
                <w:szCs w:val="1"/>
                <w:color w:val="auto"/>
              </w:rPr>
            </w:pPr>
          </w:p>
        </w:tc>
        <w:tc>
          <w:tcPr>
            <w:tcW w:w="206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shd w:val="clear" w:color="auto" w:fill="F2F3F2"/>
          </w:tcPr>
          <w:p>
            <w:pPr>
              <w:ind w:left="400"/>
              <w:spacing w:after="0"/>
              <w:rPr>
                <w:sz w:val="20"/>
                <w:szCs w:val="20"/>
                <w:color w:val="auto"/>
              </w:rPr>
            </w:pPr>
            <w:r>
              <w:rPr>
                <w:rFonts w:ascii="Arial" w:cs="Arial" w:eastAsia="Arial" w:hAnsi="Arial"/>
                <w:sz w:val="14"/>
                <w:szCs w:val="14"/>
                <w:color w:val="auto"/>
              </w:rPr>
              <w:t>Reimbursable expenses</w:t>
            </w:r>
          </w:p>
        </w:tc>
        <w:tc>
          <w:tcPr>
            <w:tcW w:w="320" w:type="dxa"/>
            <w:vAlign w:val="bottom"/>
            <w:shd w:val="clear" w:color="auto" w:fill="F2F3F2"/>
          </w:tcPr>
          <w:p>
            <w:pPr>
              <w:spacing w:after="0"/>
              <w:rPr>
                <w:sz w:val="23"/>
                <w:szCs w:val="23"/>
                <w:color w:val="auto"/>
              </w:rPr>
            </w:pPr>
          </w:p>
        </w:tc>
        <w:tc>
          <w:tcPr>
            <w:tcW w:w="20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36,307</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F2F3F2"/>
            </w:tcBorders>
          </w:tcPr>
          <w:p>
            <w:pPr>
              <w:ind w:left="400"/>
              <w:spacing w:after="0"/>
              <w:rPr>
                <w:sz w:val="20"/>
                <w:szCs w:val="20"/>
                <w:color w:val="auto"/>
              </w:rPr>
            </w:pPr>
            <w:r>
              <w:rPr>
                <w:rFonts w:ascii="Arial" w:cs="Arial" w:eastAsia="Arial" w:hAnsi="Arial"/>
                <w:sz w:val="14"/>
                <w:szCs w:val="14"/>
                <w:color w:val="auto"/>
              </w:rPr>
              <w:t>Revenues generated by acquired businesses</w:t>
            </w:r>
          </w:p>
        </w:tc>
        <w:tc>
          <w:tcPr>
            <w:tcW w:w="3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36,251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Organic revenues</w:t>
            </w:r>
          </w:p>
        </w:tc>
        <w:tc>
          <w:tcPr>
            <w:tcW w:w="32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1,626,585</w:t>
            </w:r>
          </w:p>
        </w:tc>
        <w:tc>
          <w:tcPr>
            <w:tcW w:w="0" w:type="dxa"/>
            <w:vAlign w:val="bottom"/>
          </w:tcPr>
          <w:p>
            <w:pPr>
              <w:spacing w:after="0"/>
              <w:rPr>
                <w:sz w:val="1"/>
                <w:szCs w:val="1"/>
                <w:color w:val="auto"/>
              </w:rPr>
            </w:pPr>
          </w:p>
        </w:tc>
      </w:tr>
      <w:tr>
        <w:trPr>
          <w:trHeight w:val="20"/>
        </w:trPr>
        <w:tc>
          <w:tcPr>
            <w:tcW w:w="6700" w:type="dxa"/>
            <w:vAlign w:val="bottom"/>
            <w:tcBorders>
              <w:top w:val="single" w:sz="8" w:color="F2F3F2"/>
            </w:tcBorders>
          </w:tcPr>
          <w:p>
            <w:pPr>
              <w:spacing w:after="0" w:line="20" w:lineRule="exact"/>
              <w:rPr>
                <w:sz w:val="1"/>
                <w:szCs w:val="1"/>
                <w:color w:val="auto"/>
              </w:rPr>
            </w:pPr>
          </w:p>
        </w:tc>
        <w:tc>
          <w:tcPr>
            <w:tcW w:w="320" w:type="dxa"/>
            <w:vAlign w:val="bottom"/>
            <w:tcBorders>
              <w:top w:val="single" w:sz="8" w:color="F2F3F2"/>
              <w:bottom w:val="single" w:sz="8" w:color="auto"/>
            </w:tcBorders>
          </w:tcPr>
          <w:p>
            <w:pPr>
              <w:spacing w:after="0" w:line="20" w:lineRule="exact"/>
              <w:rPr>
                <w:sz w:val="1"/>
                <w:szCs w:val="1"/>
                <w:color w:val="auto"/>
              </w:rPr>
            </w:pPr>
          </w:p>
        </w:tc>
        <w:tc>
          <w:tcPr>
            <w:tcW w:w="206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tabs>
          <w:tab w:leader="none" w:pos="440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342900</wp:posOffset>
            </wp:positionV>
            <wp:extent cx="6810375" cy="18592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10375" cy="1859280"/>
                    </a:xfrm>
                    <a:prstGeom prst="rect">
                      <a:avLst/>
                    </a:prstGeom>
                    <a:noFill/>
                  </pic:spPr>
                </pic:pic>
              </a:graphicData>
            </a:graphic>
          </wp:anchor>
        </w:drawing>
      </w:r>
    </w:p>
    <w:p>
      <w:pPr>
        <w:sectPr>
          <w:pgSz w:w="11900" w:h="16838" w:orient="portrait"/>
          <w:cols w:equalWidth="0" w:num="1">
            <w:col w:w="9080"/>
          </w:cols>
          <w:pgMar w:left="1400" w:top="134" w:right="1419" w:bottom="144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4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10375" cy="3842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lowerRoman"/>
      <w:start w:val="2"/>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2"/>
      <w:numFmt w:val="bullet"/>
      <w:start w:val="1"/>
    </w:lvl>
  </w:abstractNum>
  <w:abstractNum w:abstractNumId="10">
    <w:nsid w:val="542289EC"/>
    <w:multiLevelType w:val="hybridMultilevel"/>
    <w:lvl w:ilvl="0">
      <w:lvlJc w:val="left"/>
      <w:lvlText w:val="4"/>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lvl w:ilvl="1">
      <w:lvlJc w:val="left"/>
      <w:lvlText w:val="\endash "/>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4"/>
    </w:lvl>
  </w:abstractNum>
  <w:abstractNum w:abstractNumId="46">
    <w:nsid w:val="5FF87E05"/>
    <w:multiLevelType w:val="hybridMultilevel"/>
    <w:lvl w:ilvl="0">
      <w:lvlJc w:val="left"/>
      <w:lvlText w:val="(%1)"/>
      <w:numFmt w:val="decimal"/>
      <w:start w:val="5"/>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7"/>
      <w:numFmt w:val="bullet"/>
      <w:start w:val="1"/>
    </w:lvl>
  </w:abstractNum>
  <w:abstractNum w:abstractNumId="50">
    <w:nsid w:val="4AD084E9"/>
    <w:multiLevelType w:val="hybridMultilevel"/>
    <w:lvl w:ilvl="0">
      <w:lvlJc w:val="left"/>
      <w:lvlText w:val="ü"/>
      <w:numFmt w:val="bullet"/>
      <w:start w:val="1"/>
    </w:lvl>
  </w:abstractNum>
  <w:abstractNum w:abstractNumId="51">
    <w:nsid w:val="1F48EAA1"/>
    <w:multiLevelType w:val="hybridMultilevel"/>
    <w:lvl w:ilvl="0">
      <w:lvlJc w:val="left"/>
      <w:lvlText w:val="û"/>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8"/>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9"/>
      <w:numFmt w:val="bullet"/>
      <w:start w:val="1"/>
    </w:lvl>
  </w:abstractNum>
  <w:abstractNum w:abstractNumId="60">
    <w:nsid w:val="6B94764"/>
    <w:multiLevelType w:val="hybridMultilevel"/>
    <w:lvl w:ilvl="0">
      <w:lvlJc w:val="left"/>
      <w:lvlText w:val="%1"/>
      <w:numFmt w:val="decimal"/>
      <w:start w:val="10"/>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2"/>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5"/>
    </w:lvl>
  </w:abstractNum>
  <w:abstractNum w:abstractNumId="67">
    <w:nsid w:val="7BD3EE7B"/>
    <w:multiLevelType w:val="hybridMultilevel"/>
    <w:lvl w:ilvl="0">
      <w:lvlJc w:val="left"/>
      <w:lvlText w:val="(%1)"/>
      <w:numFmt w:val="decimal"/>
      <w:start w:val="6"/>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decimal"/>
      <w:start w:val="1"/>
    </w:lvl>
    <w:lvl w:ilvl="1">
      <w:lvlJc w:val="left"/>
      <w:lvlText w:val="(%2)"/>
      <w:numFmt w:val="lowerLetter"/>
      <w:start w:val="1"/>
    </w:lvl>
  </w:abstractNum>
  <w:abstractNum w:abstractNumId="75">
    <w:nsid w:val="1A32234B"/>
    <w:multiLevelType w:val="hybridMultilevel"/>
    <w:lvl w:ilvl="0">
      <w:lvlJc w:val="left"/>
      <w:lvlText w:val="(%1)"/>
      <w:numFmt w:val="decimal"/>
      <w:start w:val="3"/>
    </w:lvl>
    <w:lvl w:ilvl="1">
      <w:lvlJc w:val="left"/>
      <w:lvlText w:val="%2"/>
      <w:numFmt w:val="lowerLetter"/>
      <w:start w:val="1"/>
    </w:lvl>
  </w:abstractNum>
  <w:abstractNum w:abstractNumId="76">
    <w:nsid w:val="3B0FD379"/>
    <w:multiLevelType w:val="hybridMultilevel"/>
    <w:lvl w:ilvl="0">
      <w:lvlJc w:val="left"/>
      <w:lvlText w:val="(%1)"/>
      <w:numFmt w:val="decimal"/>
      <w:start w:val="1"/>
    </w:lvl>
    <w:lvl w:ilvl="1">
      <w:lvlJc w:val="left"/>
      <w:lvlText w:val="\endash "/>
      <w:numFmt w:val="bullet"/>
      <w:start w:val="1"/>
    </w:lvl>
  </w:abstractNum>
  <w:abstractNum w:abstractNumId="77">
    <w:nsid w:val="68EB2F63"/>
    <w:multiLevelType w:val="hybridMultilevel"/>
    <w:lvl w:ilvl="0">
      <w:lvlJc w:val="left"/>
      <w:lvlText w:val="(%1)"/>
      <w:numFmt w:val="decimal"/>
      <w:start w:val="4"/>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lowerRoman"/>
      <w:start w:val="2"/>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2026-03-20T12:03:37Z</dcterms:created>
  <dcterms:modified xsi:type="dcterms:W3CDTF">2026-03-20T12:03:37Z</dcterms:modified>
</cp:coreProperties>
</file>