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-199390</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186055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80" w:right="1560" w:hanging="3945"/>
        <w:spacing w:after="0" w:line="328" w:lineRule="auto"/>
        <w:tabs>
          <w:tab w:leader="none" w:pos="689"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 w:lineRule="exact"/>
        <w:rPr>
          <w:rFonts w:ascii="MS PGothic" w:cs="MS PGothic" w:eastAsia="MS PGothic" w:hAnsi="MS PGothic"/>
          <w:sz w:val="17"/>
          <w:szCs w:val="17"/>
          <w:color w:val="auto"/>
        </w:rPr>
      </w:pPr>
    </w:p>
    <w:p>
      <w:pPr>
        <w:ind w:left="55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320" w:right="1560" w:hanging="4285"/>
        <w:spacing w:after="0" w:line="376" w:lineRule="auto"/>
        <w:tabs>
          <w:tab w:leader="none" w:pos="690" w:val="left"/>
        </w:tabs>
        <w:numPr>
          <w:ilvl w:val="0"/>
          <w:numId w:val="2"/>
        </w:numPr>
        <w:rPr>
          <w:rFonts w:ascii="Arial" w:cs="Arial" w:eastAsia="Arial" w:hAnsi="Arial"/>
          <w:sz w:val="17"/>
          <w:szCs w:val="17"/>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-302895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14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left="3459"/>
              <w:spacing w:after="0"/>
              <w:rPr>
                <w:sz w:val="20"/>
                <w:szCs w:val="20"/>
                <w:color w:val="auto"/>
              </w:rPr>
            </w:pPr>
            <w:r>
              <w:rPr>
                <w:rFonts w:ascii="Arial" w:cs="Arial" w:eastAsia="Arial" w:hAnsi="Arial"/>
                <w:sz w:val="18"/>
                <w:szCs w:val="18"/>
                <w:b w:val="1"/>
                <w:bCs w:val="1"/>
                <w:color w:val="auto"/>
                <w:w w:val="89"/>
              </w:rPr>
              <w:t>01-0666114</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(State or other jurisdiction of</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 or organization)</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Arial" w:cs="Arial" w:eastAsia="Arial" w:hAnsi="Arial"/>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161925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5" w:lineRule="exact"/>
        <w:rPr>
          <w:sz w:val="24"/>
          <w:szCs w:val="24"/>
          <w:color w:val="auto"/>
        </w:rPr>
      </w:pPr>
    </w:p>
    <w:p>
      <w:pPr>
        <w:ind w:right="16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ind w:right="10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19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280" w:type="dxa"/>
            <w:vAlign w:val="bottom"/>
          </w:tcPr>
          <w:p>
            <w:pPr>
              <w:ind w:left="860"/>
              <w:spacing w:after="0"/>
              <w:rPr>
                <w:sz w:val="20"/>
                <w:szCs w:val="20"/>
                <w:color w:val="auto"/>
              </w:rPr>
            </w:pPr>
            <w:r>
              <w:rPr>
                <w:rFonts w:ascii="Arial" w:cs="Arial" w:eastAsia="Arial" w:hAnsi="Arial"/>
                <w:sz w:val="17"/>
                <w:szCs w:val="17"/>
                <w:color w:val="auto"/>
              </w:rPr>
              <w:t>Accelerated filer</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58"/>
        </w:trPr>
        <w:tc>
          <w:tcPr>
            <w:tcW w:w="1940" w:type="dxa"/>
            <w:vAlign w:val="bottom"/>
          </w:tcPr>
          <w:p>
            <w:pPr>
              <w:spacing w:after="0"/>
              <w:rPr>
                <w:sz w:val="20"/>
                <w:szCs w:val="20"/>
                <w:color w:val="auto"/>
              </w:rPr>
            </w:pPr>
            <w:r>
              <w:rPr>
                <w:rFonts w:ascii="Arial" w:cs="Arial" w:eastAsia="Arial" w:hAnsi="Arial"/>
                <w:sz w:val="17"/>
                <w:szCs w:val="17"/>
                <w:color w:val="auto"/>
              </w:rPr>
              <w:t>Non-accelerated filer</w:t>
            </w:r>
          </w:p>
        </w:tc>
        <w:tc>
          <w:tcPr>
            <w:tcW w:w="4560" w:type="dxa"/>
            <w:vAlign w:val="bottom"/>
          </w:tcPr>
          <w:p>
            <w:pPr>
              <w:ind w:left="400"/>
              <w:spacing w:after="0"/>
              <w:rPr>
                <w:sz w:val="20"/>
                <w:szCs w:val="20"/>
                <w:color w:val="auto"/>
              </w:rPr>
            </w:pPr>
            <w:r>
              <w:rPr>
                <w:rFonts w:ascii="Arial" w:cs="Arial" w:eastAsia="Arial" w:hAnsi="Arial"/>
                <w:sz w:val="17"/>
                <w:szCs w:val="17"/>
                <w:color w:val="auto"/>
              </w:rPr>
              <w:t>o (Do not check if a smaller reporting company)</w:t>
            </w:r>
          </w:p>
        </w:tc>
        <w:tc>
          <w:tcPr>
            <w:tcW w:w="3280" w:type="dxa"/>
            <w:vAlign w:val="bottom"/>
          </w:tcPr>
          <w:p>
            <w:pPr>
              <w:ind w:left="860"/>
              <w:spacing w:after="0"/>
              <w:rPr>
                <w:sz w:val="20"/>
                <w:szCs w:val="20"/>
                <w:color w:val="auto"/>
              </w:rPr>
            </w:pPr>
            <w:r>
              <w:rPr>
                <w:rFonts w:ascii="Arial" w:cs="Arial" w:eastAsia="Arial" w:hAnsi="Arial"/>
                <w:sz w:val="17"/>
                <w:szCs w:val="17"/>
                <w:color w:val="auto"/>
              </w:rPr>
              <w:t>Smaller reporting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92"/>
        </w:trPr>
        <w:tc>
          <w:tcPr>
            <w:tcW w:w="19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80" w:type="dxa"/>
            <w:vAlign w:val="bottom"/>
          </w:tcPr>
          <w:p>
            <w:pPr>
              <w:ind w:left="860"/>
              <w:spacing w:after="0"/>
              <w:rPr>
                <w:sz w:val="20"/>
                <w:szCs w:val="20"/>
                <w:color w:val="auto"/>
              </w:rPr>
            </w:pPr>
            <w:r>
              <w:rPr>
                <w:rFonts w:ascii="Arial" w:cs="Arial" w:eastAsia="Arial" w:hAnsi="Arial"/>
                <w:sz w:val="17"/>
                <w:szCs w:val="17"/>
                <w:color w:val="auto"/>
              </w:rPr>
              <w:t>Emerging growth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bl>
    <w:p>
      <w:pPr>
        <w:spacing w:after="0" w:line="67" w:lineRule="exact"/>
        <w:rPr>
          <w:sz w:val="24"/>
          <w:szCs w:val="24"/>
          <w:color w:val="auto"/>
        </w:rPr>
      </w:pPr>
    </w:p>
    <w:p>
      <w:pPr>
        <w:ind w:right="160"/>
        <w:spacing w:after="0" w:line="27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96" w:lineRule="exact"/>
        <w:tabs>
          <w:tab w:leader="none" w:pos="79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As of July 24, 2018, 22,465,985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34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Other Comprehensive Income</w:t>
              </w:r>
            </w:hyperlink>
          </w:p>
        </w:tc>
        <w:tc>
          <w:tcPr>
            <w:tcW w:w="338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w:t>
              </w:r>
            </w:hyperlink>
          </w:p>
        </w:tc>
        <w:tc>
          <w:tcPr>
            <w:tcW w:w="5240" w:type="dxa"/>
            <w:vAlign w:val="bottom"/>
            <w:gridSpan w:val="4"/>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40" w:type="dxa"/>
            <w:vAlign w:val="bottom"/>
            <w:gridSpan w:val="14"/>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4320" w:type="dxa"/>
            <w:vAlign w:val="bottom"/>
            <w:gridSpan w:val="1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300" w:type="dxa"/>
            <w:vAlign w:val="bottom"/>
            <w:gridSpan w:val="4"/>
          </w:tcPr>
          <w:p>
            <w:pPr>
              <w:spacing w:after="0"/>
              <w:rPr>
                <w:rFonts w:ascii="Arial" w:cs="Arial" w:eastAsia="Arial" w:hAnsi="Arial"/>
                <w:sz w:val="18"/>
                <w:szCs w:val="18"/>
                <w:color w:val="0000EE"/>
                <w:w w:val="84"/>
              </w:rPr>
            </w:pPr>
            <w:hyperlink w:anchor="page50">
              <w:r>
                <w:rPr>
                  <w:rFonts w:ascii="Arial" w:cs="Arial" w:eastAsia="Arial" w:hAnsi="Arial"/>
                  <w:sz w:val="18"/>
                  <w:szCs w:val="18"/>
                  <w:color w:val="0000EE"/>
                  <w:w w:val="8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30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30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300" w:type="dxa"/>
            <w:vAlign w:val="bottom"/>
            <w:gridSpan w:val="4"/>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1300" w:type="dxa"/>
            <w:vAlign w:val="bottom"/>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5"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Receivables from clients,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105,095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101,778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57,618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209,866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191,295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16,752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25,375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645,655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645,750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1,050,003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1,036,928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payroll and related benefits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73,698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contingent consideration for business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27,916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contingent consideration for business acquisitions, net of current portion</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342,507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lease incentives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15,333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395,337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394,145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Common stock; $0.01 par value; 500,000,000 shares authorized; 24,987,534 and 24,560,468 shares issued at June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 2018 and December 31, 2017,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92"/>
              </w:rPr>
              <w:t>Treasury stock, at cost, 2,521,246 and 2,443,577 shares at June 30, 2018 and December 31, 2017, respectively</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434,256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180,443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518,739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503,316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1,050,003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1,036,928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0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057"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655"/>
              <w:spacing w:after="0"/>
              <w:rPr>
                <w:sz w:val="20"/>
                <w:szCs w:val="20"/>
                <w:color w:val="auto"/>
              </w:rPr>
            </w:pPr>
            <w:r>
              <w:rPr>
                <w:rFonts w:ascii="Arial" w:cs="Arial" w:eastAsia="Arial" w:hAnsi="Arial"/>
                <w:sz w:val="17"/>
                <w:szCs w:val="17"/>
                <w:b w:val="1"/>
                <w:bCs w:val="1"/>
                <w:color w:val="auto"/>
              </w:rPr>
              <w:t>Six Months Ended</w:t>
            </w:r>
          </w:p>
        </w:tc>
      </w:tr>
      <w:tr>
        <w:trPr>
          <w:trHeight w:val="222"/>
        </w:trPr>
        <w:tc>
          <w:tcPr>
            <w:tcW w:w="5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3"/>
          </w:tcPr>
          <w:p>
            <w:pPr>
              <w:jc w:val="right"/>
              <w:ind w:right="55"/>
              <w:spacing w:after="0"/>
              <w:rPr>
                <w:sz w:val="20"/>
                <w:szCs w:val="20"/>
                <w:color w:val="auto"/>
              </w:rPr>
            </w:pPr>
            <w:r>
              <w:rPr>
                <w:rFonts w:ascii="Arial" w:cs="Arial" w:eastAsia="Arial" w:hAnsi="Arial"/>
                <w:sz w:val="17"/>
                <w:szCs w:val="17"/>
                <w:b w:val="1"/>
                <w:bCs w:val="1"/>
                <w:color w:val="auto"/>
              </w:rPr>
              <w:t>June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rPr>
              <w:t>June 30,</w:t>
            </w:r>
          </w:p>
        </w:tc>
        <w:tc>
          <w:tcPr>
            <w:tcW w:w="980" w:type="dxa"/>
            <w:vAlign w:val="bottom"/>
          </w:tcPr>
          <w:p>
            <w:pPr>
              <w:spacing w:after="0"/>
              <w:rPr>
                <w:sz w:val="19"/>
                <w:szCs w:val="19"/>
                <w:color w:val="auto"/>
              </w:rPr>
            </w:pPr>
          </w:p>
        </w:tc>
      </w:tr>
      <w:tr>
        <w:trPr>
          <w:trHeight w:val="31"/>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3"/>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5"/>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5"/>
              <w:spacing w:after="0"/>
              <w:rPr>
                <w:sz w:val="20"/>
                <w:szCs w:val="20"/>
                <w:color w:val="auto"/>
              </w:rPr>
            </w:pPr>
            <w:r>
              <w:rPr>
                <w:rFonts w:ascii="Arial" w:cs="Arial" w:eastAsia="Arial" w:hAnsi="Arial"/>
                <w:sz w:val="17"/>
                <w:szCs w:val="17"/>
                <w:b w:val="1"/>
                <w:bCs w:val="1"/>
                <w:color w:val="auto"/>
              </w:rPr>
              <w:t>2017</w:t>
            </w:r>
          </w:p>
        </w:tc>
      </w:tr>
      <w:tr>
        <w:trPr>
          <w:trHeight w:val="31"/>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 and 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Revenues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197,544</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181,418</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391,223</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370,267</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Reimbursable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20,733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20,930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38,352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37,880</w:t>
            </w:r>
          </w:p>
        </w:tc>
      </w:tr>
      <w:tr>
        <w:trPr>
          <w:trHeight w:val="219"/>
        </w:trPr>
        <w:tc>
          <w:tcPr>
            <w:tcW w:w="5620" w:type="dxa"/>
            <w:vAlign w:val="bottom"/>
          </w:tcPr>
          <w:p>
            <w:pPr>
              <w:ind w:left="380"/>
              <w:spacing w:after="0"/>
              <w:rPr>
                <w:sz w:val="20"/>
                <w:szCs w:val="20"/>
                <w:color w:val="auto"/>
              </w:rPr>
            </w:pPr>
            <w:r>
              <w:rPr>
                <w:rFonts w:ascii="Arial" w:cs="Arial" w:eastAsia="Arial" w:hAnsi="Arial"/>
                <w:sz w:val="17"/>
                <w:szCs w:val="17"/>
                <w:color w:val="auto"/>
              </w:rPr>
              <w:t>Total revenues and reimbursable expenses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218,277</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202,348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429,575</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408,147</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 xml:space="preserve">Direct costs and reimbursable expenses </w:t>
            </w:r>
            <w:r>
              <w:rPr>
                <w:rFonts w:ascii="Arial" w:cs="Arial" w:eastAsia="Arial" w:hAnsi="Arial"/>
                <w:sz w:val="17"/>
                <w:szCs w:val="17"/>
                <w:color w:val="auto"/>
              </w:rPr>
              <w:t>(exclusive of depreciation and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shown in operating expenses):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Direct costs</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127,574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113,669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260,360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229,410</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intangible assets and software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5,731</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Reimbursable expenses</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20,915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20,953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38,464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37,822</w:t>
            </w:r>
          </w:p>
        </w:tc>
      </w:tr>
      <w:tr>
        <w:trPr>
          <w:trHeight w:val="31"/>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direct costs and 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149,457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137,367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301,010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272,963</w:t>
            </w:r>
          </w:p>
        </w:tc>
      </w:tr>
      <w:tr>
        <w:trPr>
          <w:trHeight w:val="206"/>
        </w:trPr>
        <w:tc>
          <w:tcPr>
            <w:tcW w:w="5620" w:type="dxa"/>
            <w:vAlign w:val="bottom"/>
          </w:tcPr>
          <w:p>
            <w:pPr>
              <w:ind w:left="40"/>
              <w:spacing w:after="0"/>
              <w:rPr>
                <w:sz w:val="20"/>
                <w:szCs w:val="20"/>
                <w:color w:val="auto"/>
              </w:rPr>
            </w:pPr>
            <w:r>
              <w:rPr>
                <w:rFonts w:ascii="Arial" w:cs="Arial" w:eastAsia="Arial" w:hAnsi="Arial"/>
                <w:sz w:val="17"/>
                <w:szCs w:val="17"/>
                <w:b w:val="1"/>
                <w:bCs w:val="1"/>
                <w:color w:val="auto"/>
              </w:rPr>
              <w:t>Operating expenses and other gains, net</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58"/>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45,488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92,566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90,561</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1,984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3,669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2,696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3,948</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Litigation and other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(1,102)</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8,917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9,684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17,720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18,603</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impairment charge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209,600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209,600</w:t>
            </w:r>
          </w:p>
        </w:tc>
      </w:tr>
      <w:tr>
        <w:trPr>
          <w:trHeight w:val="219"/>
        </w:trPr>
        <w:tc>
          <w:tcPr>
            <w:tcW w:w="5620" w:type="dxa"/>
            <w:vAlign w:val="bottom"/>
          </w:tcPr>
          <w:p>
            <w:pPr>
              <w:ind w:left="380"/>
              <w:spacing w:after="0"/>
              <w:rPr>
                <w:sz w:val="20"/>
                <w:szCs w:val="20"/>
                <w:color w:val="auto"/>
              </w:rPr>
            </w:pPr>
            <w:r>
              <w:rPr>
                <w:rFonts w:ascii="Arial" w:cs="Arial" w:eastAsia="Arial" w:hAnsi="Arial"/>
                <w:sz w:val="17"/>
                <w:szCs w:val="17"/>
                <w:color w:val="auto"/>
              </w:rPr>
              <w:t>Total operating expenses and other gains, net</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49,682</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265,556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107,105</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321,610</w:t>
            </w:r>
          </w:p>
        </w:tc>
      </w:tr>
      <w:tr>
        <w:trPr>
          <w:trHeight w:val="31"/>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19,138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(200,575)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21,460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(186,426)</w:t>
            </w:r>
          </w:p>
        </w:tc>
      </w:tr>
      <w:tr>
        <w:trPr>
          <w:trHeight w:val="226"/>
        </w:trPr>
        <w:tc>
          <w:tcPr>
            <w:tcW w:w="562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5"/>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 of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(8,931)</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Other income (expense),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1,516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(5,838)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2,274</w:t>
            </w:r>
          </w:p>
        </w:tc>
      </w:tr>
      <w:tr>
        <w:trPr>
          <w:trHeight w:val="31"/>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(6,657)</w:t>
            </w: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Income (loss) from continuing operations before taxes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8,423</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(203,986)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5,614</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(193,083)</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2,561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(53,504)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(47,756)</w:t>
            </w: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Net income (loss) from continuing operations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5,862</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(150,482)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2,640</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(145,327)</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452</w:t>
            </w: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5,372</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(150,173)</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2,108</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(144,875)</w:t>
            </w:r>
          </w:p>
        </w:tc>
      </w:tr>
      <w:tr>
        <w:trPr>
          <w:trHeight w:val="71"/>
        </w:trPr>
        <w:tc>
          <w:tcPr>
            <w:tcW w:w="5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79"/>
        </w:trPr>
        <w:tc>
          <w:tcPr>
            <w:tcW w:w="562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basic share: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72"/>
        </w:trPr>
        <w:tc>
          <w:tcPr>
            <w:tcW w:w="56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39"/>
        </w:trPr>
        <w:tc>
          <w:tcPr>
            <w:tcW w:w="562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0.27</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0.12</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(6.80)</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0.02</w:t>
            </w:r>
          </w:p>
        </w:tc>
      </w:tr>
      <w:tr>
        <w:trPr>
          <w:trHeight w:val="219"/>
        </w:trPr>
        <w:tc>
          <w:tcPr>
            <w:tcW w:w="562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(6.99)</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0.10</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(6.78)</w:t>
            </w:r>
          </w:p>
        </w:tc>
      </w:tr>
      <w:tr>
        <w:trPr>
          <w:trHeight w:val="71"/>
        </w:trPr>
        <w:tc>
          <w:tcPr>
            <w:tcW w:w="5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79"/>
        </w:trPr>
        <w:tc>
          <w:tcPr>
            <w:tcW w:w="562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Net earnings (loss) per diluted share: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72"/>
        </w:trPr>
        <w:tc>
          <w:tcPr>
            <w:tcW w:w="56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39"/>
        </w:trPr>
        <w:tc>
          <w:tcPr>
            <w:tcW w:w="5620" w:type="dxa"/>
            <w:vAlign w:val="bottom"/>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0.27</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0.12</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(6.80)</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0.02</w:t>
            </w:r>
          </w:p>
        </w:tc>
      </w:tr>
      <w:tr>
        <w:trPr>
          <w:trHeight w:val="219"/>
        </w:trPr>
        <w:tc>
          <w:tcPr>
            <w:tcW w:w="562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(6.99)</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0.10</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(6.78)</w:t>
            </w:r>
          </w:p>
        </w:tc>
      </w:tr>
      <w:tr>
        <w:trPr>
          <w:trHeight w:val="71"/>
        </w:trPr>
        <w:tc>
          <w:tcPr>
            <w:tcW w:w="5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179"/>
        </w:trPr>
        <w:tc>
          <w:tcPr>
            <w:tcW w:w="562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rPr>
              <w:t>Weighted average shares used in calculating earnings per share: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72"/>
        </w:trPr>
        <w:tc>
          <w:tcPr>
            <w:tcW w:w="56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39"/>
        </w:trPr>
        <w:tc>
          <w:tcPr>
            <w:tcW w:w="5620" w:type="dxa"/>
            <w:vAlign w:val="bottom"/>
          </w:tcPr>
          <w:p>
            <w:pPr>
              <w:ind w:left="38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21,709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21,492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21,651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21,366</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21,492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21,866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21,366</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 (loss):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(144,875)</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Foreign currency translation adjustments, net of tax</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802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1,226</w:t>
            </w:r>
          </w:p>
        </w:tc>
      </w:tr>
      <w:tr>
        <w:trPr>
          <w:trHeight w:val="31"/>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Unrealized gain (loss) on investment,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531</w:t>
            </w: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Unrealized gain (loss) on cash flow hedging instruments, net of tax</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615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1,730</w:t>
            </w: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Comprehensive income (loss)</w:t>
            </w: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7,760</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(150,689)</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7,128</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(143,145)</w:t>
            </w:r>
          </w:p>
        </w:tc>
      </w:tr>
      <w:tr>
        <w:trPr>
          <w:trHeight w:val="31"/>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11"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right="500"/>
        <w:spacing w:after="0" w:line="339" w:lineRule="auto"/>
        <w:rPr>
          <w:sz w:val="20"/>
          <w:szCs w:val="20"/>
          <w:color w:val="auto"/>
        </w:rPr>
      </w:pPr>
      <w:r>
        <w:rPr>
          <w:rFonts w:ascii="Arial" w:cs="Arial" w:eastAsia="Arial" w:hAnsi="Arial"/>
          <w:sz w:val="14"/>
          <w:szCs w:val="14"/>
          <w:b w:val="1"/>
          <w:bCs w:val="1"/>
          <w:color w:val="auto"/>
        </w:rPr>
        <w:t xml:space="preserve">Balance at December 31, 2017 </w:t>
      </w:r>
      <w:r>
        <w:rPr>
          <w:rFonts w:ascii="Arial" w:cs="Arial" w:eastAsia="Arial" w:hAnsi="Arial"/>
          <w:sz w:val="14"/>
          <w:szCs w:val="14"/>
          <w:color w:val="auto"/>
        </w:rPr>
        <w:t>Comprehensive income</w:t>
      </w:r>
    </w:p>
    <w:p>
      <w:pPr>
        <w:spacing w:after="0" w:line="2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right="22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40" w:right="540" w:firstLine="351"/>
        <w:spacing w:after="0" w:line="433" w:lineRule="auto"/>
        <w:rPr>
          <w:sz w:val="20"/>
          <w:szCs w:val="20"/>
          <w:color w:val="auto"/>
        </w:rPr>
      </w:pPr>
      <w:r>
        <w:rPr>
          <w:rFonts w:ascii="Arial" w:cs="Arial" w:eastAsia="Arial" w:hAnsi="Arial"/>
          <w:sz w:val="13"/>
          <w:szCs w:val="13"/>
          <w:color w:val="auto"/>
        </w:rPr>
        <w:t>Exercise of stock options Share-based compensation</w:t>
      </w:r>
    </w:p>
    <w:p>
      <w:pPr>
        <w:spacing w:after="0" w:line="1"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12" w:lineRule="exact"/>
        <w:rPr>
          <w:sz w:val="20"/>
          <w:szCs w:val="20"/>
          <w:color w:val="auto"/>
        </w:rPr>
      </w:pPr>
    </w:p>
    <w:p>
      <w:pPr>
        <w:ind w:left="40" w:right="320"/>
        <w:spacing w:after="0" w:line="253" w:lineRule="auto"/>
        <w:rPr>
          <w:sz w:val="20"/>
          <w:szCs w:val="20"/>
          <w:color w:val="auto"/>
        </w:rPr>
      </w:pPr>
      <w:r>
        <w:rPr>
          <w:rFonts w:ascii="Arial" w:cs="Arial" w:eastAsia="Arial" w:hAnsi="Arial"/>
          <w:sz w:val="14"/>
          <w:szCs w:val="14"/>
          <w:color w:val="auto"/>
        </w:rPr>
        <w:t>Cumulative-effect adjustment from adoption of ASC 606</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2018</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00" w:type="dxa"/>
            <w:vAlign w:val="bottom"/>
            <w:vMerge w:val="restart"/>
          </w:tcPr>
          <w:p>
            <w:pPr>
              <w:jc w:val="right"/>
              <w:ind w:right="6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24,098,822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(2,591,135)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(121,994)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434,256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180,443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10,370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503,316</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5,020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7,128</w:t>
            </w:r>
          </w:p>
        </w:tc>
        <w:tc>
          <w:tcPr>
            <w:tcW w:w="0" w:type="dxa"/>
            <w:vAlign w:val="bottom"/>
          </w:tcPr>
          <w:p>
            <w:pPr>
              <w:spacing w:after="0"/>
              <w:rPr>
                <w:sz w:val="1"/>
                <w:szCs w:val="1"/>
                <w:color w:val="auto"/>
              </w:rPr>
            </w:pPr>
          </w:p>
        </w:tc>
      </w:tr>
      <w:tr>
        <w:trPr>
          <w:trHeight w:val="702"/>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206,480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34,095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8,590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8,590</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(76,715)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357"/>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24,325,302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(2,633,755)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(123,215)</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441,813</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184,507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15,390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518,739</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-1765935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-1423035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-977265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-633730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-187960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380" w:space="40"/>
            <w:col w:w="900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2,108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(144,875)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20,394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24,705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5,031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 charge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209,600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Allowances for doubtful accounts and unbilled services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1,292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(52,685)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Loss (gain) on sale of businesses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5,831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receivables from clients,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unbilled services,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(7,751)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(32,426)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6,913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23,286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(15,287)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businesses, net of cash acquired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(103,456)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note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Divestitures of businesses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1,499</w:t>
            </w: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(119,421)</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139,300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205,500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(134,049)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(106,500)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Payments for debt issuance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of contingent consideration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(1,811)</w:t>
            </w: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92,535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(3,435)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17,027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10,452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13,592</w:t>
            </w:r>
          </w:p>
        </w:tc>
      </w:tr>
      <w:tr>
        <w:trPr>
          <w:trHeight w:val="73"/>
        </w:trPr>
        <w:tc>
          <w:tcPr>
            <w:tcW w:w="83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and equipment expenditures included in accounts payable and accrued expenses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Promissory note assumed for purchase of property and equipment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5,113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Common stock issued related to a business acquisition</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9,560</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3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3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Huron is a global consultancy that helps clients drive growth, enhance performance and sustain leadership in the markets they serve. We partner with clients to develop strategies and implement solutions that enable the transformative change our clients need to own their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and six months ended June 30, 2018 and 2017.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2017 included in our Annual Report on Form 10-K and our Quarterly Report on Form 10-Q for the period ended March 31, 2018. Our results for any interim period are not necessarily indicative of results for a full year or any other interim period.</w:t>
      </w:r>
    </w:p>
    <w:p>
      <w:pPr>
        <w:spacing w:after="0" w:line="7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second quarter of 2018, we identified an error on our previously reported consolidated balance sheet and statement of operations as of and for the three months ended March 31, 2018 which increased revenues and unbilled services, net by $0.6 million and net income by $0.4 million. This error related to the application of the proportionate performance approach for recognizing revenues for fixed-fee engagements in our Middle East practice within the Business Advisory segment. This error was corrected in the second quarter of 2018 by decreasing revenues and unbilled services, net by $0.6 million, and resulted in a $0.4 million decrease to net income in the second quarter of 2018. This error, which was not material to the first or second quarter of 2018 results, had no impact on our consolidated balance sheet or statement of operations as of and for the six months ended June 30, 2018.</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On January 1, 2018, we adopted Accounting Standard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Below is an update to our revenue recognition and capitalized sales commissions accounting policies as a result of the adoption. Refer to Note 3 "New Accounting Pronouncements" for additional information on the adoption of ASU 2014-09.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typically satisfy our performance obligations for professional services over time as the related services are provided. The performance obligations related to software support,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w:t>
      </w:r>
    </w:p>
    <w:p>
      <w:pPr>
        <w:sectPr>
          <w:pgSz w:w="11900" w:h="16838" w:orient="portrait"/>
          <w:cols w:equalWidth="0" w:num="1">
            <w:col w:w="11400"/>
          </w:cols>
          <w:pgMar w:left="240" w:top="125" w:right="25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4"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arrangements as the related services or goods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6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payment terms and conditions in our customer contracts vary. 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Sales Commissions</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Sales commissions earned by our sales professionals are considered incremental and recoverable costs of obtaining a contract with a customer. Sales commissions with an expected amortization period greater than one year are deferred and amortized on a straight-line basis over the period of the associated contract. We elected to apply the practical expedient to expense sales commissions as incurred when the expected amortization period is one year or less. Amortization expense is recorded to direct costs. During the three and six months ended June 30, 2018, the amount of capitalized sales commissions amortized was not material. Unamortized sales commissions were $0.4 million as of June 30, 2018.</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August 2017, the Financial Accounting Standards Board ("FASB") issued Accounting Standards Update ("ASU") 2017-12,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(Topic 815): Targeted Improvements to Accounting for Hedging Activities</w:t>
      </w:r>
      <w:r>
        <w:rPr>
          <w:rFonts w:ascii="Arial" w:cs="Arial" w:eastAsia="Arial" w:hAnsi="Arial"/>
          <w:sz w:val="17"/>
          <w:szCs w:val="17"/>
          <w:color w:val="auto"/>
        </w:rPr>
        <w:t>. The amendments to the guidance improve and simplify rules for hedge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to better present the economic results of an entity’s risk management activities in its financial statements and improve the disclosures of hedging arrangements. Additionally, ASU 2017-12 simplifies the hedge documentation and effectiveness assessment requirements. We elected to early adopt this ASU effective January 1, 2018. The adoption of this guidance did not have an impact on our consolidated financial statements.</w:t>
      </w:r>
    </w:p>
    <w:p>
      <w:pPr>
        <w:spacing w:after="0" w:line="1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amendments to the guidance enhance the reporting model for financial instruments, which includes amendments to address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recognition, measurement, presentation, and disclosure. We adopted this ASU effective January 1, 2018. The adoption of this guidance did not have an impact on our consolidated financial statements.</w:t>
      </w:r>
    </w:p>
    <w:p>
      <w:pPr>
        <w:spacing w:after="0" w:line="13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 a new Topic, ASC 606, which superseded ASC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The new revenue recognition standard provides a five-step analysis of transactions to determine when and how revenue is recognized. The core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 is that a company should recognize revenue to depict the transfer of promised goods or services to customers in an amount that reflects the consideration to which the entity expects to be entitled in exchange for those goods or services. We adopted ASC 606 effective January 1, 2018 on a modified retrospective basis to all open contracts, as modified, as of that date. Adoption of the new standard resulted in changes to our accounting policy for revenue recognition, most notably for performance-based billing arrangements, and sales commissions. Refer to Note 2 "Basis of Presentation" for additional information on our new accounting policies for revenue recognition and capitalized sales commissions. Adopting ASC 606 on a modified retrospective basis had no impact on our consolidated financial statements in the prior periods presented. Upon adoption, we recorded a $2.0 million cumulative-effect adjustment to record a net increase to retained earnings for the portion of performance-based billing arrangements that have been earned as of the adoption date but for which we had not recognized as revenue under previous revenue recognition guidance, the capitalization of sales commissions paid on open contracts as of the adoption date, and the related tax effects. The impact of the cumulative effect adjustment on our consolidated balance sheet upon adoption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Cumulative Effect</w:t>
            </w:r>
          </w:p>
        </w:tc>
        <w:tc>
          <w:tcPr>
            <w:tcW w:w="240" w:type="dxa"/>
            <w:vAlign w:val="bottom"/>
          </w:tcPr>
          <w:p>
            <w:pPr>
              <w:spacing w:after="0"/>
              <w:rPr>
                <w:sz w:val="18"/>
                <w:szCs w:val="18"/>
                <w:color w:val="auto"/>
              </w:rPr>
            </w:pPr>
          </w:p>
        </w:tc>
        <w:tc>
          <w:tcPr>
            <w:tcW w:w="1700" w:type="dxa"/>
            <w:vAlign w:val="bottom"/>
          </w:tcPr>
          <w:p>
            <w:pPr>
              <w:jc w:val="right"/>
              <w:ind w:right="690"/>
              <w:spacing w:after="0"/>
              <w:rPr>
                <w:sz w:val="20"/>
                <w:szCs w:val="20"/>
                <w:color w:val="auto"/>
              </w:rPr>
            </w:pPr>
            <w:r>
              <w:rPr>
                <w:rFonts w:ascii="Arial" w:cs="Arial" w:eastAsia="Arial" w:hAnsi="Arial"/>
                <w:sz w:val="18"/>
                <w:szCs w:val="18"/>
                <w:b w:val="1"/>
                <w:bCs w:val="1"/>
                <w:color w:val="auto"/>
              </w:rPr>
              <w:t>As of</w:t>
            </w:r>
          </w:p>
        </w:tc>
      </w:tr>
      <w:tr>
        <w:trPr>
          <w:trHeight w:val="234"/>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2017</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Adjustment</w:t>
            </w:r>
          </w:p>
        </w:tc>
        <w:tc>
          <w:tcPr>
            <w:tcW w:w="240" w:type="dxa"/>
            <w:vAlign w:val="bottom"/>
          </w:tcPr>
          <w:p>
            <w:pPr>
              <w:spacing w:after="0"/>
              <w:rPr>
                <w:sz w:val="20"/>
                <w:szCs w:val="20"/>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January 1, 2018</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 xml:space="preserve">Unbilled services, net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57,618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59,987</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16,752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16,065</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25,545</w:t>
            </w:r>
          </w:p>
        </w:tc>
      </w:tr>
      <w:tr>
        <w:trPr>
          <w:trHeight w:val="324"/>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180,443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182,399</w:t>
            </w:r>
          </w:p>
        </w:tc>
      </w:tr>
    </w:tbl>
    <w:p>
      <w:pPr>
        <w:spacing w:after="0" w:line="175" w:lineRule="exact"/>
        <w:rPr>
          <w:sz w:val="20"/>
          <w:szCs w:val="20"/>
          <w:color w:val="auto"/>
        </w:rPr>
      </w:pPr>
    </w:p>
    <w:p>
      <w:pPr>
        <w:jc w:val="both"/>
        <w:ind w:left="640" w:right="100" w:hanging="632"/>
        <w:spacing w:after="0" w:line="286"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cumulative effect adjustment related to the portion of performance-based billing arrangements that have been earned as of the adoption date but for which we had not recognized as revenue under previous revenue recognition guidance was recorded as a contract asset within unbilled services, net on our consolidated balance sheet. Refer to Note 6 "Revenues" for additional information on our contract assets.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The impact of adoption on our consolidated balance sheet as of June 30, 2018 and consolidated statements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Balance Sheet</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 June 30, 2018</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As reported under ASC</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computed under</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Effect of Adoption</w:t>
            </w:r>
          </w:p>
        </w:tc>
      </w:tr>
      <w:tr>
        <w:trPr>
          <w:trHeight w:val="234"/>
        </w:trPr>
        <w:tc>
          <w:tcPr>
            <w:tcW w:w="5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b w:val="1"/>
                <w:bCs w:val="1"/>
                <w:color w:val="auto"/>
              </w:rPr>
              <w:t>606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ASC 605</w:t>
            </w:r>
          </w:p>
        </w:tc>
        <w:tc>
          <w:tcPr>
            <w:tcW w:w="18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Increase/(Decrease)</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Receivables from clients, net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105,095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104,893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services, net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(1,752)</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13,952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14,639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84"/>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29,480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29,278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184,507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177,563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6,944</w:t>
            </w:r>
          </w:p>
        </w:tc>
      </w:tr>
      <w:tr>
        <w:trPr>
          <w:trHeight w:val="27"/>
        </w:trPr>
        <w:tc>
          <w:tcPr>
            <w:tcW w:w="5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1200" w:type="dxa"/>
            <w:vAlign w:val="bottom"/>
          </w:tcPr>
          <w:p>
            <w:pPr>
              <w:spacing w:after="0"/>
              <w:rPr>
                <w:sz w:val="20"/>
                <w:szCs w:val="20"/>
                <w:color w:val="auto"/>
              </w:rPr>
            </w:pPr>
          </w:p>
        </w:tc>
        <w:tc>
          <w:tcPr>
            <w:tcW w:w="4840" w:type="dxa"/>
            <w:vAlign w:val="bottom"/>
            <w:gridSpan w:val="7"/>
          </w:tcPr>
          <w:p>
            <w:pPr>
              <w:jc w:val="center"/>
              <w:ind w:right="1070"/>
              <w:spacing w:after="0"/>
              <w:rPr>
                <w:sz w:val="20"/>
                <w:szCs w:val="20"/>
                <w:color w:val="auto"/>
              </w:rPr>
            </w:pPr>
            <w:r>
              <w:rPr>
                <w:rFonts w:ascii="Arial" w:cs="Arial" w:eastAsia="Arial" w:hAnsi="Arial"/>
                <w:sz w:val="18"/>
                <w:szCs w:val="18"/>
                <w:b w:val="1"/>
                <w:bCs w:val="1"/>
                <w:color w:val="auto"/>
                <w:w w:val="90"/>
              </w:rPr>
              <w:t>Three Months Ended June 30, 2018</w:t>
            </w:r>
          </w:p>
        </w:tc>
      </w:tr>
      <w:tr>
        <w:trPr>
          <w:trHeight w:val="27"/>
        </w:trPr>
        <w:tc>
          <w:tcPr>
            <w:tcW w:w="538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As reported under ASC</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computed under</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Effect of Adoption</w:t>
            </w:r>
          </w:p>
        </w:tc>
      </w:tr>
      <w:tr>
        <w:trPr>
          <w:trHeight w:val="234"/>
        </w:trPr>
        <w:tc>
          <w:tcPr>
            <w:tcW w:w="5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606</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ASC 605</w:t>
            </w:r>
          </w:p>
        </w:tc>
        <w:tc>
          <w:tcPr>
            <w:tcW w:w="18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Increase/(Decrease)</w:t>
            </w:r>
          </w:p>
        </w:tc>
      </w:tr>
      <w:tr>
        <w:trPr>
          <w:trHeight w:val="27"/>
        </w:trPr>
        <w:tc>
          <w:tcPr>
            <w:tcW w:w="5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1"/>
                <w:szCs w:val="21"/>
                <w:color w:val="auto"/>
                <w:vertAlign w:val="superscript"/>
              </w:rPr>
              <w:t>(1)</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197,544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196,023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127,574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127,587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taxes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6,889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1,534</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Earnings per share from continuing operations - basic</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from continuing operations - diluted</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5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20" w:type="dxa"/>
            <w:vAlign w:val="bottom"/>
            <w:gridSpan w:val="6"/>
          </w:tcPr>
          <w:p>
            <w:pPr>
              <w:jc w:val="center"/>
              <w:ind w:left="1210"/>
              <w:spacing w:after="0"/>
              <w:rPr>
                <w:sz w:val="20"/>
                <w:szCs w:val="20"/>
                <w:color w:val="auto"/>
              </w:rPr>
            </w:pPr>
            <w:r>
              <w:rPr>
                <w:rFonts w:ascii="Arial" w:cs="Arial" w:eastAsia="Arial" w:hAnsi="Arial"/>
                <w:sz w:val="18"/>
                <w:szCs w:val="18"/>
                <w:b w:val="1"/>
                <w:bCs w:val="1"/>
                <w:color w:val="auto"/>
                <w:w w:val="90"/>
              </w:rPr>
              <w:t>Six Months Ended June 30, 2018</w:t>
            </w:r>
          </w:p>
        </w:tc>
        <w:tc>
          <w:tcPr>
            <w:tcW w:w="17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As reported under ASC</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computed under</w:t>
            </w: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Effect of Adoption</w:t>
            </w:r>
          </w:p>
        </w:tc>
      </w:tr>
      <w:tr>
        <w:trPr>
          <w:trHeight w:val="234"/>
        </w:trPr>
        <w:tc>
          <w:tcPr>
            <w:tcW w:w="5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b w:val="1"/>
                <w:bCs w:val="1"/>
                <w:color w:val="auto"/>
              </w:rPr>
              <w:t>606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ASC 605</w:t>
            </w:r>
          </w:p>
        </w:tc>
        <w:tc>
          <w:tcPr>
            <w:tcW w:w="200" w:type="dxa"/>
            <w:vAlign w:val="bottom"/>
          </w:tcPr>
          <w:p>
            <w:pPr>
              <w:spacing w:after="0"/>
              <w:rPr>
                <w:sz w:val="20"/>
                <w:szCs w:val="20"/>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Increase/(Decrease)</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1"/>
                <w:szCs w:val="21"/>
                <w:color w:val="auto"/>
                <w:vertAlign w:val="superscript"/>
              </w:rPr>
              <w:t>(1)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391,223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384,564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6,659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260,360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260,441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6,740</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4,988</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Earnings (loss) per share from continuing operations - basic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per share from continuing operations - diluted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5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40" w:right="240" w:hanging="632"/>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revenues due to the adoption of ASC 606 relates to revenue recognized for performance-based fee billing arrangements within our Healthcare segment.</w:t>
      </w:r>
    </w:p>
    <w:p>
      <w:pPr>
        <w:sectPr>
          <w:pgSz w:w="11900" w:h="16838" w:orient="portrait"/>
          <w:cols w:equalWidth="0" w:num="1">
            <w:col w:w="11420"/>
          </w:cols>
          <w:pgMar w:left="240" w:top="125" w:right="239" w:bottom="1097"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097"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33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March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supersedes ASC Topic 840, </w:t>
      </w:r>
      <w:r>
        <w:rPr>
          <w:rFonts w:ascii="Arial" w:cs="Arial" w:eastAsia="Arial" w:hAnsi="Arial"/>
          <w:sz w:val="16"/>
          <w:szCs w:val="16"/>
          <w:i w:val="1"/>
          <w:iCs w:val="1"/>
          <w:color w:val="auto"/>
        </w:rPr>
        <w:t>Leases</w:t>
      </w:r>
      <w:r>
        <w:rPr>
          <w:rFonts w:ascii="Arial" w:cs="Arial" w:eastAsia="Arial" w:hAnsi="Arial"/>
          <w:sz w:val="16"/>
          <w:szCs w:val="16"/>
          <w:color w:val="auto"/>
        </w:rPr>
        <w:t>, and sets forth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based on an effective interest rate method or a straight-line basis over the term of the lease. ASU 2016-02 will be effective for us beginning January 1, 2019, with early adoption permitted. Entities are required to use a modified retrospective transition method for existing leases. We have substantially completed our inventory of outstanding lease agreements and are currently evaluating the potential impact this guidance will have on our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Innosight Holdings, LLC</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March 1, 2017, we acquired 100% of the membership interests of Innosight Holdings, LLC ("Innosight"). Innosight is a growth strategy firm focused on helping companies navigate disruptive change and manage strategic transformation. Together with Innosight, we use our strategic, operational, and technology capabilities to help clients across multiple industries develop pioneering solutions to address disruption and achieve sustained growth.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for Innosight was $113.6 million, which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of consideration transferred</w:t>
            </w:r>
          </w:p>
        </w:tc>
        <w:tc>
          <w:tcPr>
            <w:tcW w:w="240" w:type="dxa"/>
            <w:vAlign w:val="bottom"/>
          </w:tcPr>
          <w:p>
            <w:pPr>
              <w:spacing w:after="0"/>
              <w:rPr>
                <w:sz w:val="20"/>
                <w:szCs w:val="20"/>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1, 2017</w:t>
            </w:r>
          </w:p>
        </w:tc>
      </w:tr>
      <w:tr>
        <w:trPr>
          <w:trHeight w:val="27"/>
        </w:trPr>
        <w:tc>
          <w:tcPr>
            <w:tcW w:w="9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90,725</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9,560</w:t>
            </w: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w:t>
            </w: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Net working capital adjustment</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consideration transferred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funded the cash component of the purchase price with cash on hand and borrowings of $89.0 million under our senior secured credit facility. We issued 221,558 shares of our common stock as part of the consideration transferred, with an acquisition date fair value of $9.6 million based on our common stock's closing price of $43.15 on the date of acquisition. The contingent consideration liability of $12.1 million represents the acquisition date fair value of the contingent consideration arrangement, pursuant to which we may be required to pay additional consideration to the sellers if specific financial performance targets are met over a four-year term. The maximum amount that may be paid is $35.0 million. See Note 11 "Fair Value of Financial Instruments" for additional information on the valuation of contingent consideration liabilities.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are recorded at fair value as of the acquisition date. The following table summarizes the allocation of the purchase price to the fair value of assets acquired and liabilities assumed as of the acquisition date.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1, 2017</w:t>
            </w:r>
          </w:p>
        </w:tc>
        <w:tc>
          <w:tcPr>
            <w:tcW w:w="0" w:type="dxa"/>
            <w:vAlign w:val="bottom"/>
          </w:tcPr>
          <w:p>
            <w:pPr>
              <w:spacing w:after="0"/>
              <w:rPr>
                <w:sz w:val="1"/>
                <w:szCs w:val="1"/>
                <w:color w:val="auto"/>
              </w:rPr>
            </w:pPr>
          </w:p>
        </w:tc>
      </w:tr>
      <w:tr>
        <w:trPr>
          <w:trHeight w:val="27"/>
        </w:trPr>
        <w:tc>
          <w:tcPr>
            <w:tcW w:w="9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87,410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b w:val="1"/>
                <w:bCs w:val="1"/>
                <w:color w:val="auto"/>
              </w:rPr>
              <w:t>Useful Life</w:t>
            </w:r>
          </w:p>
        </w:tc>
      </w:tr>
      <w:tr>
        <w:trPr>
          <w:trHeight w:val="234"/>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18,015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weighted average amortization period for the identifiable intangible assets shown above is 5.6 years. Customer relationships and customer contracts represent the fair values of the underlying relationships and agreements with Innosight customers. The trade name represents the fair value of the brand and name recognition associated with the marketing of Innosight's service offerings. Non-compete agreements represent the value derived from preventing certain Innosight executives from entering into or starting a similar, competing business. The favorable lease contract represents the difference between the fair value and minimum lease obligations under the current outstanding lease. Goodwill is recognized for the excess of purchase price over the net fair value of assets acquired and liabilities assumed, and largely reflects the expanded market opportunities expected from combining the service offerings of Huron and Innosight, as well as the assembled workforce of Innosight. Goodwill recognized in conjunction with the acquisition of Innosight was recorded in the Business Advisory segment. Goodwill of $87.4 million is expected to be deductible for income tax purposes.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Innosight’s results of operations have been included in our unaudited consolidated statements of operations and results of operations of our Business Advisory segment from the date of acquisition. For the three months ended June 30, 2017, revenues from Innosight were $10.9 million and operating income was $0.2 million, which included $1.0 million of amortization expense for intangible assets acquired. For the six months ended June 30, 2017, revenues from Innosight were $16.1 million and operating income was $1.4 million, which included $1.8 million of amortization expense for intangible assets acquired. In connection with the acquisition of Innosight, we incurred $1.7 million of transaction and acquisition-related expenses. Of the $1.7 million of expense, $1.4 million was incurred in the first quarter of 2017 and $0.3 million was incurred in the second quarter in 2017. These costs are recorded in selling, general and administrative expenses.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unaudited supplemental pro forma information summarizes the combined results of operations of Huron and Innosight as though the companies were combined on January 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Six Months Ended</w:t>
            </w:r>
          </w:p>
        </w:tc>
      </w:t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2017</w:t>
            </w:r>
          </w:p>
        </w:tc>
        <w:tc>
          <w:tcPr>
            <w:tcW w:w="240" w:type="dxa"/>
            <w:vAlign w:val="bottom"/>
          </w:tcPr>
          <w:p>
            <w:pPr>
              <w:spacing w:after="0"/>
              <w:rPr>
                <w:sz w:val="20"/>
                <w:szCs w:val="20"/>
                <w:color w:val="auto"/>
              </w:rPr>
            </w:pPr>
          </w:p>
        </w:tc>
        <w:tc>
          <w:tcPr>
            <w:tcW w:w="192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2017</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379,392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(150,190)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(142,092)</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loss from continuing operations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(6.63)</w:t>
            </w:r>
          </w:p>
        </w:tc>
      </w:tr>
    </w:tbl>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historical financial information has been adjusted to give effect to pro forma adjustments of intangible asset amortization expense, acquisition-related costs, interest expense, and the related income tax effects. For the three and six months ended June 30, 2017, the unaudited pro forma adjustments decreased expense by $0.3 million and increased expense by $0.5 million, respectively. Additionally, the historical financial information has been adjusted to give effect to the shares issued as consideration. All of these adjustments are based upon currently available information and certain assumptions. Therefore, the pro forma consolidated results are not necessarily indicative of what our consolidated results of operations actually would have been had we completed the acquisition on January 1, 2016.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six months ended June 30,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Business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Healthcare</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Advisory</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Education</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636,810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302,187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1,041,826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(396,076)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2017</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428,729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114,192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645,750</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recorded in connection with business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 net as of June 30,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428,729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645,655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2017 Goodwill Impairment Charge</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During the second quarter of 2017, we performed a goodwill impairment analysis for our Healthcare reporting unit as our Healthcare business had experienced a prolonged period of declining revenues, primarily driven by softness in our revenue cycle offering within our performance improvement solution. This softness was attributable to decreased demand for our services, the winding down of some of our larger projects, and a trend toward smaller projects, as well as fewer large integrated projects. Based on forecasts prepared in the second quarter of 2017 in connection with our quarterly forecasting cycle, we determined that the likely time frame to improve the financial results of this segment would take longer than originally anticipated. As such, we concluded, during the second quarter of 2017, that the fair value of the Healthcare reporting unit may no longer exceed its carrying value. In connection with the preparation of our financial statements for the quarter ended June 30, 2017, we performed an interim impairment test on the Healthcare reporting unit.</w:t>
      </w:r>
    </w:p>
    <w:p>
      <w:pPr>
        <w:spacing w:after="0" w:line="1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goodwill impairment test was performed by comparing the fair value of the Healthcare reporting unit with its carrying value and recognizing an impairment charge for the amount by which the carrying value exceeded the fair value. To estimate the fair value of the Healthcare reporting unit, we relied on a combination of the income approach and the market approach, utilizing the guideline company method, with a fifty-fifty weighting. Based on the estimated fair value of the Healthcare reporting unit, we recorded a $209.6 million non-cash pretax goodwill impairment charge in the second quarter of 2017 to reduce the carrying value of goodwill in our Healthcare reporting unit.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2018 and December 31, 2017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60"/>
              <w:spacing w:after="0"/>
              <w:rPr>
                <w:sz w:val="20"/>
                <w:szCs w:val="20"/>
                <w:color w:val="auto"/>
              </w:rPr>
            </w:pPr>
            <w:r>
              <w:rPr>
                <w:rFonts w:ascii="Arial" w:cs="Arial" w:eastAsia="Arial" w:hAnsi="Arial"/>
                <w:sz w:val="18"/>
                <w:szCs w:val="18"/>
                <w:b w:val="1"/>
                <w:bCs w:val="1"/>
                <w:color w:val="auto"/>
              </w:rPr>
              <w:t>As of June 30, 2018</w:t>
            </w:r>
          </w:p>
        </w:tc>
        <w:tc>
          <w:tcPr>
            <w:tcW w:w="260" w:type="dxa"/>
            <w:vAlign w:val="bottom"/>
          </w:tcPr>
          <w:p>
            <w:pPr>
              <w:spacing w:after="0"/>
              <w:rPr>
                <w:sz w:val="20"/>
                <w:szCs w:val="20"/>
                <w:color w:val="auto"/>
              </w:rPr>
            </w:pPr>
          </w:p>
        </w:tc>
        <w:tc>
          <w:tcPr>
            <w:tcW w:w="28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 2017</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Useful Life</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90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5 to 6</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18,915</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 to 5</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5,098</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3,163</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37"/>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170,921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111,231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178,888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106,577</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2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Intangible asset amortization expense was $6.0 million and $8.9 million for the three months ended June 30, 2018 and 2017, respectively. Intangible asset amortization expense was $12.3 million and $17.6 million for the six months ended June 30, 2018 and 2017, respectively. The table below sets forth the estimated annual amortization expense for the year ending December 31, 2018 and each of the five succeeding years for the definite-lived intangible assets recorded as of June 30, 2018.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Estimated Amortization</w:t>
            </w:r>
          </w:p>
        </w:tc>
      </w:tr>
      <w:tr>
        <w:trPr>
          <w:trHeight w:val="234"/>
        </w:trPr>
        <w:tc>
          <w:tcPr>
            <w:tcW w:w="9020" w:type="dxa"/>
            <w:vAlign w:val="bottom"/>
            <w:gridSpan w:val="2"/>
          </w:tcPr>
          <w:p>
            <w:pPr>
              <w:ind w:left="344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2200" w:type="dxa"/>
            <w:vAlign w:val="bottom"/>
          </w:tcPr>
          <w:p>
            <w:pPr>
              <w:jc w:val="right"/>
              <w:ind w:right="790"/>
              <w:spacing w:after="0"/>
              <w:rPr>
                <w:sz w:val="20"/>
                <w:szCs w:val="20"/>
                <w:color w:val="auto"/>
              </w:rPr>
            </w:pPr>
            <w:r>
              <w:rPr>
                <w:rFonts w:ascii="Arial" w:cs="Arial" w:eastAsia="Arial" w:hAnsi="Arial"/>
                <w:sz w:val="18"/>
                <w:szCs w:val="18"/>
                <w:b w:val="1"/>
                <w:bCs w:val="1"/>
                <w:color w:val="auto"/>
              </w:rPr>
              <w:t>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23,863</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17,206</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12,083</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8,064</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3,512</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Revenues</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three and six months ended June 30, 2018, we recognized revenues of $197.5 million and $391.2 million, respectively. For the three and six months ended June 30, 2017, we recognized revenues of $181.4 million and $370.3 million, respectively. Of the $197.5 million recognized in the second quarter of 2018, we recognized revenues of $5.2 million from obligations satisfied, or partially satisfied, in prior periods, of which $2.9 million was primarily due to the release of allowances on unbilled services due to securing contract amendments and $2.3 million was due to changes in the estimates of our variable consideration under performance-based billing arrangements. Of the $391.2 million recognized in the first six months of 2018, we recognized revenues of $8.1 million from obligations satisfied, or partially satisfied, in prior periods, of which $4.7 million was due to changes in the estimates of our variable consideration under performance-based billing arrangements and $3.4 million was primarily due to the release of allowances on unbilled services due to securing contract amendments.</w:t>
      </w:r>
    </w:p>
    <w:p>
      <w:pPr>
        <w:spacing w:after="0" w:line="84"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As of June 30, 2018, we had $49.6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$49.6 million of performance obligations, we expect to recognize approximately $29.8 million as revenue during the second half of 2018, $14.7 million in 2019, and the remaining $5.1</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1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within unbilled services, net was $6.7 million as of June 30, 2018 and $2.4 million as of January 1, 2018, upon adoption of ASC 606. The $4.3 million increase primarily reflects timing differences between the completion of our performance obligations and the amounts billed or billable to clients in accordance with their contractual billing terms. Refer to Note 3 "New Accounting Pronouncements" for additional information on the adoption of ASC 606.</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June 30, 2018 and December 31, 2017, was $29.5 million and $27.9 million, respectively. The $1.6 million increase primarily reflects timing differences between client payments in accordance with their contract terms and the completion of our performance obligations. For the three and six months ended June 30, 2018, $6.6 million and $20.6 million, respectively, of revenues recognized were included in the deferred revenue balance as of December 31,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7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(144,875)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21,918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w:t>
            </w:r>
          </w:p>
        </w:tc>
      </w:tr>
      <w:tr>
        <w:trPr>
          <w:trHeight w:val="67"/>
        </w:trPr>
        <w:tc>
          <w:tcPr>
            <w:tcW w:w="51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64"/>
        </w:trPr>
        <w:tc>
          <w:tcPr>
            <w:tcW w:w="5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earnings per diluted share: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190"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gridSpan w:val="2"/>
          </w:tcPr>
          <w:p>
            <w:pPr>
              <w:ind w:left="840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Outstanding common stock options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3,129</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6,358</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See Note 8 “Financing Arrangements” for further information on the convertible senior notes and warrants related to the issuance of convertible notes.</w:t>
      </w:r>
    </w:p>
    <w:p>
      <w:pPr>
        <w:spacing w:after="0" w:line="18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currently have a share repurchase program permitting us to repurchase up to $125 million of our common stock through October 31, 2018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during the first six months of 2018 and 2017. As of June 30, 2018, $35.1 million remains available for share repurchases.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8. Financing Arrangements</w:t>
            </w: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110,500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105,000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 due 2024</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352,946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343,008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Current maturities of debt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352,438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342,507</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8"/>
        <w:spacing w:after="0" w:line="436"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maturities of debt are included as a component of accrued expenses and other current liabilities on our consolidated balance sheets. Below is a summary of the scheduled remaining principal payments of our debt as of June 30, 2018.</w:t>
      </w: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Principal Payments of</w:t>
            </w:r>
          </w:p>
        </w:tc>
      </w:tr>
      <w:tr>
        <w:trPr>
          <w:trHeight w:val="234"/>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b w:val="1"/>
                <w:bCs w:val="1"/>
                <w:color w:val="auto"/>
              </w:rPr>
              <w:t>Long-Term Debt</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250,515</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112,721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124"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43" w:lineRule="exact"/>
        <w:rPr>
          <w:sz w:val="20"/>
          <w:szCs w:val="20"/>
          <w:color w:val="auto"/>
        </w:rPr>
      </w:pPr>
    </w:p>
    <w:p>
      <w:pPr>
        <w:ind w:left="740" w:right="80" w:hanging="732"/>
        <w:spacing w:after="0" w:line="259"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740" w:right="180" w:hanging="732"/>
        <w:spacing w:after="0" w:line="279"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740" w:hanging="7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June 30, 2018, the remaining life of the Convertible Notes is 1.3 years. The equity component will not be remeasured as long as it continues to meet the conditions for equity classification.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color w:val="auto"/>
                <w:w w:val="93"/>
              </w:rPr>
              <w:t>As of June 30, 2018 and December 31, 2017, the Convertible Notes consisted of the following:</w:t>
            </w: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2018</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Less: debt issuance costs, net of amortization</w:t>
            </w: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carrying amount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80" w:type="dxa"/>
            <w:vAlign w:val="bottom"/>
          </w:tcPr>
          <w:p>
            <w:pPr>
              <w:ind w:left="40"/>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4"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additional paid-in capital on the consolidated balance sheet.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1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Six Months Ended</w:t>
            </w:r>
          </w:p>
        </w:tc>
        <w:tc>
          <w:tcPr>
            <w:tcW w:w="112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4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June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11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3,879</w:t>
            </w: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6,051</w:t>
            </w: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hedge transactions are intended to reduce the potential future economic dilution associated with the conversion of the Convertible Notes and, combined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warrants, effectively raise the price at which economic dilution would occur from the initial conversion price of approximately $79.89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For purposes of the computation of diluted earnings per share in accordance with GAAP, dilution will occur when the average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for a given period exceeds the conversion price of the Convertible Notes, which initially is equal to approximately $79.89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hedge transactions and warrant transactions are discussed separately below.</w:t>
      </w:r>
    </w:p>
    <w:p>
      <w:pPr>
        <w:spacing w:after="0" w:line="184" w:lineRule="exact"/>
        <w:rPr>
          <w:sz w:val="20"/>
          <w:szCs w:val="20"/>
          <w:color w:val="auto"/>
        </w:rPr>
      </w:pPr>
    </w:p>
    <w:p>
      <w:pPr>
        <w:ind w:left="660" w:right="120" w:hanging="652"/>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660" w:right="20" w:hanging="65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 The warrants are separate transactions and are not part of the terms of the Convertible Notes or the convertible note hedge transactions.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deferred income taxes, net on the consolidated balance sheets.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$500 million five-year senior secured revolving credit facility, subject to the terms of a Second Amended and Restated Credit Agreement dated as of March 31, 2015, as amended to date (as amended and modified the "Amended Credit Agreement"),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 measurement period, and</w:t>
      </w:r>
    </w:p>
    <w:p>
      <w:pPr>
        <w:ind w:right="240" w:firstLine="8"/>
        <w:spacing w:after="0" w:line="271" w:lineRule="auto"/>
        <w:tabs>
          <w:tab w:leader="none" w:pos="265" w:val="left"/>
        </w:tabs>
        <w:numPr>
          <w:ilvl w:val="0"/>
          <w:numId w:val="9"/>
        </w:numPr>
        <w:rPr>
          <w:rFonts w:ascii="Arial" w:cs="Arial" w:eastAsia="Arial" w:hAnsi="Arial"/>
          <w:sz w:val="17"/>
          <w:szCs w:val="17"/>
          <w:color w:val="auto"/>
        </w:rPr>
      </w:pPr>
      <w:r>
        <w:rPr>
          <w:rFonts w:ascii="Arial" w:cs="Arial" w:eastAsia="Arial" w:hAnsi="Arial"/>
          <w:sz w:val="17"/>
          <w:szCs w:val="17"/>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June 30, 2018, we were in compliance with these financial covenants with a Consolidated Leverage Ratio of 3.44 to 1.00 and a Consolidated Interest Coverage Ratio of 10.07 to 1.00.</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outstanding under the Amended Credit Agreement at June 30, 2018 totaled $110.5 million. These borrowings carried a weighted average interest rate of 4.1%, including the effect of the interest rate swap described in Note 10 “Derivative Instruments and Hedging Activity." Borrowings outstanding under the Amended Credit Agreement at December 31, 2017 were $105.0 million and carried a weighted average interest rate of 3.7%, including the effect of the interest rate swap described in Note 10 “Derivative Instrument and Hedging Activity." The borrowing capacity under the revolving credit facility is reduced by any outstanding borrowings under the revolving credit facility and outstanding letters of credit. At June 30, 2018, we had outstanding letters of credit totaling $1.6 million, which are primarily used as security deposits for our office facilities. As of June 30, 2018, the unused borrowing capacity under the revolving credit facility was $387.9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w:t>
      </w:r>
    </w:p>
    <w:p>
      <w:pPr>
        <w:spacing w:after="0"/>
        <w:rPr>
          <w:sz w:val="20"/>
          <w:szCs w:val="20"/>
          <w:color w:val="auto"/>
        </w:rPr>
      </w:pPr>
      <w:r>
        <w:rPr>
          <w:rFonts w:ascii="Arial" w:cs="Arial" w:eastAsia="Arial" w:hAnsi="Arial"/>
          <w:sz w:val="16"/>
          <w:szCs w:val="16"/>
          <w:color w:val="auto"/>
        </w:rPr>
        <w:t>1.97% per annum. The obligations under the promissory note are secured pursuant to a Loan and Aircraft Security Agreement with Banc of America Leasing</w:t>
      </w:r>
    </w:p>
    <w:p>
      <w:pPr>
        <w:spacing w:after="0" w:line="32" w:lineRule="exact"/>
        <w:rPr>
          <w:sz w:val="20"/>
          <w:szCs w:val="20"/>
          <w:color w:val="auto"/>
        </w:rPr>
      </w:pPr>
    </w:p>
    <w:p>
      <w:pPr>
        <w:ind w:right="20" w:firstLine="8"/>
        <w:spacing w:after="0" w:line="255"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LLC, which grants the lender a first priority security interest in the aircraft. At June 30, 2018, the outstanding principal amount of the promissory note was $4.6 million. As of June 30, 2018, the aircraft had a carrying amount of $6.1 million. At December 31, 2017, the outstanding principal amount of the promissory note was $4.9 million, and the aircraft had a carrying amount of $6.5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During the second quarter of 2018, we incurred a $2.0 million pretax restructuring charge. Of the $2.0 million charge incurred in the second quarter of 2018, $0.7 million related to workforce reductions in our Business Advisory segment to better align resources with market demand; $0.7 million related to the accrual of remaining lease payments, net of estimated sublease income, and accelerated depreciation on leasehold improvements due to exiting a portion of our Middleton, Wisconsin office in the second quarter of 2018; $0.3 million related to employee costs in our Healthcare segment; and $0.3 million related to the divestiture of our Middle East practice within the Business Advisory segment. During the three months ended June 30, 2018, we sold our Middle East practice to a former employee who was the practice leader of that business at the time and we recorded a $5.8 million loss which is included in other income (expense), net in our consolidated statements of operations.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first quarter of 2018, we incurred a $0.7 million pretax restructuring charge primarily related to updated lease assumptions for our San Francisco office vacated in the third quarter of 2017.</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second quarter of 2017, we incurred a $3.7 million pretax restructuring charge. The $3.7 million charge primarily consisted of $2.0 million related to workforce reductions in our Healthcare segment to better align our resources with market demand; $1.0 million for the accrual of remaining lease obligations, net of estimated sublease income, for offices vacated in the second quarter of 2017 and accelerated depreciation on leasehold improvements for our San Francisco office; and $0.4 million related to workforce reductions in our corporate operations primarily to adjust our infrastructure to align with the decreased workforce in the Healthcare segment.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2017, we incurred a $0.3 million pretax restructuring charge primarily related to updated assumptions for lease accruals.</w:t>
      </w:r>
    </w:p>
    <w:p>
      <w:pPr>
        <w:spacing w:after="0" w:line="1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six months ended June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Office Space</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Employee Costs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Reductions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5,514</w:t>
            </w:r>
          </w:p>
        </w:tc>
      </w:tr>
      <w:tr>
        <w:trPr>
          <w:trHeight w:val="27"/>
        </w:trPr>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151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Payments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(3,066)</w:t>
            </w:r>
          </w:p>
        </w:tc>
      </w:tr>
      <w:tr>
        <w:trPr>
          <w:trHeight w:val="27"/>
        </w:trPr>
        <w:tc>
          <w:tcPr>
            <w:tcW w:w="5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(1)</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Non-cash items</w:t>
            </w:r>
          </w:p>
        </w:tc>
        <w:tc>
          <w:tcPr>
            <w:tcW w:w="4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5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5,583</w:t>
            </w:r>
          </w:p>
        </w:tc>
      </w:tr>
      <w:tr>
        <w:trPr>
          <w:trHeight w:val="20"/>
        </w:trPr>
        <w:tc>
          <w:tcPr>
            <w:tcW w:w="5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40" w:right="60" w:hanging="632"/>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and adjustments for the six months ended June 30, 2018 include restructuring charges of $0.8 million related to updated lease assumptions for vacated office spaces directly related to discontinued operations.</w:t>
      </w:r>
    </w:p>
    <w:p>
      <w:pPr>
        <w:spacing w:after="0" w:line="11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 of June 30, 2018, our restructuring charge liability related to office space reductions of $4.4 million represented the present value of remaining lease payments, net of estimated sublease income, primarily for our vacated office spaces in Washington, D.C., Houston, San Francisco, Chicago, and Middleton, Wisconsin. This restructuring charge liability is included as a component of accrued expenses and other current liabilities and deferred compensation and other liabilities. All of the $1.0 million restructuring charge liability related to employee costs at June 30, 2018 is expected to be paid in the next 12 months. The restructuring charge liability related to employee costs is included as a component of accrued payroll and related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 and Hedging Activity</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this derivative instrument as a cash flow hedge. Therefore, changes in the fair value of the derivative instrument are recorded to other comprehensive income (“OCI”) and reclassified into interest expense upon settlement. As of June 30, 2018, it was anticipated that $0.2 million of the gains, net of tax, currently recorded in accumulated other comprehensive income will be reclassified into earnings within the next 12 months.</w:t>
      </w:r>
    </w:p>
    <w:p>
      <w:pPr>
        <w:spacing w:after="0" w:line="1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table below sets forth additional information relating to the interest rate swap designated as a cash flow hedging instrument as of June 30, 2018 and December 31,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7"/>
              </w:rPr>
              <w:t>Fair Value (Derivative Asset and Liability)</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8"/>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2"/>
          </w:tcPr>
          <w:p>
            <w:pPr>
              <w:ind w:left="40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8"/>
                <w:szCs w:val="18"/>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360" w:type="dxa"/>
            <w:vAlign w:val="bottom"/>
          </w:tcPr>
          <w:p>
            <w:pPr>
              <w:spacing w:after="0"/>
              <w:rPr>
                <w:sz w:val="20"/>
                <w:szCs w:val="20"/>
                <w:color w:val="auto"/>
              </w:rPr>
            </w:pPr>
          </w:p>
        </w:tc>
        <w:tc>
          <w:tcPr>
            <w:tcW w:w="18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12 “Other Comprehensive Income (Loss)” for additional information on our derivative instrument.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66" w:lineRule="exact"/>
        <w:rPr>
          <w:sz w:val="20"/>
          <w:szCs w:val="20"/>
          <w:color w:val="auto"/>
        </w:rPr>
      </w:pPr>
    </w:p>
    <w:p>
      <w:pPr>
        <w:sectPr>
          <w:pgSz w:w="11900" w:h="16838" w:orient="portrait"/>
          <w:cols w:equalWidth="0" w:num="2">
            <w:col w:w="1820" w:space="720"/>
            <w:col w:w="8880"/>
          </w:cols>
          <w:pgMar w:left="240" w:top="125"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 situations in which there is little, if any, market activity for the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asset or liability.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2018 and December 31,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2018</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Convertible debt investment</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47,099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47,099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assets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19,632</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20,996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47,099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68,095</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12,026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12,026</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12,026</w:t>
            </w:r>
          </w:p>
        </w:tc>
      </w:tr>
      <w:tr>
        <w:trPr>
          <w:trHeight w:val="22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2017</w:t>
            </w: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Promissory note</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Convertible debt investment</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39,904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39,904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assets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17,786</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40,982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59,301</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22,828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22,828</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 of our interest rate swap was derived using estimates to settle the interest rate swap agreement, which is based on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value of expected future cash flows on each leg of the swap utilizing market-based inputs and a discount rate reflecting the risks involved.</w:t>
      </w:r>
    </w:p>
    <w:p>
      <w:pPr>
        <w:spacing w:after="0" w:line="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Promissory note</w:t>
      </w:r>
      <w:r>
        <w:rPr>
          <w:rFonts w:ascii="Arial" w:cs="Arial" w:eastAsia="Arial" w:hAnsi="Arial"/>
          <w:sz w:val="16"/>
          <w:szCs w:val="16"/>
          <w:color w:val="auto"/>
        </w:rPr>
        <w:t>: As part of the consideration received for the sale of our Accounting Advisory practice on December 30, 2011, we received a promissory</w:t>
      </w:r>
      <w:r>
        <w:rPr>
          <w:rFonts w:ascii="Arial" w:cs="Arial" w:eastAsia="Arial" w:hAnsi="Arial"/>
          <w:sz w:val="16"/>
          <w:szCs w:val="16"/>
          <w:i w:val="1"/>
          <w:iCs w:val="1"/>
          <w:color w:val="auto"/>
        </w:rPr>
        <w:t xml:space="preserve"> </w:t>
      </w:r>
      <w:r>
        <w:rPr>
          <w:rFonts w:ascii="Arial" w:cs="Arial" w:eastAsia="Arial" w:hAnsi="Arial"/>
          <w:sz w:val="16"/>
          <w:szCs w:val="16"/>
          <w:color w:val="auto"/>
        </w:rPr>
        <w:t>note with an initial principal amount of $3.5 million payable over four years. During the fourth quarter of 2017, we amended and restated the note which established scheduled annual principal payments, increased the interest rate, reduced the outstanding principal amount by $0.5 million, and extended the maturity date to September 30, 2020. As of December 31, 2017, the outstanding principal balance was $1.0 million. During the first six months of 2018, we received payments for all of the outstanding principal balance and all accrued interest. Prior to the final payment, the fair value of the note was based on the net present value of the projected cash flows using a discount rate of 10%, which accounts for the risks associated with the amended note. This fair value measurement is based on significant inputs not observable in the market and thus represent Level 3 inputs.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promissory note for the six months ended June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jc w:val="right"/>
              <w:ind w:right="810"/>
              <w:spacing w:after="0"/>
              <w:rPr>
                <w:sz w:val="20"/>
                <w:szCs w:val="20"/>
                <w:color w:val="auto"/>
              </w:rPr>
            </w:pPr>
            <w:r>
              <w:rPr>
                <w:rFonts w:ascii="Arial" w:cs="Arial" w:eastAsia="Arial" w:hAnsi="Arial"/>
                <w:sz w:val="18"/>
                <w:szCs w:val="18"/>
                <w:b w:val="1"/>
                <w:bCs w:val="1"/>
                <w:color w:val="auto"/>
              </w:rPr>
              <w:t>Promissory Note</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received</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notes are not in-substance common stock that would warrant equity method accounting. After we reviewed all of the terms of the investment, we concluded the appropriate accounting treatment to be that of an available-for-sale debt security.</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convertible debt investment is carried at fair value with unrealized holding gains and losses excluded from earnings and reported in other comprehensive income. We estimate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 on our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six months ended June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7,195</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47,099</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Deferred compensation assets: </w:t>
      </w:r>
      <w:r>
        <w:rPr>
          <w:rFonts w:ascii="Arial" w:cs="Arial" w:eastAsia="Arial" w:hAnsi="Arial"/>
          <w:sz w:val="16"/>
          <w:szCs w:val="16"/>
          <w:color w:val="auto"/>
        </w:rPr>
        <w:t>We have a non-qualified deferred compensation plan (the "Plan") for the members of our board of directors and a select group</w:t>
      </w:r>
      <w:r>
        <w:rPr>
          <w:rFonts w:ascii="Arial" w:cs="Arial" w:eastAsia="Arial" w:hAnsi="Arial"/>
          <w:sz w:val="16"/>
          <w:szCs w:val="16"/>
          <w:i w:val="1"/>
          <w:iCs w:val="1"/>
          <w:color w:val="auto"/>
        </w:rPr>
        <w:t xml:space="preserve"> </w:t>
      </w:r>
      <w:r>
        <w:rPr>
          <w:rFonts w:ascii="Arial" w:cs="Arial" w:eastAsia="Arial" w:hAnsi="Arial"/>
          <w:sz w:val="16"/>
          <w:szCs w:val="16"/>
          <w:color w:val="auto"/>
        </w:rPr>
        <w:t>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1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Contingent consideration for business acquisitions: </w:t>
      </w:r>
      <w:r>
        <w:rPr>
          <w:rFonts w:ascii="Arial" w:cs="Arial" w:eastAsia="Arial" w:hAnsi="Arial"/>
          <w:sz w:val="17"/>
          <w:szCs w:val="17"/>
          <w:color w:val="auto"/>
        </w:rPr>
        <w:t>We estimate the fair value of acquisition-related contingent consideration using either a probability-weighted assessment of the specific financial performance targets being achieved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The table below sets forth the changes in the balance of the contingent consideration for business acquisitions for the six months ended June 30,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Contingent Consideration for Business</w:t>
            </w:r>
          </w:p>
        </w:tc>
      </w:tr>
      <w:tr>
        <w:trPr>
          <w:trHeight w:val="234"/>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Arial" w:cs="Arial" w:eastAsia="Arial" w:hAnsi="Arial"/>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w:t>
            </w:r>
          </w:p>
        </w:tc>
        <w:tc>
          <w:tcPr>
            <w:tcW w:w="6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(7,750)</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due to foreign currency translation</w:t>
            </w:r>
          </w:p>
        </w:tc>
        <w:tc>
          <w:tcPr>
            <w:tcW w:w="6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June 30, 2018</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12,026</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8 “Financing Arrangements” for additional information on our senior secured credit facility.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8 “Financing Arrangements” for additional information on our promissory note due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237,827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232,415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232,578</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differences between the $250 million principal amount of the Convertible Notes and the carrying amounts shown above represent the unamortized debt discount and issuance costs. As of June 30, 2018 and December 31, 2017, the carrying value of the equity component of $39.3 million was unchanged from the date of issuance. Refer to Note 8 “Financing Arrangements” for additional information on our Convertible Notes. The estimated fair value of the Convertible Notes was determined based on the quoted bid price of the Convertible Notes in an over-the-counter market, which is a Level 2 input, on the last day of trading for the quarters ended June 30, 2018 and December 31, 2017.</w:t>
      </w:r>
    </w:p>
    <w:p>
      <w:pPr>
        <w:spacing w:after="0" w:line="1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Based on the closing price of our common stock of $40.90 on June 30, 2018, the if-converted value of the Convertible Notes was less than the principal amount.</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set forth the components of other comprehensive income, net of tax, for the three and six months ended June 30, 2018 and 2017.</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Three Months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2018</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June 30, 2017</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Before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 of</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Before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Taxes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Taxes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802</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453"/>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5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90"/>
              </w:rPr>
              <w:t>Six Months Ended</w:t>
            </w:r>
          </w:p>
        </w:tc>
        <w:tc>
          <w:tcPr>
            <w:tcW w:w="9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June 30, 2017</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Tax</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Before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(Expense)</w:t>
            </w: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Before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Benefit</w:t>
            </w:r>
          </w:p>
        </w:tc>
        <w:tc>
          <w:tcPr>
            <w:tcW w:w="20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(920)</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1,226</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1,730</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Available-for-Sale</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24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Cash Flow Hedges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10,370</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5,020</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three months ended June 30, 2018, our effective tax rate was 30.4% as we recognized income tax expense from continuing operations of $2.6 million on income from continuing operations of $8.4 million. The effective tax rate of 30.4% was less favorable than the statutory rate, inclusive of state income taxes, of 26.0%, primarily due to non-deductible business expenses. For the three months ended June 30, 2017, our effective tax rate was 26.2% as we recognized an income tax benefit from continuing operations of $53.5 million on a loss from continuing operations of $204.0 million. The effective tax rate for the three months ended June 30, 2017 was less favorable than the statutory rate, inclusive of state income taxes, primarily due to the non-deductible portion of the goodwill impairment charge recorded in the second quarter of 2017.</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six months ended June 30, 2018, our effective tax rate was 53.0% as we recognized income tax expense from continuing operations of $3.0 million on income from continuing operations of $5.6 million. The effective tax rate for the six months ended June 30, 2018 was less favorable than the statutory rate, inclusive of state income taxes, of 26.0%, primarily due to discrete tax expense of $1.3 million for share-based compensation awards that vested during the first quarter of 2018, which had an unfavorable impact of 22.5% on the effective tax rate, and non-deductible business expenses. For the six months ended June 30, 2017, our effective tax rate was 24.7% as we recognized income tax benefit from continuing operations of $47.8 million on a loss from continuing operations of $193.1 million. The effective tax rate for the six months ended June 30, 2017 was less favorable than the statutory rate, inclusive of state income taxes, primarily due to the non-deductible portion of the goodwill impairment charge recorded in the second quarter of 2017. The effective tax rate for the first half of 2017 was also less favorable than the statutory rate, inclusive of state income taxes, due to discrete tax expense for share-based compensation of $1.7 million.</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22, 2017, the President of the United States signed into law the Tax Cuts and Jobs Act ("2017 Tax Reform"), a tax reform bill which, among other items, reduced the corporate federal income tax rate from 35% to 21% and moved from a worldwide tax system to a territorial system. During the fourth quarter of 2017, we estimated the remeasurement of our net deferred taxes based on the new lower rate, as well as provided for additional one-time income tax expense estimates primarily related to the transition tax on accumulated foreign earnings and elimination of foreign tax credits for dividends that are subject to the 100 percent exemption. During the first quarter of 2018, we recorded an additional $0.1 million of tax expense related to the transition tax on accumulated foreign earnings. No adjustments to the provisional results were made in the second quarter of 2018. We continue to analyze the impact of the 2017 Tax Reform, and, in accordance</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with Staff Accounting Bulletin No. 118, which was issued as a result of the 2017 Tax Reform, we will finalize the analysis no later than one year from the enactment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Contingencies and Guarantees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second quarter of 2018, we reached a settlement agreement related to Huron's claim in a class action lawsuit, resulting in a gain of $2.5 million being recorded. We collected the $2.5 million cash settlement during the second quarter of 2018.</w:t>
      </w:r>
    </w:p>
    <w:p>
      <w:pPr>
        <w:spacing w:after="0" w:line="1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Guarantees in the form of letters of credit totaling $1.6 million and $1.9 million were outstanding at June 30, 2018 and December 31, 2017, primarily to support certain office lease obligations.</w:t>
      </w:r>
    </w:p>
    <w:p>
      <w:pPr>
        <w:spacing w:after="0" w:line="116"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June 30, 2018 and December 31, 2017, the total estimated fair value of our contingent consideration liabilities was $12.0 million and $22.8 million, respectively.</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1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has a depth of expertise in strategy and innovation,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34"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patient experience.</w:t>
      </w:r>
    </w:p>
    <w:p>
      <w:pPr>
        <w:spacing w:after="0" w:line="100"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75" w:lineRule="exact"/>
        <w:rPr>
          <w:rFonts w:ascii="Arial" w:cs="Arial" w:eastAsia="Arial" w:hAnsi="Arial"/>
          <w:sz w:val="18"/>
          <w:szCs w:val="18"/>
          <w:b w:val="1"/>
          <w:bCs w:val="1"/>
          <w:color w:val="auto"/>
        </w:rPr>
      </w:pPr>
    </w:p>
    <w:p>
      <w:pPr>
        <w:ind w:left="6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w:t>
      </w:r>
    </w:p>
    <w:p>
      <w:pPr>
        <w:sectPr>
          <w:pgSz w:w="11900" w:h="16838" w:orient="portrait"/>
          <w:cols w:equalWidth="0" w:num="1">
            <w:col w:w="11360"/>
          </w:cols>
          <w:pgMar w:left="240" w:top="125" w:right="299" w:bottom="1440" w:gutter="0" w:footer="0" w:header="0"/>
        </w:sect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60"/>
          </w:cols>
          <w:pgMar w:left="240" w:top="125" w:right="2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right="280"/>
        <w:spacing w:after="0" w:line="273" w:lineRule="auto"/>
        <w:rPr>
          <w:sz w:val="20"/>
          <w:szCs w:val="20"/>
          <w:color w:val="auto"/>
        </w:rPr>
      </w:pPr>
      <w:r>
        <w:rPr>
          <w:rFonts w:ascii="Arial" w:cs="Arial" w:eastAsia="Arial" w:hAnsi="Arial"/>
          <w:sz w:val="17"/>
          <w:szCs w:val="17"/>
          <w:color w:val="auto"/>
        </w:rPr>
        <w:t>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2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spacing w:after="0" w:line="254" w:lineRule="auto"/>
        <w:rPr>
          <w:rFonts w:ascii="Arial" w:cs="Arial" w:eastAsia="Arial" w:hAnsi="Arial"/>
          <w:sz w:val="18"/>
          <w:szCs w:val="18"/>
          <w:color w:val="auto"/>
        </w:rPr>
      </w:pPr>
      <w:r>
        <w:rPr>
          <w:rFonts w:ascii="Arial" w:cs="Arial" w:eastAsia="Arial" w:hAnsi="Arial"/>
          <w:sz w:val="18"/>
          <w:szCs w:val="18"/>
          <w:color w:val="auto"/>
        </w:rPr>
        <w:t>Our Education segment provides management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3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table below sets forth information about our operating segments for the three and six months ended June 30, 2018 and 2017, along with the items necessary to reconcile the segment information to the totals reported in the accompanying consolidated financial statements.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91,500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83,227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181,395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181,679</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51,532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57,802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57,720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54,265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113,615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102,381</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23,216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22,058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48,324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43,926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96,213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86,207</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22,680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24,010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197,544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181,418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391,223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370,267</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20,733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38,352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37,880</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218,277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202,348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429,575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408,147</w:t>
            </w:r>
          </w:p>
        </w:tc>
      </w:tr>
      <w:tr>
        <w:trPr>
          <w:trHeight w:val="67"/>
        </w:trPr>
        <w:tc>
          <w:tcPr>
            <w:tcW w:w="53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1"/>
        </w:trPr>
        <w:tc>
          <w:tcPr>
            <w:tcW w:w="53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52,545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48,339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97,428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103,870</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31,197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30,732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64,125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63,195</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9,684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17,720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18,603</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Goodwill impairment charge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10,715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15,846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6,657</w:t>
            </w:r>
          </w:p>
        </w:tc>
      </w:tr>
      <w:tr>
        <w:trPr>
          <w:trHeight w:val="27"/>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(193,083)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goodwill impairment charge is not allocated at the segment level because the underlying goodwill asset is reflective of our corporate investment in the segments. We do not include the impact of goodwill impairment charges in our evaluation of segment performance.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following table illustrates the disaggregation of revenues by billing arrangements, employee types, and timing of revenue recognition, including a reconciliation of the disaggregated revenues to revenues from our three operating segments for the three and six months ended June 30, 2018.</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00" w:type="dxa"/>
            <w:vAlign w:val="bottom"/>
            <w:gridSpan w:val="9"/>
          </w:tcPr>
          <w:p>
            <w:pPr>
              <w:jc w:val="center"/>
              <w:ind w:right="90"/>
              <w:spacing w:after="0"/>
              <w:rPr>
                <w:sz w:val="20"/>
                <w:szCs w:val="20"/>
                <w:color w:val="auto"/>
              </w:rPr>
            </w:pPr>
            <w:r>
              <w:rPr>
                <w:rFonts w:ascii="Arial" w:cs="Arial" w:eastAsia="Arial" w:hAnsi="Arial"/>
                <w:sz w:val="18"/>
                <w:szCs w:val="18"/>
                <w:b w:val="1"/>
                <w:bCs w:val="1"/>
                <w:color w:val="auto"/>
                <w:w w:val="89"/>
              </w:rPr>
              <w:t>Three months ended June 30, 2018</w:t>
            </w:r>
          </w:p>
        </w:tc>
        <w:tc>
          <w:tcPr>
            <w:tcW w:w="9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Healthcare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Billing Arrangements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Fixed-fee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61,760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23,554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8,134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93,448</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expense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81,989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Performance-based</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11,481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support, maintenance and subscriptions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10,626</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91,500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57,720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48,324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197,544</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generated by full-time billable consultants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62,138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158,812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Revenue generated by full-time equivalents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38,732</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197,544</w:t>
            </w:r>
          </w:p>
        </w:tc>
      </w:tr>
      <w:tr>
        <w:trPr>
          <w:trHeight w:val="284"/>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Timing of Revenue Recognition</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Revenue recognized over time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89,607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57,720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47,429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194,756</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at a point in time</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91,500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57,720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48,324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197,544</w:t>
            </w:r>
          </w:p>
        </w:tc>
      </w:tr>
      <w:tr>
        <w:trPr>
          <w:trHeight w:val="459"/>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88"/>
              </w:rPr>
              <w:t>Six months ended June 30, 2018</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Healthcare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Billing Arrangements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Fixed-fee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122,029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45,974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19,440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187,443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expense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159,557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Performance-based</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19,404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22,581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support, maintenance and subscriptions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21,642</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181,395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113,615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96,213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391,223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generated by full-time billable consultants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121,411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313,133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Revenue generated by full-time equivalents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12,676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78,090</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181,395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391,223</w:t>
            </w:r>
          </w:p>
        </w:tc>
      </w:tr>
      <w:tr>
        <w:trPr>
          <w:trHeight w:val="284"/>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Timing of Revenue Recognition</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Revenue recognized over time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177,948</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113,615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94,014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385,577</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at a point in time</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5,646</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181,395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113,615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96,213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391,223</w:t>
            </w:r>
          </w:p>
        </w:tc>
      </w:tr>
    </w:tbl>
    <w:p>
      <w:pPr>
        <w:spacing w:after="0" w:line="121" w:lineRule="exact"/>
        <w:rPr>
          <w:sz w:val="20"/>
          <w:szCs w:val="20"/>
          <w:color w:val="auto"/>
        </w:rPr>
      </w:pPr>
    </w:p>
    <w:p>
      <w:pPr>
        <w:ind w:left="660" w:right="20" w:hanging="652"/>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Full-time billable consultants consist of our full-time professionals who provide consulting services to our clients and are billable to our clients based on the number of hours worked. Full-time equivalent professionals consist of our cultural transformation consultants within our Studer Group solution, which include coaches and their support staff, as well as consultants who work variable schedules as needed by our clients and full-time employees who provide software support and maintenance services to our clients.</w:t>
      </w:r>
    </w:p>
    <w:p>
      <w:pPr>
        <w:spacing w:after="0" w:line="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At June 30, 2018 and December 31, 2017, no single client accounted for greater than 10% of our combined receivables and unbilled services balances. During the three and six months ended June 30, 2018 and 2017, no single client generated greater than 10% of our consolidated revenues.</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2017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Huron is a global consultancy that helps clients drive growth, enhance performance and sustain leadership in the markets they serve. We partner with clients to develop strategies and implement solutions that enable the transformative change our clients need to own their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Business Advisory, and Education.</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71"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has a depth of expertise in strategy and innovation,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34"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patient experience.</w:t>
      </w:r>
    </w:p>
    <w:p>
      <w:pPr>
        <w:spacing w:after="0" w:line="104"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Advisory</w:t>
      </w:r>
    </w:p>
    <w:p>
      <w:pPr>
        <w:spacing w:after="0" w:line="171" w:lineRule="exact"/>
        <w:rPr>
          <w:rFonts w:ascii="Arial" w:cs="Arial" w:eastAsia="Arial" w:hAnsi="Arial"/>
          <w:sz w:val="18"/>
          <w:szCs w:val="18"/>
          <w:color w:val="auto"/>
        </w:rPr>
      </w:pPr>
    </w:p>
    <w:p>
      <w:pPr>
        <w:ind w:left="660" w:right="100"/>
        <w:spacing w:after="0" w:line="270" w:lineRule="auto"/>
        <w:rPr>
          <w:rFonts w:ascii="Arial" w:cs="Arial" w:eastAsia="Arial" w:hAnsi="Arial"/>
          <w:sz w:val="18"/>
          <w:szCs w:val="18"/>
          <w:color w:val="auto"/>
        </w:rPr>
      </w:pPr>
      <w:r>
        <w:rPr>
          <w:rFonts w:ascii="Arial" w:cs="Arial" w:eastAsia="Arial" w:hAnsi="Arial"/>
          <w:sz w:val="17"/>
          <w:szCs w:val="17"/>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ectPr>
          <w:pgSz w:w="11900" w:h="16838" w:orient="portrait"/>
          <w:cols w:equalWidth="0" w:num="1">
            <w:col w:w="11360"/>
          </w:cols>
          <w:pgMar w:left="240" w:top="125" w:right="299" w:bottom="1440" w:gutter="0" w:footer="0" w:header="0"/>
        </w:sect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60"/>
          </w:cols>
          <w:pgMar w:left="240" w:top="125" w:right="2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71" w:lineRule="exact"/>
        <w:rPr>
          <w:rFonts w:ascii="Arial" w:cs="Arial" w:eastAsia="Arial" w:hAnsi="Arial"/>
          <w:sz w:val="18"/>
          <w:szCs w:val="18"/>
          <w:b w:val="1"/>
          <w:bCs w:val="1"/>
          <w:color w:val="auto"/>
        </w:rPr>
      </w:pPr>
    </w:p>
    <w:p>
      <w:pPr>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Education segment provides management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38"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color w:val="auto"/>
        </w:rPr>
        <w:t>Huron is a Platinum level member of the Oracle PartnerNetwork (OPN), a Workday Services Partner, and a Gold level consulting partner with Salesforce.com.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cultural transformation consultants from our Studer Group solution, which include coaches and their support staff,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In these engagements, it is the client’s expectation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1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Fixed-fee engagements represented 47.3% and 45.9% of our revenues for the three months ended June 30, 2018 and 2017, respectively, and 47.9% and 44.1% of our revenues for the six months ended June 30, 2018 and 2017, respectively.</w:t>
      </w:r>
    </w:p>
    <w:p>
      <w:pPr>
        <w:spacing w:after="0" w:line="1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billing arrangements as the related services or publications are provided. Time-and-expense engagements represented 41.5% and 46.4% of our revenues for the three months ended June 30, 2018 and 2017, respectively, and 40.8% and 44.7% of our revenues for the six months ended June 30, 2018 and 2017, respectively.</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w:t>
      </w:r>
    </w:p>
    <w:p>
      <w:pPr>
        <w:sectPr>
          <w:pgSz w:w="11900" w:h="16838" w:orient="portrait"/>
          <w:cols w:equalWidth="0" w:num="1">
            <w:col w:w="11400"/>
          </w:cols>
          <w:pgMar w:left="240" w:top="125" w:right="25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5"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fixed-fee or time-and-expense engagements. Effective January 1, 2018, we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on a modified retrospective basis and began recognizing revenues under performance-based billing arrangements by estimating the amount of variable consideration that is probable of being earned, and recognizing that estimate over the length of the contract using a proportionate performance approach. Prior to adopting ASC 606 in 2018, we recognized revenues under performance-based billing arrangements when all related performance criteria were met. Refer to Note 2 "Basis of Presentation" and Note 3 "New Accounting Pronouncements" for additional information on our adoption of ASC 606. Performance-based fee revenues represented 5.8% and 2.5% of our revenues for the three months ended June 30, 2018 and 2017, respectively, and 5.8% and 4.5% of our revenues for the six months ended June 30, 2018 and 2017, respectively. Refer to our Segment Results discussed below for additional information on the impact of ASC 606 on our performance-based fee revenues.</w:t>
      </w:r>
    </w:p>
    <w:p>
      <w:pPr>
        <w:spacing w:after="0" w:line="1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 Software support, maintenance and subscription revenues represented 5.4% and 5.2% of our revenues for the three months ended June 30, 2018 and 2017, respectively, and 5.5% and 6.7% of our revenues for the six months ended June 30, 2018 and 2017, respectively.</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quarterly results are impacted principally by our full-time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2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40" w:right="1120"/>
        <w:spacing w:after="0" w:line="347" w:lineRule="auto"/>
        <w:rPr>
          <w:sz w:val="20"/>
          <w:szCs w:val="20"/>
          <w:color w:val="auto"/>
        </w:rPr>
      </w:pPr>
      <w:r>
        <w:rPr>
          <w:rFonts w:ascii="Arial" w:cs="Arial" w:eastAsia="Arial" w:hAnsi="Arial"/>
          <w:sz w:val="15"/>
          <w:szCs w:val="15"/>
          <w:b w:val="1"/>
          <w:bCs w:val="1"/>
          <w:color w:val="auto"/>
        </w:rPr>
        <w:t>Segment and Consolidated Operating Results (in thousands, except per share amounts):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shd w:val="clear" w:color="auto" w:fill="CCEEFF"/>
        </w:rPr>
        <w:t>Healthcare: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0"/>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1040" w:type="dxa"/>
            <w:vAlign w:val="bottom"/>
          </w:tcPr>
          <w:p>
            <w:pPr>
              <w:spacing w:after="0"/>
              <w:rPr>
                <w:sz w:val="20"/>
                <w:szCs w:val="20"/>
                <w:color w:val="auto"/>
              </w:rPr>
            </w:pPr>
          </w:p>
        </w:tc>
        <w:tc>
          <w:tcPr>
            <w:tcW w:w="204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0"/>
                <w:szCs w:val="20"/>
                <w:color w:val="auto"/>
              </w:rPr>
            </w:pPr>
          </w:p>
        </w:tc>
        <w:tc>
          <w:tcPr>
            <w:tcW w:w="19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8"/>
              </w:rPr>
              <w:t>June 30,</w:t>
            </w:r>
          </w:p>
        </w:tc>
      </w:tr>
      <w:tr>
        <w:trPr>
          <w:trHeight w:val="27"/>
        </w:trPr>
        <w:tc>
          <w:tcPr>
            <w:tcW w:w="10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r>
      <w:tr>
        <w:trPr>
          <w:trHeight w:val="237"/>
        </w:trPr>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9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2017</w:t>
            </w:r>
          </w:p>
        </w:tc>
      </w:tr>
      <w:tr>
        <w:trPr>
          <w:trHeight w:val="27"/>
        </w:trPr>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-8255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4640" w:space="720"/>
            <w:col w:w="60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91,500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83,227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181,395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181,679</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57,802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57,720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54,265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113,615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102,381</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22,058</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48,324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43,926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96,213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86,207</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24,010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197,544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181,418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391,223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370,267</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20,733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38,352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37,880</w:t>
            </w:r>
          </w:p>
        </w:tc>
      </w:tr>
      <w:tr>
        <w:trPr>
          <w:trHeight w:val="237"/>
        </w:trPr>
        <w:tc>
          <w:tcPr>
            <w:tcW w:w="536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218,277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202,348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429,575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408,147</w:t>
            </w:r>
          </w:p>
        </w:tc>
      </w:tr>
      <w:tr>
        <w:trPr>
          <w:trHeight w:val="67"/>
        </w:trPr>
        <w:tc>
          <w:tcPr>
            <w:tcW w:w="53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5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52,545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48,339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97,428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103,870</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31,197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30,732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64,125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63,195</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gains, net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9,684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18,603</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Goodwill impairment charge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19,138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(200,575)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21,460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(186,426)</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(6,657)</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8,423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(203,986)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(193,083)</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(47,756)</w:t>
            </w: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5,862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(150,482)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(145,327)</w:t>
            </w:r>
          </w:p>
        </w:tc>
      </w:tr>
      <w:tr>
        <w:trPr>
          <w:trHeight w:val="23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from continuing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(6.80)</w:t>
            </w: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r>
      <w:tr>
        <w:trPr>
          <w:trHeight w:val="27"/>
        </w:trPr>
        <w:tc>
          <w:tcPr>
            <w:tcW w:w="5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6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r>
      <w:tr>
        <w:trPr>
          <w:trHeight w:val="27"/>
        </w:trPr>
        <w:tc>
          <w:tcPr>
            <w:tcW w:w="54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5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750</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737</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519</w:t>
            </w:r>
          </w:p>
        </w:tc>
      </w:tr>
      <w:tr>
        <w:trPr>
          <w:trHeight w:val="27"/>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2,006</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 xml:space="preserve">Average number of full-time billable consultants (for the period) </w:t>
            </w:r>
            <w:r>
              <w:rPr>
                <w:rFonts w:ascii="Arial" w:cs="Arial" w:eastAsia="Arial" w:hAnsi="Arial"/>
                <w:sz w:val="21"/>
                <w:szCs w:val="21"/>
                <w:b w:val="1"/>
                <w:bCs w:val="1"/>
                <w:color w:val="auto"/>
                <w:w w:val="93"/>
                <w:vertAlign w:val="superscript"/>
              </w:rPr>
              <w:t>(2)</w:t>
            </w:r>
            <w:r>
              <w:rPr>
                <w:rFonts w:ascii="Arial" w:cs="Arial" w:eastAsia="Arial" w:hAnsi="Arial"/>
                <w:sz w:val="18"/>
                <w:szCs w:val="18"/>
                <w:b w:val="1"/>
                <w:bCs w:val="1"/>
                <w:color w:val="auto"/>
                <w:w w:val="93"/>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837</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675</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483</w:t>
            </w:r>
          </w:p>
        </w:tc>
      </w:tr>
      <w:tr>
        <w:trPr>
          <w:trHeight w:val="237"/>
        </w:trPr>
        <w:tc>
          <w:tcPr>
            <w:tcW w:w="5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1,995</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1"/>
                <w:szCs w:val="21"/>
                <w:b w:val="1"/>
                <w:bCs w:val="1"/>
                <w:color w:val="auto"/>
                <w:vertAlign w:val="superscript"/>
              </w:rPr>
              <w:t>(4)</w:t>
            </w: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205</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194</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w:t>
            </w:r>
          </w:p>
        </w:tc>
      </w:tr>
      <w:tr>
        <w:trPr>
          <w:trHeight w:val="243"/>
        </w:trPr>
        <w:tc>
          <w:tcPr>
            <w:tcW w:w="5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204</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142</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157</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1"/>
                <w:szCs w:val="21"/>
                <w:b w:val="1"/>
                <w:bCs w:val="1"/>
                <w:color w:val="auto"/>
                <w:vertAlign w:val="superscript"/>
              </w:rPr>
              <w:t>(5)</w:t>
            </w: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r>
      <w:tr>
        <w:trPr>
          <w:trHeight w:val="237"/>
        </w:trPr>
        <w:tc>
          <w:tcPr>
            <w:tcW w:w="5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270</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293</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281</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288</w:t>
            </w:r>
          </w:p>
        </w:tc>
      </w:tr>
      <w:tr>
        <w:trPr>
          <w:trHeight w:val="27"/>
        </w:trPr>
        <w:tc>
          <w:tcPr>
            <w:tcW w:w="5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40" w:right="320" w:hanging="532"/>
        <w:spacing w:after="0" w:line="317"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non-cash goodwill impairment charge is not allocated at the segment level because the underlying goodwill asset is reflective of our corporate investment in the segments. We do not include the impact of goodwill impairment charges in our evaluation of segment performance.</w:t>
      </w: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ind w:left="540" w:right="100" w:hanging="532"/>
        <w:spacing w:after="0" w:line="26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our full-time billable consultants worked on client assignments during a period by the total available working hours for these consultants during the same period, assuming a forty-hour work week, less paid holidays and vacation days.</w:t>
      </w:r>
    </w:p>
    <w:p>
      <w:pPr>
        <w:spacing w:after="0" w:line="19"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8" w:lineRule="exact"/>
        <w:rPr>
          <w:rFonts w:ascii="Arial" w:cs="Arial" w:eastAsia="Arial" w:hAnsi="Arial"/>
          <w:sz w:val="18"/>
          <w:szCs w:val="18"/>
          <w:color w:val="auto"/>
        </w:rPr>
      </w:pPr>
    </w:p>
    <w:p>
      <w:pPr>
        <w:ind w:left="540" w:right="60" w:hanging="532"/>
        <w:spacing w:after="0" w:line="34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cultural transformation consultants within our Studer Group solution, which include coaches and their support staff, consultants who work variable schedules as needed by our clients, and full-time employees who provide software support and maintenance services to our clients.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197,544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181,418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391,223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370,267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(150,482)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(145,327)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(47,756)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9,885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19,906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24,334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1"/>
              </w:rPr>
              <w:t>Earnings (loss) before interest, taxes, depreciation and amortization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0"/>
              <w:spacing w:after="0" w:line="205" w:lineRule="exact"/>
              <w:rPr>
                <w:sz w:val="20"/>
                <w:szCs w:val="20"/>
                <w:color w:val="auto"/>
              </w:rPr>
            </w:pPr>
            <w:r>
              <w:rPr>
                <w:rFonts w:ascii="Arial" w:cs="Arial" w:eastAsia="Arial" w:hAnsi="Arial"/>
                <w:sz w:val="18"/>
                <w:szCs w:val="18"/>
                <w:color w:val="auto"/>
              </w:rPr>
              <w:t>23,330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5" w:lineRule="exact"/>
              <w:rPr>
                <w:sz w:val="20"/>
                <w:szCs w:val="20"/>
                <w:color w:val="auto"/>
              </w:rPr>
            </w:pPr>
            <w:r>
              <w:rPr>
                <w:rFonts w:ascii="Arial" w:cs="Arial" w:eastAsia="Arial" w:hAnsi="Arial"/>
                <w:sz w:val="18"/>
                <w:szCs w:val="18"/>
                <w:color w:val="auto"/>
              </w:rPr>
              <w:t>(186,630)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0"/>
              <w:spacing w:after="0" w:line="205" w:lineRule="exact"/>
              <w:rPr>
                <w:sz w:val="20"/>
                <w:szCs w:val="20"/>
                <w:color w:val="auto"/>
              </w:rPr>
            </w:pPr>
            <w:r>
              <w:rPr>
                <w:rFonts w:ascii="Arial" w:cs="Arial" w:eastAsia="Arial" w:hAnsi="Arial"/>
                <w:sz w:val="18"/>
                <w:szCs w:val="18"/>
                <w:color w:val="auto"/>
              </w:rPr>
              <w:t>35,528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5" w:lineRule="exact"/>
              <w:rPr>
                <w:sz w:val="20"/>
                <w:szCs w:val="20"/>
                <w:color w:val="auto"/>
              </w:rPr>
            </w:pPr>
            <w:r>
              <w:rPr>
                <w:rFonts w:ascii="Arial" w:cs="Arial" w:eastAsia="Arial" w:hAnsi="Arial"/>
                <w:sz w:val="18"/>
                <w:szCs w:val="18"/>
                <w:color w:val="auto"/>
              </w:rPr>
              <w:t>(159,818)</w:t>
            </w: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Add back:</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Litigation and other gains, net</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charge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209,600</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Loss (gain) on sale of businesses</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5,831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5,831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24,678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24,525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38,365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51,633</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EBITDA as a percentage of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9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(145,327)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21,918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Litigation and other gains,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Goodwill impairment charge</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209,600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209,600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interest on 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Loss (gain) on sale of businesses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w w:val="92"/>
              </w:rPr>
              <w:t>Tax expense related to the enactment of Tax Cut and Jobs Act of 2017</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adjustments,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161,062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167,729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12,780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16,991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22,402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weighted average shares - diluted</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Litigation and other gains, net: </w:t>
      </w:r>
      <w:r>
        <w:rPr>
          <w:rFonts w:ascii="Arial" w:cs="Arial" w:eastAsia="Arial" w:hAnsi="Arial"/>
          <w:sz w:val="18"/>
          <w:szCs w:val="18"/>
          <w:color w:val="auto"/>
        </w:rPr>
        <w:t>We have excluded the effects of the litigation settlement gain recorded in the second quarter of 2018 and net remeasurement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gains related to contingent acquisition liabilities to permit comparability with periods that were not impacted by these items.</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Goodwill impairment charge: </w:t>
      </w:r>
      <w:r>
        <w:rPr>
          <w:rFonts w:ascii="Arial" w:cs="Arial" w:eastAsia="Arial" w:hAnsi="Arial"/>
          <w:sz w:val="18"/>
          <w:szCs w:val="18"/>
          <w:color w:val="auto"/>
        </w:rPr>
        <w:t>We have excluded the effect of the goodwill impairment charge recorded in the second quarter of 2017 as this is an infrequent</w:t>
      </w:r>
      <w:r>
        <w:rPr>
          <w:rFonts w:ascii="Arial" w:cs="Arial" w:eastAsia="Arial" w:hAnsi="Arial"/>
          <w:sz w:val="18"/>
          <w:szCs w:val="18"/>
          <w:i w:val="1"/>
          <w:iCs w:val="1"/>
          <w:color w:val="auto"/>
        </w:rPr>
        <w:t xml:space="preserve"> </w:t>
      </w:r>
      <w:r>
        <w:rPr>
          <w:rFonts w:ascii="Arial" w:cs="Arial" w:eastAsia="Arial" w:hAnsi="Arial"/>
          <w:sz w:val="18"/>
          <w:szCs w:val="18"/>
          <w:color w:val="auto"/>
        </w:rPr>
        <w:t>event and its exclusion permits comparability with periods that were not impacted by such charge.</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Loss (gain) on sale of businesses: </w:t>
      </w:r>
      <w:r>
        <w:rPr>
          <w:rFonts w:ascii="Arial" w:cs="Arial" w:eastAsia="Arial" w:hAnsi="Arial"/>
          <w:sz w:val="18"/>
          <w:szCs w:val="18"/>
          <w:color w:val="auto"/>
        </w:rPr>
        <w:t>We have excluded the effect of the loss on the sale of the Middle East practice within the Business Advisory segment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2018 and the gain on the sale of Life Sciences Compliance and Operations in the second quarter of 2017, as these divestitures are infrequent and are not indicative of the ongoing performance of our business.</w:t>
      </w:r>
    </w:p>
    <w:p>
      <w:pPr>
        <w:spacing w:after="0" w:line="12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Tax expense related to the enactment of Tax Cuts and Jobs Act of 2017 ("2017 Tax Reform"): </w:t>
      </w:r>
      <w:r>
        <w:rPr>
          <w:rFonts w:ascii="Arial" w:cs="Arial" w:eastAsia="Arial" w:hAnsi="Arial"/>
          <w:sz w:val="17"/>
          <w:szCs w:val="17"/>
          <w:color w:val="auto"/>
        </w:rPr>
        <w:t>We have excluded the impact of the 2017 Tax Reform, which</w:t>
      </w:r>
      <w:r>
        <w:rPr>
          <w:rFonts w:ascii="Arial" w:cs="Arial" w:eastAsia="Arial" w:hAnsi="Arial"/>
          <w:sz w:val="17"/>
          <w:szCs w:val="17"/>
          <w:i w:val="1"/>
          <w:iCs w:val="1"/>
          <w:color w:val="auto"/>
        </w:rPr>
        <w:t xml:space="preserve"> </w:t>
      </w:r>
      <w:r>
        <w:rPr>
          <w:rFonts w:ascii="Arial" w:cs="Arial" w:eastAsia="Arial" w:hAnsi="Arial"/>
          <w:sz w:val="17"/>
          <w:szCs w:val="17"/>
          <w:color w:val="auto"/>
        </w:rPr>
        <w:t>was enacted in the fourth quarter of 2017. In the first quarter of 2018, we recorded an adjustment to our estimated one-time income tax expense related to the transition tax on accumulated foreign earnings. The exclusion of the 2017 Tax Reform impact permits comparability with prior periods.</w:t>
      </w:r>
    </w:p>
    <w:p>
      <w:pPr>
        <w:spacing w:after="0" w:line="1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Foreign currency transaction losses (gains), net: </w:t>
      </w:r>
      <w:r>
        <w:rPr>
          <w:rFonts w:ascii="Arial" w:cs="Arial" w:eastAsia="Arial" w:hAnsi="Arial"/>
          <w:sz w:val="17"/>
          <w:szCs w:val="17"/>
          <w:color w:val="auto"/>
        </w:rPr>
        <w:t>We have excluded the effect of foreign currency transaction losses and gains from the calculation of adjusted</w:t>
      </w:r>
      <w:r>
        <w:rPr>
          <w:rFonts w:ascii="Arial" w:cs="Arial" w:eastAsia="Arial" w:hAnsi="Arial"/>
          <w:sz w:val="17"/>
          <w:szCs w:val="17"/>
          <w:i w:val="1"/>
          <w:iCs w:val="1"/>
          <w:color w:val="auto"/>
        </w:rPr>
        <w:t xml:space="preserve"> </w:t>
      </w:r>
      <w:r>
        <w:rPr>
          <w:rFonts w:ascii="Arial" w:cs="Arial" w:eastAsia="Arial" w:hAnsi="Arial"/>
          <w:sz w:val="17"/>
          <w:szCs w:val="17"/>
          <w:color w:val="auto"/>
        </w:rPr>
        <w:t>EBITDA because the amount of each loss or gain is significantly affected by timing and changes in foreign exchange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impact applicable to the non-GAAP adjustments.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three and six months ended June 30, 2017, GAAP diluted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outstanding equals the basic weighted average shares outstanding for that period. For the three and six months ended June 30, 2017, the non-GAAP adjustments described above resulted in an adjusted net income from continuing operations. Therefore, we included the dilutive common stock equivalents in the calculation of adjusted diluted weighted average shares outstanding for that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to Three Months Ended June 30,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$16.1 million, or 8.9%, to $197.5 million for the second quarter of 2018 from $181.4 million for the second quarter of 2017.</w:t>
      </w:r>
    </w:p>
    <w:p>
      <w:pPr>
        <w:spacing w:after="0" w:line="17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On January 1, 2018, we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on a modified retrospective basis, which resulted in changes to our accounting policy for revenue recognition, most notably for performance-based billing arrangements. During the second quarter of 2018, performance-based fee revenue was $11.5 million compared to $4.6 million in the same prior year period. Refer to Note 2 "Basis of Presentation" and Note 3 "New Accounting Pronouncements" within the notes to our consolidated financial statements for additional information on our adoption of ASC 606.</w:t>
      </w:r>
    </w:p>
    <w:p>
      <w:pPr>
        <w:spacing w:after="0" w:line="1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the overall $16.1 million increase in revenues, $14.9 million was attributable to an increase in revenues from our full-time billable consultants and $1.2 million was attributable to an increase in revenues from our full-time equivalents.</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increase in full-time billable consultant revenues reflected strengthened demand for services in all of our segments as discussed below in Segment Results and was primarily attributable to increases in the average number of billable consultants, the average billing rate, and the consultant utilization rate for the second quarter of 2018 compared to the same prior year period.</w:t>
      </w:r>
    </w:p>
    <w:p>
      <w:pPr>
        <w:spacing w:after="0" w:line="12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increase in full-time equivalent revenues was primarily attributable to an increased use of contractors in our Education and Business Advisory segments, partially offset by lower revenues in our Studer Group solution in our Healthcare segment, as discussed below in Segment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total direct costs, including amortization of intangible assets and software development costs, increased $12.1 million, or 10.4%, to $128.5 million in the three months ended June 30, 2018, from $116.4 million in the three months ended June 30, 2017. The $12.1 million increase primarily related to a $6.6 million increase in performance bonus expense for our revenue-generating professionals and a $6.3 million increase in salaries and related expenses for our revenue-generating professionals, which was largely driven by increased headcount in our Education and Business Advisory segments during the second quarter of 2018 compared to the second quarter of 2017. Additional increases included a $0.9 million increase in contractor expense and a $0.7 million increase in signing and retention bonus expense for our revenue-generating professionals. These increases were partially offset by a $1.9 million decrease in amortization expense for intangible assets and a $0.5 million decrease in product and event costs. As a percentage of revenues, our total direct costs increased to 65.1% during the second quarter of 2018 compared to 64.2% during the second quarter of 2017, primarily due to the increase in performance bonus expense, as a percentage of revenues, partially offset by revenue growth that outpaced the increase in salaries and related expenses for our revenue-generating professionals and the decrease in amortization expense for intangible assets.</w:t>
      </w:r>
    </w:p>
    <w:p>
      <w:pPr>
        <w:spacing w:after="0" w:line="12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Total direct costs for the three months ended June 30, 2018 included $1.0 million of amortization expense for intangible assets, primarily representing customer contracts and software acquired in business combinations, and internal software development costs, compared to $2.7 million of amortization expense for the same prior year period. The $1.8 million decrease in amortization expense was primarily attributable to decreasing amortization expense of customer contracts acquired in our Studer Group acquisition, due to the accelerated basis of amortization in prior periods, as well as certain intangible assets acquired in our Studer Group and Innosight acquisitions being fully amortized in prior periods. See Note 4 "Acquisitions" and Note 5 "Goodwill and Intangible Assets" within the notes to our consolidated financial statements for additional information about our intangible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Gains, Net</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Selling, general and administrative expenses increased by $1.8 million, or 4.1%, to $45.5 million in the second quarter of 2018 from $43.7 million in the second quarter of 2017. The overall $1.8 million increase primarily related to a $2.7 million increase in performance bonus expense for our support personnel, partially offset by a $0.7 million decrease in travel and entertainment costs. As a percentage of revenues, selling, general and administrative expenses decreased to 23.0% during the second quarter of 2018 compared to 24.1% during the second quarter of 2017, primarily due to revenue growth that outpaced an increase in salaries and related expenses for our support personnel and the decrease in travel and entertainment costs, as well as decreases in promotion and marketing expenses and facilities and office related expenses. These decreases were partially offset by the increase in performance bonus expense for our support personnel, as a percentage of revenues.</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Restructuring charges for the second quarter of 2018 totaled $2.0 million, compared to $3.7 million for the second quarter of 2017. Of the $2.0 million charge incurred in the second quarter of 2018, $0.7 million related to workforce reductions in our Business Advisory segment to better align resources with market demand; $0.7 million related to the accrual of remaining lease payments, net of estimated sublease income, and accelerated depreciation on leasehold improvements due to exiting a portion of our Middleton, Wisconsin office in the second quarter of 2018; $0.3 million related to employee costs in our Healthcare segment; and $0.3 million related to the divestiture of our Middle East practice within the Business Advisory segment. The $3.7 million charge incurred in the second quarter of 2017 primarily consisted of $2.0 million related to workforce reductions in our Healthcare segment to better align resources with market demand; $1.0 million for the accrual of remaining lease obligations, net of estimated sublease income, for offices vacated in the second quarter of 2017 and accelerated depreciation on leasehold improvements of our San Francisco office; and $0.4 million related to workforce reductions in our corporate operations primarily to adjust our infrastructure to align with the decreased workforce in the Healthcare segment. See Note 9 "Restructuring Charges" within the notes to our consolidated financial statements for additional information on our restructuring charges.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Litigation and other gains, net totaled $6.7 million for the second quarter of 2018, which consisted of $4.2 million of net remeasurement gains for the decrease in the estimated fair value of our liabilities for contingent consideration payments related to business acquisitions and a $2.5 million litigation settlement gain for the resolution of Huron's claim in a class action lawsuit. Litigation and other gains, net totaled $1.1 million for the second quarter of 2017, which represented net remeasurement gains for the decrease in the estimated fair value of our liabilities for contingent consideration payments related to business acquisitions. In connection with certain business acquisitions, we may be required to pay post-closing consideration to the sellers if specific financial performance targets are met over a number of years as specified in the related purchase agreements. See Note 11 "Fair Value of Financial Instruments" within the notes to our consolidated financial statements for additional information on the fair value of contingent consideration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was $8.9 million in the three months ended June 30, 2018 compared to $9.7 million in the three months ended</w:t>
      </w:r>
    </w:p>
    <w:p>
      <w:pPr>
        <w:spacing w:after="0" w:line="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June 30, 2017. The $0.8 million decrease in depreciation and amortization expense was primarily attributable to decreasing amortization expense of the trade name acquired in our Studer Group acquisition, due to the accelerated basis of amortization in prior periods. Intangible asset amortization expense included within operating expenses primarily relates to the amortization of certain customer relationships, trade names, and non-compete agreements acquired in connection with our business acquisitions. See Note 4 "Acquisitions" and Note 5 "Goodwill and Intangible Assets" within the notes to our consolidated financial statements for additional information on our intangible assets.</w:t>
      </w:r>
    </w:p>
    <w:p>
      <w:pPr>
        <w:spacing w:after="0" w:line="1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second quarter of 2017, we recorded a $209.6 million non-cash pretax goodwill impairment charge related to our Healthcare reporting unit. This charge was non-cash in nature and did not affect our liquidity or debt covenants. See Note 5 "Goodwill and Intangible Assets" within the notes to our consolidated financial statements for additional information on this charge.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7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Operating income was $19.1 million in the second quarter of 2018 compared to an operating loss of $200.6 million in the second quarter of 2017, which was primarily attributable to the $209.6 million non-cash pretax goodwill impairment charge recorded in the second quarter of 2017 related to our Healthcare segment. See Note 5 "Goodwill and Intangible Assets" within the notes to our consolidated financial statements for additional information on the goodwill impairment charge. Operating margin, which is defined as operating income or loss expressed as a percentage of revenues, was 9.7% in the three months ended June 30, 2018, compared to (110.6)% in the three months ended June 30, 2017. The increase in operating margin was primarily attributable to the goodwill impairment charge recorded in the second quarter of 2017; the increase in remeasurement gains recorded in the second quarter of 2018 compared to the second quarter of 2017; the litigation settlement gain recorded in the second quarter of 2018; the decrease in restructuring charges and intangible asset amortization expense in the second quarter of 2018 compared to the second quarter of 2017; and revenue growth that outpaced the increase in salaries and related expenses for both our revenue-generating professionals and support personnel in the second quarter of 2018. These increases to the operating margin were partially offset by increases in performance bonus expense for both our revenue-generating professionals and support personnel, as a percentage of revenues.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Total other expense, net increased by $7.3 million to $10.7 million in the second quarter of 2018 from $3.4 million in the second quarter of 2017. The increase in total other expense, net was primarily attributable to a $5.8 million loss on divestiture of our Middle East practice within our Business Advisory segment recorded in the second quarter of 2018, compared to a $0.9 million gain on divestiture of our Life Sciences Compliance and Operations solution within our Business Advisory segment in the second quarter of 2017. During the second quarter of 2018, we sold our Middle East business to a former employee who was the practice leader of that business at the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three months ended June 30, 2018, our effective tax rate was 30.4% as we recognized income tax expense from continuing operations of $2.6 million on income from continuing operations of $8.4 million. The effective tax rate of 30.4% was less favorable than the statutory rate, inclusive of state income taxes, of 26.0%, primarily due to non-deductible business expenses.</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125" w:right="2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June 30, 2017, our effective tax rate was 26.2% as we recognized an income tax benefit from continuing operations of $53.5 million on a loss from continuing operations of $204.0 million. The effective tax rate for the three months ended June 30, 2017 was less favorable than the statutory rate, inclusive of state income taxes, primarily due to the non-deductible portion of the goodwill impairment charge recorded in the second quarter of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Net income from continuing operations was $5.9 million for the three months ended June 30, 2018 compared to a net loss from continuing operations of</w:t>
      </w:r>
    </w:p>
    <w:p>
      <w:pPr>
        <w:spacing w:after="0" w:line="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$150.5 million for the same period last year. The net loss for the three months ended June 30, 2017 was primarily attributable to the $209.6 million non-cash pretax goodwill impairment charge related to our Healthcare segment. As a result of the increase in net income from continuing operations, diluted income per share from continuing operations for the second quarter of 2018 was $0.27 compared to diluted loss per share from continuing operations of $7.00 for the second quarter of 2017. The non-cash goodwill impairment charge had a $7.14 unfavorable impact on diluted earnings per share from continuing operations for the second quarter of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EBITDA increased $210.0 million to $23.3 million for the three months ended June 30, 2018 from a loss before interest, taxes, depreciation and amortization of $186.6 million for the three months ended June 30, 2017. Adjusted EBITDA increased slightly to $24.7 million in the second quarter of 2018 from $24.5 million in the second quarter of 2017. The increase in EBITDA was primarily attributable to the non-cash goodwill impairment charge of $209.6 million recorded in the second quarter of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Adjusted net income from continuing operations increased $2.2 million to $12.8 million in the second quarter of 2018 compared to $10.6 million in the second quarter of 2017. As a result of the increase in adjusted net income from continuing operations, adjusted diluted earnings per share from continuing operations was $0.58 for the second quarter of 2018, compared to $0.49 for the second quarter of 2017.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Healthcare segment revenues increased $8.3 million, or 9.9%, to $91.5 million for the second quarter of 2018 from $83.2 million for the second quarter of 2017.</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months ended June 30, 2018, revenues from fixed-fee engagements; time-and-expense engagements; performance-based arrangements; and software support, maintenance and subscription arrangements represented 67.5%, 15.5%, 10.1%, and 6.9% of this segment’s revenues, respectively, compared to 67.9%, 19.0%, 5.5%, and 7.6% of this segment’s revenues, respectively, for the same prior year period.</w:t>
      </w:r>
    </w:p>
    <w:p>
      <w:pPr>
        <w:spacing w:after="0" w:line="1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Of the overall $8.3 million increase in revenues, $9.7 million was attributable to an increase in revenues from our full-time billable consultants, partially offset by a $1.4 million decrease in revenues generated by our full-time equivalents.</w:t>
      </w:r>
    </w:p>
    <w:p>
      <w:pPr>
        <w:spacing w:after="0" w:line="1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 increase in revenues attributable to our full-time billable consultants reflected increases in the average billing rate and consultant utilization rate. Performance-based fee revenue was $9.2 million for the second quarter of 2018, and was recognized in accordance with ASC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which was adopted on a modified retrospective basis on January 1, 2018. Performance-based fee revenue for the second quarter of 2017 was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$4.5 million, and was recognized in accordance with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Refer to Note 2 "Basis of Presentation" and Note 3 "New Accounting Pronouncements" within the notes to our consolidated financial statements for additional information on our adoption of ASC 606. The level of performance-based fees earned may vary based on our clients’ risk sharing preferences and the mix of services we provide.</w:t>
      </w:r>
    </w:p>
    <w:p>
      <w:pPr>
        <w:spacing w:after="0" w:line="1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decrease in revenues attributable to our full-time equivalents was primarily driven by lower revenues in our Studer Group solution, partially offset by an increased use of contractors, and reflected decreases in the average number of full-time equivalents and revenue per full-time equivalent.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Healthcare segment operating income increased $3.4 million, or 14.5%, to $27.1 million for the three months ended June 30, 2018 from $23.7 million for the three months ended June 30, 2017. The Healthcare segment operating margin, defined as segment operating income expressed as a percentage of segment revenues, increased to 29.6% for the second quarter of 2018 from 28.4% in the same period last year. The increase in this segment’s operating margin was primarily attributable to revenue growth that outpaced the increase in salaries and related expenses for our revenue-generating professionals, as well as decreases in restructuring charges, intangible asset amortization expense, product and event costs, and promotion and marketing expenses. These increases to the operating margin were partially offset by increases in performance bonus expense for both our revenue-generating professionals and support personnel, contractor expense, and signing and retention bonus for our revenue-generating professionals, all as a percentage of revenues.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non-cash goodwill impairment charge discussed above within the consolidated results is not allocated at the segment level because the underlying goodwill asset is reflective of our corporate investment in the segments. We do not include the impact of goodwill impairment charges in our evaluation of segment performance. See Note 5 "Goodwill and Intangible Assets" within the notes to our consolidated financial statements for additional information on this charge.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Business Advisory segment revenues increased $3.5 million, or 6.4%, to $57.7 million for the second quarter of 2018 from $54.3 million for the second quarter of 2017.</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three months ended June 30, 2018, revenues from fixed-fee engagements; time-and-expense engagements; performance-based arrangements; and software support, maintenance and subscription arrangements represented 40.8%, 53.4%, 3.9%, and 1.9% of this segment’s revenues, respectively. During the three months ended June 30, 2017, revenues from fixed-fee engagements; time-and-expense engagements; and software support, maintenance and subscription arrangements represented 37.0%, 61.5%, and 1.5% of this segment’s revenues, respectively. Performance-based fee revenue was $2.3 million for the second quarter of 2018. There was no performance-based fee revenue in the second quarter of 2017 for the Business Advisory segment. Refer to Note 2 "Basis of Presentation" and Note 3 "New Accounting Pronouncements" within the notes to our consolidated financial statements for information on our adoption of ASC 606. The level of performance-based fees earned may vary based on our clients’ preferences and the mix of services we provide.</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overall $3.5 million increase in revenues, $2.8 million was attributable to our full-time billable consultants and $0.7 million was attributable to our full-time equivalents. The increase in revenues from our full-time billable consultants reflected increases in the average billing rate and the average number of full-time billable consultants, partially offset by a decrease in the consultant utilization rate. The increase in revenues from our full-time equivalents reflected an increase in the average number of full-time equivalents, partially offset by a decrease in revenue per full-time equivalent in the second quarter of 2018 compared to the same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280"/>
        <w:spacing w:after="0" w:line="316" w:lineRule="auto"/>
        <w:rPr>
          <w:sz w:val="20"/>
          <w:szCs w:val="20"/>
          <w:color w:val="auto"/>
        </w:rPr>
      </w:pPr>
      <w:r>
        <w:rPr>
          <w:rFonts w:ascii="Arial" w:cs="Arial" w:eastAsia="Arial" w:hAnsi="Arial"/>
          <w:sz w:val="15"/>
          <w:szCs w:val="15"/>
          <w:color w:val="auto"/>
        </w:rPr>
        <w:t>Business Advisory segment operating income increased by $2.0 million, or 16.6%, to $14.2 million for the three months ended June 30, 2018 from $12.2 million for the three months ended June 30, 2017. Segment operating margin increased to 24.6% for the second quarter of 2018 from 22.5% in the same period last year. The increase in this segment’s operating margin was primarily attributable to a decrease in salaries and related expenses for our support personnel and revenue growth that outpaced that increase in salaries and related expenses for our revenue-generating professionals, as well as decreases in project costs and promotion and marketing expenses. These increases to the segment's operating margin were partially offset by increases in performance bonus expense for our revenue-generating professionals, restructuring charges, and travel and entertainment costs, as a percentage of revenues.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Education segment revenues increased $4.4 million, or 10.0%, to $48.3 million for the second quarter of 2018 from $43.9 million for the second quarter of 2017.</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three months ended June 30, 2018, revenues from fixed-fee engagements; time-and-expense engagements; and software support, maintenance and subscription arrangements represented 16.8%, 76.4%, and 6.8% of this segment’s revenues, respectively. During the three months ended June 30, 2017, revenues from fixed-fee engagements; time-and-expense engagements; performance-based arrangements; and software support, maintenance and subscription arrangements represented 15.0%, 79.6%, 0.2%, and 5.2% of this segment’s revenues, respectively.</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Of the overall $4.4 million increase in revenues, $2.5 million was attributable to our full-time billable consultants and $1.9 million was attributable to our full-time equivalents. The increase in revenues attributable to our full-time billable consultants reflected increases in the average number of full-time billable consultants and the consultant utilization rate, partially offset by a decrease in the average billing rate in the second quarter of 2018 compared to the same prior year period. The increase in revenues from our full-time equivalents reflected increases in the average number of full-time equivalents and revenue per full-time equivalent in the second quarter of 2018 compared to the same prior year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Education segment operating income was $11.3 million for the three months ended June 30, 2018 compared to $12.5 million for the three months ended June 30, 2017. Segment operating margin decreased to 23.3% for the second quarter of 2018 from 28.4% in the same period last year. The decrease in this segment’s operating margin was primarily attributable to increases in salaries and related expenses for our revenue-generating professionals and promotion and marketing expenses, both as a percentage of revenues.</w:t>
      </w:r>
    </w:p>
    <w:p>
      <w:pPr>
        <w:sectPr>
          <w:pgSz w:w="11900" w:h="16838" w:orient="portrait"/>
          <w:cols w:equalWidth="0" w:num="1">
            <w:col w:w="11400"/>
          </w:cols>
          <w:pgMar w:left="240" w:top="125"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25"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260"/>
        <w:spacing w:after="0" w:line="440" w:lineRule="auto"/>
        <w:rPr>
          <w:sz w:val="20"/>
          <w:szCs w:val="20"/>
          <w:color w:val="auto"/>
        </w:rPr>
      </w:pPr>
      <w:r>
        <w:rPr>
          <w:rFonts w:ascii="Arial" w:cs="Arial" w:eastAsia="Arial" w:hAnsi="Arial"/>
          <w:sz w:val="18"/>
          <w:szCs w:val="18"/>
          <w:b w:val="1"/>
          <w:bCs w:val="1"/>
          <w:color w:val="auto"/>
        </w:rPr>
        <w:t>Six Months Ended June 30, 2018 Compared to Six Months Ended June 30, 2017 Revenues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increased $21.0 million, or 5.7%, to $391.2 million for the first six months of 2018 from $370.3 million for the first six months of 2017. Revenues for the first six months of 2018 included $6.4 million of incremental revenues due to the full period impact of our acquisition of Innosight, which was completed in March 2017, as well as revenues from our acquisition of the international assets of ADI Strategies, which was completed in April 2017 and fully integrated into the Business Advisory segment.</w:t>
      </w:r>
    </w:p>
    <w:p>
      <w:pPr>
        <w:spacing w:after="0" w:line="13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On January 1, 2018, we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on a modified retrospective basis, which resulted in changes to our accounting policy for revenue recognition, most notably for performance-based billing arrangements. During the first six months of 2018, performance-based fee revenue was $22.6 million compared to $16.8 million in the same prior year period. Refer to Note 2 "Basis of Presentation" and Note 3 "New Accounting Pronouncements" within the notes to our consolidated financial statements for additional information on our adoption of ASC 606.</w:t>
      </w:r>
    </w:p>
    <w:p>
      <w:pPr>
        <w:spacing w:after="0" w:line="10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overall $21.0 million increase in revenues was primarily attributable to our full-time billable consultants. The increase in full-time billable consultant revenues reflected strengthened demand for services in all of our segments as discussed below in Segment Results, and was primarily attributable to an increase in the average number of full-time billable consultants and a slight increase in the consultant utilization rate, partially offset by a decrease in the average billing rate during the first six months of 2018 compared to the same prior year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total direct costs, including amortization of intangible assets and software development costs, increased $27.4 million, or 11.7%, to $262.5 million for the six months ended June 30, 2018, from $235.1 million for the six months ended June 30, 2017. The overall $27.4 million increase primarily related to a $15.7 million increase in salaries and related expenses for our revenue-generating professionals, which was largely driven by increased headcount in our Business Advisory and Education segments, and a $12.5 million increase in performance bonus expense for our revenue-generating professionals. Additional increases included a $2.0 million increase in contractor expense and a $1.2 million increase in signing and retention bonus expense for our revenue-generating professionals. These increases were partially offset by a $3.8 million decrease in intangible asset amortization expense and a $0.6 million decrease in product and event costs. As a percentage of revenues, our total direct costs increased to 67.1% during the first six months of 2018 compared to 63.5% during the first six months of 2017 primarily due to the items described above.</w:t>
      </w:r>
    </w:p>
    <w:p>
      <w:pPr>
        <w:spacing w:after="0" w:line="1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Total direct costs for the six months ended June 30, 2018 included $2.2 million of amortization expense for intangible assets, primarily representing customer contracts and software acquired in business combinations, and internal software development costs, compared to $5.7 million of amortization expense for the same prior year period. The $3.5 million decrease in amortization expense was primarily attributable to the decreasing amortization expense of customer contracts acquired in our Studer Group acquisition, due to the accelerated basis of amortization in prior periods, and the customer contracts acquired in the Innosight acquisition which were fully amortized in 2017. See Note 4 "Acquisitions" and Note 5 "Goodwill and Intangible Assets" within the notes to our consolidated financial statements for additional information about our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Gains, Net</w:t>
      </w:r>
    </w:p>
    <w:p>
      <w:pPr>
        <w:spacing w:after="0" w:line="17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Selling, general and administrative expenses increased $2.0 million, or 2.2%, to $92.6 million in the six months ended June 30, 2018, from $90.6 million in the six months ended June 30, 2017. The overall $2.0 million increase was primarily related to a $3.7 million increase in performance bonus expense for our support personnel and a $1.0 million increase in practice administration and meetings expense, partially offset by a $1.6 million decrease in legal expenses and a $0.9 million decrease in salaries and related expenses for our support personnel. As a percentage of revenues, selling, general and administrative expenses decreased to 23.7% during the first six months of 2018 compared to 24.5% during the first six months of 2017, primarily due to the decreases in legal expenses and salaries and related expenses for our support personnel, partially offset by increases in performance bonus expense for our support personnel and practice administration and meetings expense, as a percentage of revenues.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Restructuring charges for the first six months of 2018 totaled $2.7 million, compared to $3.9 million for the first six months of 2017. The charges for the first six months of 2018 primarily consisted of $0.7 million related to workforce reductions in our Business Advisory segment to better align resources with market demand; $0.7 million related to the accrual of remaining lease payments, net of estimated sublease income, and accelerated depreciation on leasehold improvements due to exiting a portion of our Middleton, Wisconsin office in the second quarter of 2018; $0.6 million related to updated lease assumptions for our San Francisco office vacated in the third quarter of 2017; $0.3 million related to employee costs in our Healthcare segment; and $0.3 million related to the divestiture of our Middle East practice within the Business Advisory segment in the second quarter of 2018. The charges for the first six months of 2017 primarily consisted of $2.0 million related to workforce reductions in our Healthcare segment to better align our resources with market demand; $1.2 million related to the accrual of remaining lease obligations, net of estimated sublease income, for offices vacated in the second quarter of 2017 and accelerated depreciation on leasehold improvements for our San Francisco office; and $0.4 million related to workforce reductions in our corporate operations primarily to adjust our infrastructure to align with the decreased workforce in the Healthcare segment.</w:t>
      </w:r>
    </w:p>
    <w:p>
      <w:pPr>
        <w:sectPr>
          <w:pgSz w:w="11900" w:h="16838" w:orient="portrait"/>
          <w:cols w:equalWidth="0" w:num="1">
            <w:col w:w="11400"/>
          </w:cols>
          <w:pgMar w:left="240" w:top="125" w:right="25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25" w:right="2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Litigation and other gains, net totaled $5.9 million for the six months ended June 30, 2018, which consisted of $3.4 million of net remeasurement gains for the decrease in the estimated fair value of our liabilities for contingent consideration payments related to business acquisitions and a $2.5 million litigation settlement gain for the resolution of Huron's claim in a class action lawsuit. Litigation and other gains, net totaled $1.1 million for the six months ended June 30, 2017, which represented net remeasurement gains for the decrease in the estimated fair values of our liabilities for contingent consideration payments related to business acquisitions. In connection with certain business acquisitions, we may be required to pay post-closing consideration to the sellers if specific financial performance targets are met over a number of years as specified in the related purchase agreements. See Note 11 "Fair Value of Financial Instruments" within the notes to our consolidated financial statements for additional information on the fair value of contingent consideration liabilities.</w:t>
      </w:r>
    </w:p>
    <w:p>
      <w:pPr>
        <w:spacing w:after="0" w:line="11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Depreciation and amortization expense decreased by $0.9 million to $17.7 million in the six months ended June 30, 2018, from $18.6 million in the six months ended June 30, 2017. The decrease was primarily attributable to decreasing amortization expense of the trade name acquired in our Studer Group acquisition, due to the accelerated basis of amortization in prior periods, partially offset by amortization expense for intangible assets acquired in the Innosight acquisition. Intangible asset amortization included within operating expenses primarily relates to certain customer relationships, trade names, and non-competition agreements acquired in connection with our business acquisitions. See Note 4 "Acquisitions" and Note 5 "Goodwill and Intangible Assets" within the notes to our consolidated financial statements for additional information about our intangible assets.</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second quarter of 2017, we recorded a $209.6 million non-cash pretax goodwill impairment charge related to our Healthcare reporting unit. This charge was non-cash in nature and did not affect our liquidity or debt covenants. See Note 5 "Goodwill and Intangible Assets" within the notes to our consolidated financial statements for additional information on this charge.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income increased $207.9 million, to income of $21.5 million in the first six months of 2018 from a loss of $186.4 million in the first six months of 2017. This decrease is primarily attributable to the $209.6 million non-cash pretax goodwill impairment charge recorded in the second quarter of 2017 related to our Healthcare segment. See Note 5 "Goodwill and Intangible Assets" within the notes to our consolidated financial statements for additional information on the non-cash goodwill impairment charge. Operating margin increased to 5.5% for the six months ended June 30, 2018, compared to (50.3)% for the six months ended June 30, 2017. The increase in operating margin was primarily attributable to the goodwill impairment charge recorded in the second quarter of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Total other expense, net increased by $9.2 million to $15.8 million in the first six months of 2018 from $6.7 million in the first six months of 2017. The increase in total other expense, net was primarily attributable to a $5.8 million loss on divestiture of our Middle East practice within our Business Advisory segment recorded in the second quarter of 2018, compared to a $0.9 million gain on divestiture of our Life Sciences Compliance and Operations solution within our Business Advisory segment in the second quarter of 2017. During the second quarter of 2018, we sold our Middle East business to a former employee who was the practice leader of that business at the time. The increase in total other expense, net was also attributable to a $1.1 million decrease in the gain in the market value of our investments that are used to fund our deferred compensation liability and a $1.1 million increase in interest expense, net of interest income in the first six months of 2018 compared to the first six months of 2017. The increase in interest expense was due to higher interest rates under our credit facility during the first six months of 2018 compared to the same prior year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six months ended June 30, 2018, our effective tax rate was 53.0% as we recognized income tax expense from continuing operations of $3.0 million on income from continuing operations of $5.6 million. The effective tax rate for the six months ended June 30, 2018 was less favorable than the statutory rate, inclusive of state income taxes, of 26.0%, primarily due to discrete tax expense of $1.3 million for share-based compensation awards that vested during the first quarter of 2018, which had an unfavorable impact of 22.5% on the effective tax rate, and non-deductible business expenses.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six months ended June 30, 2017, our effective tax rate was 24.7% as we recognized income tax benefit from continuing operations of $47.8 million on a loss from continuing operations of $193.1 million. The effective tax rate for the six months ended June 30, 2017 was less favorable than the statutory rate, inclusive of state income taxes, primarily due to the non-deductible portion of the goodwill impairment charge recorded in the second quarter of 2017. The effective tax rate for the second quarter of 2017 was also less favorable than that statutory rate, inclusive of state income taxes, due to discrete tax expense for share-based compensation of $1.7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w:t>
      </w:r>
    </w:p>
    <w:p>
      <w:pPr>
        <w:spacing w:after="0" w:line="175"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Net income from continuing operations increased by $148.0 million to net income from continuing operations of $2.6 million for the six months ended June 30, 2018, from a net loss from continuing operations of $145.3 million for the same prior year period. This increase is primarily attributable to the $209.6 million non-cash pretax goodwill impairment charge related to our Healthcare segment, partially offset by a decrease in segment</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income, as discussed below in Segment Results. As a result of the increase in net income from continuing operations, diluted earnings per share from continuing operations for the first six months of 2018 was $0.12 compared to diluted loss per share from continuing operations of $6.80 for the first six months of 2017. The non-cash goodwill impairment charge had a $7.18 unfavorable impact on diluted loss per share from continuing operations for the first six months of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EBITDA increased $195.3 million to earnings of $35.5 million for the six months ended June 30, 2018, from a loss of $159.8 million for the six months ended June 30, 2017. Adjusted EBITDA decreased $13.3 million to $38.4 million in the first six months of 2018 from $51.6 million in the first six months of 2017. The increase in EBITDA was primarily attributable to the non-cash goodwill impairment charge of $209.6 million recorded in the second quarter of</w:t>
      </w:r>
    </w:p>
    <w:p>
      <w:pPr>
        <w:ind w:right="960"/>
        <w:spacing w:after="0" w:line="430" w:lineRule="auto"/>
        <w:rPr>
          <w:sz w:val="20"/>
          <w:szCs w:val="20"/>
          <w:color w:val="auto"/>
        </w:rPr>
      </w:pPr>
      <w:r>
        <w:rPr>
          <w:rFonts w:ascii="Arial" w:cs="Arial" w:eastAsia="Arial" w:hAnsi="Arial"/>
          <w:sz w:val="18"/>
          <w:szCs w:val="18"/>
          <w:color w:val="auto"/>
        </w:rPr>
        <w:t xml:space="preserve">2017. The decrease in adjusted EBITDA was primarily due to the decrease in segment operating income, as discussed below in Segment Results. </w:t>
      </w:r>
      <w:r>
        <w:rPr>
          <w:rFonts w:ascii="Arial" w:cs="Arial" w:eastAsia="Arial" w:hAnsi="Arial"/>
          <w:sz w:val="18"/>
          <w:szCs w:val="18"/>
          <w:b w:val="1"/>
          <w:bCs w:val="1"/>
          <w:color w:val="auto"/>
        </w:rPr>
        <w:t>Adjusted Net Income from Continuing Operations</w:t>
      </w:r>
    </w:p>
    <w:p>
      <w:pPr>
        <w:ind w:right="80"/>
        <w:spacing w:after="0" w:line="264" w:lineRule="auto"/>
        <w:rPr>
          <w:sz w:val="20"/>
          <w:szCs w:val="20"/>
          <w:color w:val="auto"/>
        </w:rPr>
      </w:pPr>
      <w:r>
        <w:rPr>
          <w:rFonts w:ascii="Arial" w:cs="Arial" w:eastAsia="Arial" w:hAnsi="Arial"/>
          <w:sz w:val="18"/>
          <w:szCs w:val="18"/>
          <w:color w:val="auto"/>
        </w:rPr>
        <w:t>Adjusted net income from continuing operations decreased $5.4 million to $17.0 million in the first six months of 2018 compared to $22.4 million in the first six months of 2017. As a result of the decrease in adjusted net income from continuing operations, adjusted diluted earnings per share from continuing operations for the first six months of 2018 was $0.78 compared to $1.04 for the first six months of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Healthcare segment revenues slightly decreased $0.3 million, or 0.2%, to $181.4 million for the first six months of 2018 from $181.7 million for the first six months of 2017.</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six months ended June 30, 2018, revenues from fixed-fee engagements; time-and-expense engagements; performance-based arrangements; and software support, maintenance and subscription arrangements represented 67.3%, 14.9%, 10.7%, and 7.1% of this segment’s revenues, respectively, compared to 63.9%, 16.9%, 8.9%, and 10.3% of this segment’s revenues, respectively, for the same prior year period.</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overall $0.3 million decrease in revenues was attributable to a $3.2 million decrease in revenues from our full-time equivalents, mostly offset by a $2.9 million increase in revenues attributable to our full-time billable consultants.</w:t>
      </w:r>
    </w:p>
    <w:p>
      <w:pPr>
        <w:spacing w:after="0" w:line="11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decrease in revenues attributable to our full-time equivalents was primarily driven by lower revenues in our Studer Group solution, partially offset by an increased use of contractors, and reflected decreases in the average number of full-time equivalents and revenue per full-time equivalent.</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increase in revenues attributable to our full-time billable consultants reflected an increase in the consultant utilization rate, partially offset by decreases in the average number of full-time billable consultants and average billing rate. Performance-based fee revenue was $19.4 million during the first six months of 2018, and was recognized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was adopted on a modified retrospective basis on January 1, 2018. Performance-based fee revenue for the first six months of 2017 was $16.2 million, and was recognized in accordance with ASC 605. Refer to Note 2 "Basis of Presentation" and Note 3 "New Accounting Pronouncements" within the notes to our consolidated financial statements for additional information on our adoption of ASC 606. The level of performance-based fees earned may vary based on our clients’ risk sharing preferences and the mix of services we provide.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Healthcare segment operating income decreased $6.3 million, or 10.8%, to $51.5 million for the six months ended June 30, 2018, from $57.8 million for the six months ended June 30, 2017. The Healthcare segment operating margin decreased to 28.4% for the first six months of 2018 from 31.8% in the same period last year. The decrease in this segment’s operating margin was primarily attributable to an increase in performance bonus expense for both our revenue-generating professionals and support personnel, as well as increases in contractor expenses, practice administration and meetings expenses, and signing and retention bonus expense for our revenue-generating professionals. These decreases to the segment operating margin were partially offset by decreases in intangible asset amortization expense, restructuring charges, promotion and marketing expenses, and product and event costs, all as a percentage of revenues.</w:t>
      </w:r>
    </w:p>
    <w:p>
      <w:pPr>
        <w:spacing w:after="0" w:line="13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non-cash goodwill impairment charge discussed above within the consolidated results is not allocated at the segment level because the underlying goodwill asset is reflective of our corporate investment in the segments. We do not include the impact of goodwill impairment charges in our evaluation of segment performance. See Note 5 "Goodwill and Intangible Assets" within the notes to our consolidated financial statements for additional information on this charge.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Business Advisory segment revenues increased $11.2 million, or 11.0%, to $113.6 million for the first six months of 2018 from $102.4 million for the first six months of 2017. Revenues for the first six months of 2018 included $6.4 million of incremental revenues due to the full period impact of our acquisition of Innosight, which was completed in March 2017, as well as revenues from our acquisition of the international assets of ADI Strategies, which was completed in April 2017 and fully integrated into the Business Advisory segment.</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first six months of 2018, revenues from fixed-fee engagements; time-and-expense engagements; performance-based arrangements; and software support, maintenance and subscription arrangements represented 40.5%, 54.7%, 2.8%, and 2.0% of this segment’s revenues, respectively, compared to 33.2%, 65.3%, 0.2%, and 1.3% of this segment’s revenues, respectively, during the same prior year period. Performance-based fee revenue was $3.2 million for the first six months of 2018, compared to $0.2 million for the same prior year period. Refer to Note 2 "Basis of Presentation" and Note 3 "New Accounting Pronouncements" within the notes to our consolidated financial statements for additional information on our adoption of ASC 606. The level of performance-based fees earned may vary based on our clients’ preferences and the mix of services we provide.</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the overall $11.2 million increase in revenues, $10.1 million was attributable to our full-time billable consultants and $1.1 million was attributable to our full-time equivalents. The increase in revenues from our full-time billable consultants was primarily driven by increases in the average number of full-time billable consultants and average billing rate, partially offset by a decrease in the consultant utilization rate. The increase in revenues from our full-time equivalents reflected increases in the average number of full-time equivalents and revenue per full-time equivalent in the first six months of 2018 compared to the same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Business Advisory segment operating income increased by $1.2 million, or 5.2%, to $23.2 million for the six months ended June 30, 2018, from $22.1 million for the six months ended June 30, 2017. The Business Advisory segment operating margin decreased to 20.4% for the first six months of 2018 from 21.5% in the same period last year. The decrease in this segment’s operating margin was primarily attributable to increases in performance bonus expense and salaries and related expenses for our revenue-generating professionals, as well as increases in restructuring charges and travel and entertainment costs, all as a percentage of revenues. These decreases to the operating margin were partially offset by decreases in salaries and related expenses for our support personnel and intangible asset amortization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Education segment revenues increased $10.0 million, or 11.6%, to $96.2 million for the first six months of 2018 from $86.2 million for the first six months of 2017.</w:t>
      </w:r>
    </w:p>
    <w:p>
      <w:pPr>
        <w:spacing w:after="0" w:line="11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For the six months ended June 30, 2018, revenues from fixed-fee engagements; time-and-expense engagements; and software support, maintenance and subscription arrangements represented 20.2%, 73.1%, and 6.7% of this segment’s revenues, respectively. For the six months ended June 30, 2017, revenues from fixed-fee engagements; time-and-expense engagements; performance-based arrangements; and software support, maintenance and subscription arrangements represented 15.6%, 78.7%, 0.4%, and 5.3% of this segment's revenues, respectively.</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Of the overall $10.0 million increase in revenues, $7.6 million was attributable to our full-time billable consultants and $2.4 million was attributable to our full-time equivalents. The increase in revenues from our full-time billable consultants reflected increases in the average number of full-time billable consultants and consultant utilization rate, partially offset by a decrease in the average billing rate. The increase in revenues from our full-time equivalents was driven by increases in both the average number of full-time equivalents and revenue per full-time equivalent in the first six months of 2018 compared to the same prior year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Education segment operating income decreased $1.3 million, or 5.5%, to $22.7 million for the six months ended June 30, 2018, from $24.0 million for the six months ended June 30, 2017. The Education segment operating margin decreased to 23.6% for the first six months of 2018 from 27.9% in the same period last year. The decrease in this segment’s operating margin was primarily attributable to increases in salaries and related expenses for our revenue-generating professionals, as a percentage of revenues.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Cash and cash equivalents decreased $6.5 million, from $16.9 million at December 31, 2017 to $10.5 million at June 30, 2018. As of June 30, 2018,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23,286</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(119,421)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92,535</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Net cash provided by operating activities totaled $6.9 million and $23.3 million for the six months ended June 30, 2018 and 2017,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decrease in cash provided by operations for the first six months of 2018 compared to the same prior year period was primarily attributable to a decrease in cash collections from clients and increase in vendor payments, partially offset by a decrease in the amount paid for annual performance bonuses during the first quarter of 2018 compared to the first quarter of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$10.0 million and $119.4 million for the six months ended June 30, 2018 and 2017, respectively.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use of cash in the first six months of 2018 primarily consisted of $5.1 million for purchases of property and equipment, primarily related to purchases of computers and related equipment; $2.1 million for payments related to internally developed software; $1.9 million for payments related to the divestiture of our Middle East practice within the Business Advisory segment; and $1.7 million for contributions to our life insurance policies which fund our deferred compensation plan.</w:t>
      </w:r>
    </w:p>
    <w:p>
      <w:pPr>
        <w:spacing w:after="0" w:line="133"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The use of cash in the first six months of 2017 primarily consisted of $103.5 million for the purchases of businesses and $15.3 million for purchases of property and equipment, primarily related to leasehold improvements and purchases of furniture and fixtures for new office spaces in certain locations.</w:t>
      </w:r>
    </w:p>
    <w:p>
      <w:pPr>
        <w:spacing w:after="0" w:line="70"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We estimate that cash utilized for purchases of property and equipment and software development in 2018 will be approximately $15.0 million, primarily consisting of information technology related equipment to support our corporate infrastructure, leasehold improvements, and software development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Net cash used in financing activities was $3.3 million for the six months ended June 30, 2018. During the first six months of 2018, we borrowed $139.3 million under our credit facility and made repayments on our credit facility of $133.8 million. We also paid $7.8 million to the sellers of certain business acquisitions for achieving specified financial performance targets in accordance with the related purchase agreements. Of the total $7.8 million payments made, $4.9 million is classified as a cash outflow from financing activities and represents the amount paid up to the fair value of the contingent consideration liability recorded as of the acquisition dates. The remaining $2.9 million is classified as a cash outflow from operating activities.</w:t>
      </w:r>
    </w:p>
    <w:p>
      <w:pPr>
        <w:spacing w:after="0" w:line="10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provided by financing activities was $92.5 million for the six months ended June 30, 2017. During the first six months of 2017, we borrowed $205.5 million under our credit facility, primarily to fund our acquisitions of Innosight and Pope Woodhead and our annual performance bonus payment, and made repayments on our credit facility of $106.5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currently have a share repurchase program permitting us to repurchase up to $125 million of our common stock through October 31, 2018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in the first six months of 2018 or 2017. As of June 30, 2018, $35.1 million remains available for share repurchases.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June 30, 2018, we had $250.0 million principal amount of our 1.25% convertible senior notes outstanding, $110.5 million outstanding under our senior secured credit facility, and $4.6 million outstanding under a promissory note,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1.25% Convertible Senior Notes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a $500 million senior secured revolving credit facility, subject to the terms of a Second Amended and Restated Credit Agreement dated as of March 31, 2015, as amended to date (as amended and modified the "Amended Credit Agreement"),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 measurement period, and (ii) a minimum Consolidated Interest Coverage Ratio (defined as the ratio of consolidated EBITDA to interest) of 3.50 to</w:t>
      </w:r>
    </w:p>
    <w:p>
      <w:pPr>
        <w:sectPr>
          <w:pgSz w:w="11900" w:h="16838" w:orient="portrait"/>
          <w:cols w:equalWidth="0" w:num="1">
            <w:col w:w="11360"/>
          </w:cols>
          <w:pgMar w:left="240" w:top="125" w:right="299" w:bottom="1440" w:gutter="0" w:footer="0" w:header="0"/>
        </w:sectPr>
      </w:pP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60"/>
          </w:cols>
          <w:pgMar w:left="240" w:top="125" w:right="2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June 30, 2018, we were in compliance with these financial covenants with a Consolidated Leverage Ratio of 3.44 to 1.00 and a Consolidated Interest Coverage Ratio of 10.07 to 1.00.</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$75 million plus 50% of cumulative consolidated net income (as defined in the Amended Credit Agreement) from the closing date of the Amended Credit Agreement plus 50% of the net cash proceeds from equity issuances after the closing date of the Amended Credit Agreement.</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Borrowings outstanding under the Amended Credit Agreement at June 30, 2018 totaled $110.5 million. These borrowings carried a weighted average interest rate of 4.1%, including the impact of the interest rate swap in effect as of June 30, 2018 and described in Note 10 “Derivative Instrument and Hedging Activity” within the notes to the consolidated financial statements. Borrowings outstanding under the Amended Credit Agreement at December 31, 2017 were $105.0 million and carried a weighted average interest rate of 3.7%, including the impact of the interest rate swap in effect as of December 31, 2017. The borrowing capacity under the revolving credit facility is reduced by any outstanding borrowings under the revolving credit facility and outstanding letters of credit. At June 30, 2018, we had outstanding letters of credit totaling $1.6 million, which are primarily used as security deposits for our office facilities. As of June 30, 2018, the unused borrowing capacity under the revolving credit facility was $387.9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June 30, 2018, the outstanding principal amount of the promissory note was $4.6 million. As of June 30, 2018, the aircraft had a carrying amount of $6.1 million. At December 31, 2017, the outstanding principal amount of the promissory note was $4.9 million, and the aircraft had a carrying amount of $6.5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2017.</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March 23, 2018, we entered into a third amendment (the "Third Amendment") to the Second Amended and Restated Credit Agreement dated as of March 31, 2015, as amended to date (as amended and modified the "Amended Credit Facility"). The Third Amendment extended the maturity date from March 31, 2020 to March 23, 2023. In addition, the Third Amendment provided for, among other things, i) an increase in the allowable aggregate amount of increases to the Aggregate Revolving Commitments or new or additional term loans from $100 million to $150 million; ii) an increase in the base amount of allowable Restricted Payments when the Consolidated Leverage Ratio is greater than 3.00 to 1.0 from $50 million to $75 million; iii) an increase in the maximum Consolidated Leverage Ratio allowed; and iv) certain changes to the definition of Consolidated EBITDA. Borrowings outstanding under the Amended Credit Agreement at June 30, 2018 totaled $110.5 million.</w:t>
      </w:r>
    </w:p>
    <w:p>
      <w:pPr>
        <w:spacing w:after="0" w:line="13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capitalized terms above are defined in the Credit Agreement or Third Amendment, as applicable. Refer to “Liquidity and Capital Resources” and Note 8 “Financing Arrangements” within the notes to the consolidated financial statements for more information on our outstanding borrowings.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to our contractual obligations since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2017. Below is an update to our critical accounting policy related to revenue recognition. There have been no material changes to our other critical accounting policies during the first six months of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typically satisfy our performance obligations for professional services over time as the related services are provided. The performance obligations related to software support,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8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4"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arrangements as the related services or goods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pacing w:after="0" w:line="15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w:t>
      </w:r>
    </w:p>
    <w:p>
      <w:pPr>
        <w:sectPr>
          <w:pgSz w:w="11900" w:h="16838" w:orient="portrait"/>
          <w:cols w:equalWidth="0" w:num="1">
            <w:col w:w="11400"/>
          </w:cols>
          <w:pgMar w:left="240" w:top="125" w:right="25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125" w:right="2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payment terms and conditions in our customer contracts vary. 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Interest Rate Risk</w:t>
      </w:r>
    </w:p>
    <w:p>
      <w:pPr>
        <w:spacing w:after="0" w:line="17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$237.8 million as of June 30, 2018, which represents the liability component of the $250.0 million principal balance. The estimated fair value of our Convertible Notes at June 30, 2018 was $232.4 million, and was determined based on the quoted bid price of the Convertible Notes in an over-the-counter market as of the last day of trading for the quarter ended June 30, 2018, which was $92.966 per $100 principal amount.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June 30, 2018, we had borrowings outstanding under the credit facility totaling $110.5 million that carried a weighted average interest rate of 4.1%, including the impact of the interest rate swap described below. A hypothetical 100 basis point change in this interest rate would have a $0.6 million effect on our pretax income, on an annualized basis, including the effect of the interest rate swap. At December 31, 2017, our borrowings outstanding under the credit facility totaled $105.0 million and carried a weighted average interest rate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of 3.7%, including the effect of the interest rate swap described below. A hypothetical 100 basis point change in the interest rate as of December 31, 2017 would have had a $0.6 million effect on our pretax income, on an annualized basis, including the effect of the interest rate swap.</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an aircraft, which has variable interest rates tied to LIBOR. At June 30, 2018, the outstanding principal amount of the promissory note was $4.6 million and carried an interest rate of 4.0%. A hypothetical 100 basis point change in this interest rate would not have a material effect on our pretax income, on an annualized basis. At December 31, 2017, the outstanding principal amount of the promissory note was $4.9 million and carried an interest rate of 3.2%. A hypothetical 100 basis point change in the interest rate as of December 31, 2017 would not have had a material effect on our pretax income, on an annualized basis.</w:t>
      </w:r>
    </w:p>
    <w:p>
      <w:pPr>
        <w:spacing w:after="0" w:line="13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debt security. As such, the investment is carried at fair value with unrealized holding gains and losses excluded from earnings and reported in other comprehensive income. As of June 30, 2018, the fair value of the investment was $47.1 million, with a total cost basis of $27.9 million.</w:t>
      </w:r>
    </w:p>
    <w:p>
      <w:pPr>
        <w:spacing w:after="0" w:line="28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2018. Based on this evaluation, our Chief Executive Officer and Chief Financial Officer have concluded that, as of June 30, 2018,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June 30, 2018 that has materially affected, or is reasonably likely to materially affect, our internal control over financial reporting.</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360"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14 "Commitments, Contingencies and Guarantees" included in Part I, Item 1 of this Quarterly Report on Form 10-Q.</w:t>
      </w:r>
    </w:p>
    <w:p>
      <w:pPr>
        <w:spacing w:after="0" w:line="1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2017, which was filed with the Securities and Exchange Commission on February 28, 2018, for a complete description of the material risks we face.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June 30, 2018, we reacquired 883 shares of common stock with a weighted average fair market value of $40.75 as a result of such tax withholdings.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October 2014, our board of directors authorized a share repurchase program pursuant to which we may, from time to time, repurchase up to $125 million of our common stock and which expires on October 31, 2018 (the "Share Repurchase Program"). The amount and timing of the repurchases will be determined by management and will depend on a variety of factors, including the trading price of our common stock, capacity under our line of credit, general market and business conditions, and applicable legal requirements. The following table provides information with respect to purchases we made of our common stock during the quarter ended June 30,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that may yet be</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xml:space="preserve">Shares Purchased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 xml:space="preserve">Plans or Programs </w:t>
            </w:r>
            <w:r>
              <w:rPr>
                <w:rFonts w:ascii="Arial" w:cs="Arial" w:eastAsia="Arial" w:hAnsi="Arial"/>
                <w:sz w:val="21"/>
                <w:szCs w:val="21"/>
                <w:b w:val="1"/>
                <w:bCs w:val="1"/>
                <w:color w:val="auto"/>
                <w:w w:val="87"/>
                <w:vertAlign w:val="superscript"/>
              </w:rPr>
              <w:t>(2)</w:t>
            </w: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2018 - April 30, 2018</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May 1, 2018 - May 31, 2018</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35,143,546</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2018 - June 30, 2018</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5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40" w:lineRule="exact"/>
        <w:rPr>
          <w:sz w:val="20"/>
          <w:szCs w:val="20"/>
          <w:color w:val="auto"/>
        </w:rPr>
      </w:pPr>
    </w:p>
    <w:p>
      <w:pPr>
        <w:ind w:left="980" w:right="440" w:hanging="972"/>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repurchased for each period represents shares to satisfy employee tax withholding requirements. These shares do not reduce the repurchase authority under the Share Repurchase Program.</w:t>
      </w:r>
    </w:p>
    <w:p>
      <w:pPr>
        <w:spacing w:after="0" w:line="8" w:lineRule="exact"/>
        <w:rPr>
          <w:rFonts w:ascii="Arial" w:cs="Arial" w:eastAsia="Arial" w:hAnsi="Arial"/>
          <w:sz w:val="18"/>
          <w:szCs w:val="18"/>
          <w:color w:val="auto"/>
        </w:rPr>
      </w:pPr>
    </w:p>
    <w:p>
      <w:pPr>
        <w:ind w:left="980" w:hanging="97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20" w:type="dxa"/>
            <w:vAlign w:val="bottom"/>
            <w:gridSpan w:val="6"/>
            <w:vMerge w:val="restart"/>
          </w:tcPr>
          <w:p>
            <w:pPr>
              <w:ind w:left="5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Filed</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Furnished</w:t>
            </w: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92"/>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9"/>
        </w:trPr>
        <w:tc>
          <w:tcPr>
            <w:tcW w:w="66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9"/>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Certification of the Chief Executive Officer, pursuant to Rule 13a-</w:t>
              </w:r>
            </w:hyperlink>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9"/>
          </w:tcPr>
          <w:p>
            <w:pPr>
              <w:spacing w:after="0" w:line="183" w:lineRule="exact"/>
              <w:rPr>
                <w:rFonts w:ascii="Arial" w:cs="Arial" w:eastAsia="Arial" w:hAnsi="Arial"/>
                <w:sz w:val="16"/>
                <w:szCs w:val="16"/>
                <w:color w:val="0000FF"/>
              </w:rPr>
            </w:pPr>
            <w:hyperlink w:anchor="page54">
              <w:r>
                <w:rPr>
                  <w:rFonts w:ascii="Arial" w:cs="Arial" w:eastAsia="Arial" w:hAnsi="Arial"/>
                  <w:sz w:val="16"/>
                  <w:szCs w:val="16"/>
                  <w:color w:val="0000FF"/>
                </w:rPr>
                <w:t>14(a)/15d-14(a), as adopted pursuant to Section 302 of the Sarbanes-</w:t>
              </w:r>
            </w:hyperlink>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54">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2"/>
          </w:tcPr>
          <w:p>
            <w:pPr>
              <w:spacing w:after="0"/>
              <w:rPr>
                <w:sz w:val="15"/>
                <w:szCs w:val="15"/>
                <w:color w:val="auto"/>
              </w:rPr>
            </w:pPr>
          </w:p>
        </w:tc>
        <w:tc>
          <w:tcPr>
            <w:tcW w:w="52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9"/>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Certification of the Chief Financial Officer, pursuant to Rule 13a-</w:t>
              </w:r>
            </w:hyperlink>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9"/>
          </w:tcPr>
          <w:p>
            <w:pPr>
              <w:spacing w:after="0" w:line="183" w:lineRule="exact"/>
              <w:rPr>
                <w:rFonts w:ascii="Arial" w:cs="Arial" w:eastAsia="Arial" w:hAnsi="Arial"/>
                <w:sz w:val="16"/>
                <w:szCs w:val="16"/>
                <w:color w:val="0000FF"/>
              </w:rPr>
            </w:pPr>
            <w:hyperlink w:anchor="page55">
              <w:r>
                <w:rPr>
                  <w:rFonts w:ascii="Arial" w:cs="Arial" w:eastAsia="Arial" w:hAnsi="Arial"/>
                  <w:sz w:val="16"/>
                  <w:szCs w:val="16"/>
                  <w:color w:val="0000FF"/>
                </w:rPr>
                <w:t>14(a)/15d-14(a), as adopted pursuant to Section 302 of the Sarbanes-</w:t>
              </w:r>
            </w:hyperlink>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4"/>
              </w:rPr>
            </w:pPr>
            <w:hyperlink w:anchor="page55">
              <w:r>
                <w:rPr>
                  <w:rFonts w:ascii="Arial" w:cs="Arial" w:eastAsia="Arial" w:hAnsi="Arial"/>
                  <w:sz w:val="16"/>
                  <w:szCs w:val="16"/>
                  <w:color w:val="0000FF"/>
                  <w:w w:val="94"/>
                </w:rPr>
                <w:t>Oxley Act of 2002.</w:t>
              </w:r>
            </w:hyperlink>
          </w:p>
        </w:tc>
        <w:tc>
          <w:tcPr>
            <w:tcW w:w="3200" w:type="dxa"/>
            <w:vAlign w:val="bottom"/>
            <w:tcBorders>
              <w:top w:val="single" w:sz="8" w:color="0000FF"/>
            </w:tcBorders>
            <w:gridSpan w:val="2"/>
          </w:tcPr>
          <w:p>
            <w:pPr>
              <w:spacing w:after="0"/>
              <w:rPr>
                <w:sz w:val="15"/>
                <w:szCs w:val="15"/>
                <w:color w:val="auto"/>
              </w:rPr>
            </w:pPr>
          </w:p>
        </w:tc>
        <w:tc>
          <w:tcPr>
            <w:tcW w:w="52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tcBorders>
              <w:bottom w:val="single" w:sz="8" w:color="0000FF"/>
            </w:tcBorders>
            <w:gridSpan w:val="7"/>
          </w:tcPr>
          <w:p>
            <w:pPr>
              <w:spacing w:after="0"/>
              <w:rPr>
                <w:rFonts w:ascii="Arial" w:cs="Arial" w:eastAsia="Arial" w:hAnsi="Arial"/>
                <w:sz w:val="16"/>
                <w:szCs w:val="16"/>
                <w:color w:val="0000FF"/>
                <w:w w:val="93"/>
              </w:rPr>
            </w:pPr>
            <w:hyperlink w:anchor="page56">
              <w:r>
                <w:rPr>
                  <w:rFonts w:ascii="Arial" w:cs="Arial" w:eastAsia="Arial" w:hAnsi="Arial"/>
                  <w:sz w:val="16"/>
                  <w:szCs w:val="16"/>
                  <w:color w:val="0000FF"/>
                  <w:w w:val="93"/>
                </w:rPr>
                <w:t>Certification of the Chief Executive Officer, pursuant to 18 U.S.C. Section</w:t>
              </w:r>
            </w:hyperlink>
          </w:p>
        </w:tc>
        <w:tc>
          <w:tcPr>
            <w:tcW w:w="14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w:anchor="page56">
              <w:r>
                <w:rPr>
                  <w:rFonts w:ascii="Arial" w:cs="Arial" w:eastAsia="Arial" w:hAnsi="Arial"/>
                  <w:sz w:val="16"/>
                  <w:szCs w:val="16"/>
                  <w:color w:val="0000FF"/>
                  <w:w w:val="90"/>
                </w:rPr>
                <w:t>1350, as adopted pursuant to Section 906 of the Sarbanes-Oxley Act of</w:t>
              </w:r>
            </w:hyperlink>
          </w:p>
        </w:tc>
        <w:tc>
          <w:tcPr>
            <w:tcW w:w="36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rFonts w:ascii="Arial" w:cs="Arial" w:eastAsia="Arial" w:hAnsi="Arial"/>
                <w:sz w:val="16"/>
                <w:szCs w:val="16"/>
                <w:color w:val="0000FF"/>
                <w:w w:val="84"/>
              </w:rPr>
            </w:pPr>
            <w:hyperlink w:anchor="page56">
              <w:r>
                <w:rPr>
                  <w:rFonts w:ascii="Arial" w:cs="Arial" w:eastAsia="Arial" w:hAnsi="Arial"/>
                  <w:sz w:val="16"/>
                  <w:szCs w:val="16"/>
                  <w:color w:val="0000FF"/>
                  <w:w w:val="84"/>
                </w:rPr>
                <w:t>2002.</w:t>
              </w:r>
            </w:hyperlink>
          </w:p>
        </w:tc>
        <w:tc>
          <w:tcPr>
            <w:tcW w:w="9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tcBorders>
              <w:bottom w:val="single" w:sz="8" w:color="0000FF"/>
            </w:tcBorders>
            <w:gridSpan w:val="6"/>
          </w:tcPr>
          <w:p>
            <w:pPr>
              <w:spacing w:after="0"/>
              <w:rPr>
                <w:rFonts w:ascii="Arial" w:cs="Arial" w:eastAsia="Arial" w:hAnsi="Arial"/>
                <w:sz w:val="16"/>
                <w:szCs w:val="16"/>
                <w:color w:val="0000FF"/>
                <w:w w:val="93"/>
              </w:rPr>
            </w:pPr>
            <w:hyperlink w:anchor="page57">
              <w:r>
                <w:rPr>
                  <w:rFonts w:ascii="Arial" w:cs="Arial" w:eastAsia="Arial" w:hAnsi="Arial"/>
                  <w:sz w:val="16"/>
                  <w:szCs w:val="16"/>
                  <w:color w:val="0000FF"/>
                  <w:w w:val="93"/>
                </w:rPr>
                <w:t>Certification of the Chief Financial Officer, pursuant to 18 U.S.C. Section</w:t>
              </w:r>
            </w:hyperlink>
          </w:p>
        </w:tc>
        <w:tc>
          <w:tcPr>
            <w:tcW w:w="18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5"/>
          </w:tcPr>
          <w:p>
            <w:pPr>
              <w:spacing w:after="0" w:line="183" w:lineRule="exact"/>
              <w:rPr>
                <w:rFonts w:ascii="Arial" w:cs="Arial" w:eastAsia="Arial" w:hAnsi="Arial"/>
                <w:sz w:val="16"/>
                <w:szCs w:val="16"/>
                <w:color w:val="0000FF"/>
                <w:w w:val="90"/>
              </w:rPr>
            </w:pPr>
            <w:hyperlink w:anchor="page57">
              <w:r>
                <w:rPr>
                  <w:rFonts w:ascii="Arial" w:cs="Arial" w:eastAsia="Arial" w:hAnsi="Arial"/>
                  <w:sz w:val="16"/>
                  <w:szCs w:val="16"/>
                  <w:color w:val="0000FF"/>
                  <w:w w:val="90"/>
                </w:rPr>
                <w:t>1350, as adopted pursuant to Section 906 of the Sarbanes-Oxley Act of</w:t>
              </w:r>
            </w:hyperlink>
          </w:p>
        </w:tc>
        <w:tc>
          <w:tcPr>
            <w:tcW w:w="36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rFonts w:ascii="Arial" w:cs="Arial" w:eastAsia="Arial" w:hAnsi="Arial"/>
                <w:sz w:val="16"/>
                <w:szCs w:val="16"/>
                <w:color w:val="0000FF"/>
                <w:w w:val="84"/>
              </w:rPr>
            </w:pPr>
            <w:hyperlink w:anchor="page57">
              <w:r>
                <w:rPr>
                  <w:rFonts w:ascii="Arial" w:cs="Arial" w:eastAsia="Arial" w:hAnsi="Arial"/>
                  <w:sz w:val="16"/>
                  <w:szCs w:val="16"/>
                  <w:color w:val="0000FF"/>
                  <w:w w:val="84"/>
                </w:rPr>
                <w:t>2002.</w:t>
              </w:r>
            </w:hyperlink>
          </w:p>
        </w:tc>
        <w:tc>
          <w:tcPr>
            <w:tcW w:w="9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Instance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3"/>
                <w:szCs w:val="23"/>
                <w:color w:val="auto"/>
              </w:rPr>
            </w:pPr>
          </w:p>
        </w:tc>
        <w:tc>
          <w:tcPr>
            <w:tcW w:w="498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280" w:val="left"/>
          <w:tab w:leader="none" w:pos="804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125"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1640" w:val="left"/>
          <w:tab w:leader="none" w:pos="7120" w:val="left"/>
          <w:tab w:leader="none" w:pos="860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640" w:val="left"/>
          <w:tab w:leader="none" w:pos="7120" w:val="left"/>
          <w:tab w:leader="none" w:pos="862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In connection with the Quarterly Report of Huron Consulting Group Inc. (the “Company”) on Form 10-Q for the quarter ended June 30, 2018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111"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64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June 30, 2018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64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Roman"/>
      <w:start w:val="2"/>
    </w:lvl>
  </w:abstractNum>
  <w:abstractNum w:abstractNumId="9">
    <w:nsid w:val="4E6AFB66"/>
    <w:multiLevelType w:val="hybridMultilevel"/>
    <w:lvl w:ilvl="0">
      <w:lvlJc w:val="left"/>
      <w:lvlText w:val="&amp;"/>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2019-12-28T20:49:37Z</dcterms:created>
  <dcterms:modified xsi:type="dcterms:W3CDTF">2019-12-28T20:49:37Z</dcterms:modified>
</cp:coreProperties>
</file>