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70277.xml.htm"/>
      <w:bookmarkStart w:id="1" w:name="kswkform4_17857702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Featherstone Kyle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HURON CONSULTING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 VAN BUREN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Huron Consulting Group Inc.</w:t>
              </w:r>
            </w:hyperlink>
            <w:r>
              <w:rPr/>
              <w:t xml:space="preserve"> [ </w:t>
            </w:r>
            <w:r>
              <w:rPr>
                <w:rFonts w:ascii="Times;serif" w:hAnsi="Times;serif"/>
                <w:color w:val="0000FF"/>
                <w:sz w:val="24"/>
                <w:shd w:fill="FFFFFF" w:val="clear"/>
              </w:rPr>
              <w:t>HURN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Acct Officer,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152.67</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a range of $152.66 - $152.71 for the sale of 459 shares. The undersigned undertakes to provide Huron Consulting Group Inc. ("Huron"), any security holder of Huron or the staff of the Securities and Exchange Commission, upon request, full information regarding the number of shares sold at each separate price within the ranges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Hope Katz, Attorney-in-fact for Kyle Featherstone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5569" TargetMode="External"/><Relationship Id="rId5" Type="http://schemas.openxmlformats.org/officeDocument/2006/relationships/hyperlink" Target="http://www.sec.gov/cgi-bin/browse-edgar?action=getcompany&amp;CIK=00012898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3536</Characters>
  <CharactersWithSpaces>4123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